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85FEE" w14:textId="77777777" w:rsidR="004844C2" w:rsidRPr="004844C2" w:rsidRDefault="004844C2" w:rsidP="00133F51">
      <w:pPr>
        <w:pStyle w:val="Title"/>
        <w:spacing w:before="240"/>
        <w:rPr>
          <w:sz w:val="144"/>
          <w:szCs w:val="144"/>
        </w:rPr>
      </w:pPr>
      <w:r w:rsidRPr="004844C2">
        <w:rPr>
          <w:sz w:val="144"/>
          <w:szCs w:val="144"/>
        </w:rPr>
        <w:t>UpStream Documentation</w:t>
      </w:r>
    </w:p>
    <w:p w14:paraId="28A14599" w14:textId="1C41D9DE" w:rsidR="004844C2" w:rsidRDefault="004844C2" w:rsidP="004844C2">
      <w:pPr>
        <w:rPr>
          <w:sz w:val="32"/>
          <w:szCs w:val="32"/>
        </w:rPr>
      </w:pPr>
      <w:r w:rsidRPr="004844C2">
        <w:rPr>
          <w:sz w:val="32"/>
          <w:szCs w:val="32"/>
        </w:rPr>
        <w:t>Public Beta Version 1.0 (pbv1.0_08092021</w:t>
      </w:r>
      <w:r w:rsidR="007C25BD">
        <w:rPr>
          <w:sz w:val="32"/>
          <w:szCs w:val="32"/>
        </w:rPr>
        <w:t>)</w:t>
      </w:r>
    </w:p>
    <w:p w14:paraId="15E19795" w14:textId="0A80F27E" w:rsidR="004844C2" w:rsidRDefault="004844C2" w:rsidP="004844C2">
      <w:pPr>
        <w:rPr>
          <w:sz w:val="32"/>
          <w:szCs w:val="32"/>
        </w:rPr>
      </w:pPr>
    </w:p>
    <w:p w14:paraId="0FE38A91" w14:textId="27479865" w:rsidR="004844C2" w:rsidRDefault="004844C2" w:rsidP="004844C2">
      <w:pPr>
        <w:rPr>
          <w:sz w:val="32"/>
          <w:szCs w:val="32"/>
        </w:rPr>
      </w:pPr>
    </w:p>
    <w:p w14:paraId="00AE2B9E" w14:textId="34CC0678" w:rsidR="004844C2" w:rsidRDefault="004844C2" w:rsidP="004844C2">
      <w:pPr>
        <w:rPr>
          <w:sz w:val="32"/>
          <w:szCs w:val="32"/>
        </w:rPr>
      </w:pPr>
    </w:p>
    <w:p w14:paraId="1220FAAC" w14:textId="163D45A2" w:rsidR="004844C2" w:rsidRDefault="004844C2" w:rsidP="004844C2">
      <w:pPr>
        <w:rPr>
          <w:sz w:val="32"/>
          <w:szCs w:val="32"/>
        </w:rPr>
      </w:pPr>
    </w:p>
    <w:p w14:paraId="47A508F8" w14:textId="2155DB43" w:rsidR="004844C2" w:rsidRDefault="004844C2" w:rsidP="004844C2">
      <w:pPr>
        <w:rPr>
          <w:sz w:val="32"/>
          <w:szCs w:val="32"/>
        </w:rPr>
      </w:pPr>
    </w:p>
    <w:p w14:paraId="75C96E4E" w14:textId="4B99A5CA" w:rsidR="004844C2" w:rsidRDefault="004844C2" w:rsidP="004844C2">
      <w:pPr>
        <w:rPr>
          <w:sz w:val="32"/>
          <w:szCs w:val="32"/>
        </w:rPr>
      </w:pPr>
    </w:p>
    <w:p w14:paraId="607A0F2C" w14:textId="45A4EE30" w:rsidR="004844C2" w:rsidRDefault="004844C2" w:rsidP="004844C2">
      <w:pPr>
        <w:rPr>
          <w:sz w:val="32"/>
          <w:szCs w:val="32"/>
        </w:rPr>
      </w:pPr>
    </w:p>
    <w:p w14:paraId="63529428" w14:textId="720AB1DF" w:rsidR="004844C2" w:rsidRDefault="004844C2" w:rsidP="004844C2">
      <w:pPr>
        <w:rPr>
          <w:sz w:val="32"/>
          <w:szCs w:val="32"/>
        </w:rPr>
      </w:pPr>
    </w:p>
    <w:p w14:paraId="636A4B85" w14:textId="77777777" w:rsidR="004844C2" w:rsidRPr="004844C2" w:rsidRDefault="004844C2" w:rsidP="004844C2">
      <w:pPr>
        <w:rPr>
          <w:sz w:val="32"/>
          <w:szCs w:val="32"/>
        </w:rPr>
      </w:pPr>
    </w:p>
    <w:p w14:paraId="52D05599" w14:textId="77777777" w:rsidR="004844C2" w:rsidRPr="004844C2" w:rsidRDefault="004844C2" w:rsidP="004844C2"/>
    <w:p w14:paraId="7A5C8808" w14:textId="5187CF4E" w:rsidR="004844C2" w:rsidRDefault="004844C2" w:rsidP="009B2ABF">
      <w:pPr>
        <w:pStyle w:val="Title"/>
      </w:pPr>
      <w:r>
        <w:rPr>
          <w:noProof/>
        </w:rPr>
        <w:drawing>
          <wp:inline distT="0" distB="0" distL="0" distR="0" wp14:anchorId="2782451A" wp14:editId="4BA1C9EA">
            <wp:extent cx="5939790" cy="1526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1526540"/>
                    </a:xfrm>
                    <a:prstGeom prst="rect">
                      <a:avLst/>
                    </a:prstGeom>
                    <a:noFill/>
                    <a:ln>
                      <a:noFill/>
                    </a:ln>
                  </pic:spPr>
                </pic:pic>
              </a:graphicData>
            </a:graphic>
          </wp:inline>
        </w:drawing>
      </w:r>
    </w:p>
    <w:p w14:paraId="63332660" w14:textId="20757816" w:rsidR="00B301F6" w:rsidRDefault="00B301F6" w:rsidP="00B301F6">
      <w:pPr>
        <w:pStyle w:val="Heading1"/>
      </w:pPr>
      <w:bookmarkStart w:id="0" w:name="_Toc77661155"/>
      <w:r>
        <w:lastRenderedPageBreak/>
        <w:t>Copyright</w:t>
      </w:r>
      <w:bookmarkEnd w:id="0"/>
    </w:p>
    <w:p w14:paraId="3C540984" w14:textId="77777777" w:rsidR="00B301F6" w:rsidRDefault="00B301F6" w:rsidP="00B301F6"/>
    <w:p w14:paraId="7EFDE238" w14:textId="77777777" w:rsidR="00B301F6" w:rsidRPr="00B301F6" w:rsidRDefault="00B301F6" w:rsidP="00B301F6">
      <w:pPr>
        <w:shd w:val="clear" w:color="auto" w:fill="FFFFFF"/>
        <w:spacing w:after="0" w:line="240" w:lineRule="auto"/>
        <w:textAlignment w:val="baseline"/>
      </w:pPr>
      <w:r w:rsidRPr="00B301F6">
        <w:t>UpStream Forestry Carbon and LCA Tool, Beta-Version  </w:t>
      </w:r>
    </w:p>
    <w:p w14:paraId="6CDC734E" w14:textId="77777777" w:rsidR="00B301F6" w:rsidRPr="00B301F6" w:rsidRDefault="00B301F6" w:rsidP="00B301F6">
      <w:pPr>
        <w:spacing w:after="0" w:line="240" w:lineRule="auto"/>
        <w:textAlignment w:val="baseline"/>
      </w:pPr>
      <w:r w:rsidRPr="00B301F6">
        <w:t>Copyright (c) 2021 ZGF Architects LLP, Chuou Zhang, Indroneil Ganguly, University of Washington, and Tomás Méndez Echenagucia University of Washington All rights reserved. </w:t>
      </w:r>
    </w:p>
    <w:p w14:paraId="34432421" w14:textId="77777777" w:rsidR="00B301F6" w:rsidRPr="00B301F6" w:rsidRDefault="00B301F6" w:rsidP="00B301F6">
      <w:pPr>
        <w:shd w:val="clear" w:color="auto" w:fill="FFFFFF"/>
        <w:spacing w:after="0" w:line="240" w:lineRule="auto"/>
        <w:textAlignment w:val="baseline"/>
      </w:pPr>
    </w:p>
    <w:p w14:paraId="125F0AEF" w14:textId="7271DBF0" w:rsidR="00B301F6" w:rsidRPr="00B301F6" w:rsidRDefault="00B301F6" w:rsidP="097437F0">
      <w:pPr>
        <w:shd w:val="clear" w:color="auto" w:fill="FFFFFF" w:themeFill="background1"/>
        <w:spacing w:after="0" w:line="240" w:lineRule="auto"/>
        <w:textAlignment w:val="baseline"/>
      </w:pPr>
      <w:r w:rsidRPr="00B301F6">
        <w:t xml:space="preserve">Licensed under The 3-Clause BSD License – available for </w:t>
      </w:r>
      <w:commentRangeStart w:id="1"/>
      <w:r w:rsidRPr="00B301F6">
        <w:t>download at:</w:t>
      </w:r>
      <w:commentRangeEnd w:id="1"/>
      <w:r>
        <w:rPr>
          <w:rStyle w:val="CommentReference"/>
        </w:rPr>
        <w:commentReference w:id="1"/>
      </w:r>
      <w:r w:rsidR="00C66CC3">
        <w:t xml:space="preserve"> </w:t>
      </w:r>
      <w:hyperlink r:id="rId16" w:history="1">
        <w:r w:rsidR="009B542C" w:rsidRPr="009B542C">
          <w:rPr>
            <w:rStyle w:val="Hyperlink"/>
          </w:rPr>
          <w:t>https://github.com/UpStream-LCA/UpStreamForestryCarbonLCA</w:t>
        </w:r>
      </w:hyperlink>
    </w:p>
    <w:p w14:paraId="3235C3D8" w14:textId="7E167BBC" w:rsidR="00F97CAB" w:rsidRDefault="70D1091D" w:rsidP="00F97CAB">
      <w:pPr>
        <w:pStyle w:val="Heading1"/>
      </w:pPr>
      <w:bookmarkStart w:id="2" w:name="_Toc77661156"/>
      <w:r>
        <w:t>Acknowledgements</w:t>
      </w:r>
      <w:bookmarkEnd w:id="2"/>
    </w:p>
    <w:p w14:paraId="63EB97DD" w14:textId="7E38CE97" w:rsidR="00537F9E" w:rsidRDefault="00537F9E" w:rsidP="00537F9E"/>
    <w:p w14:paraId="645A7662" w14:textId="20D01224" w:rsidR="00D96A81" w:rsidRPr="007C25BD" w:rsidRDefault="002F7E1C" w:rsidP="00537F9E">
      <w:pPr>
        <w:rPr>
          <w:b/>
          <w:bCs/>
        </w:rPr>
      </w:pPr>
      <w:r w:rsidRPr="007C25BD">
        <w:rPr>
          <w:b/>
          <w:bCs/>
        </w:rPr>
        <w:t xml:space="preserve">This project would not have been possible without the research, support, and effort of the following </w:t>
      </w:r>
      <w:r w:rsidR="0C2616AB" w:rsidRPr="007C25BD">
        <w:rPr>
          <w:b/>
          <w:bCs/>
        </w:rPr>
        <w:t>individuals</w:t>
      </w:r>
      <w:r w:rsidRPr="007C25BD">
        <w:rPr>
          <w:b/>
          <w:bCs/>
        </w:rPr>
        <w:t>:</w:t>
      </w:r>
    </w:p>
    <w:p w14:paraId="060C15CE" w14:textId="6954AC71" w:rsidR="00B859C2" w:rsidRDefault="00B859C2" w:rsidP="004844C2">
      <w:pPr>
        <w:pStyle w:val="ListParagraph"/>
        <w:numPr>
          <w:ilvl w:val="0"/>
          <w:numId w:val="12"/>
        </w:numPr>
        <w:spacing w:after="0" w:line="240" w:lineRule="auto"/>
        <w:textAlignment w:val="baseline"/>
      </w:pPr>
      <w:r w:rsidRPr="00805FFC">
        <w:t xml:space="preserve">Special thanks to the </w:t>
      </w:r>
      <w:r>
        <w:t>University of Washington’s Applied Research Consortium (</w:t>
      </w:r>
      <w:r w:rsidRPr="00805FFC">
        <w:t>ARC</w:t>
      </w:r>
      <w:r>
        <w:t>)</w:t>
      </w:r>
      <w:r w:rsidRPr="00805FFC">
        <w:t xml:space="preserve"> program Teri Thomson Randall and Dean Renée Cheng </w:t>
      </w:r>
      <w:r>
        <w:t xml:space="preserve">– without the ARC program and its ability to provide student researchers while bringing together diverse faculty stakeholders for advising, UpStream would not be where it is today.  </w:t>
      </w:r>
      <w:commentRangeStart w:id="3"/>
      <w:commentRangeEnd w:id="3"/>
      <w:r>
        <w:rPr>
          <w:rStyle w:val="CommentReference"/>
        </w:rPr>
        <w:commentReference w:id="3"/>
      </w:r>
      <w:r w:rsidRPr="00805FFC">
        <w:t>Todd Stine and Victoria Nichols at ZGF </w:t>
      </w:r>
      <w:r>
        <w:t>– Todd and Victoria’s leadership around seeing the value of research at an Architecture firm was paramount to UpStream’s success</w:t>
      </w:r>
    </w:p>
    <w:p w14:paraId="78ABFF6E" w14:textId="5F953162" w:rsidR="005247D4" w:rsidRDefault="00805FFC" w:rsidP="005247D4">
      <w:pPr>
        <w:pStyle w:val="ListParagraph"/>
        <w:numPr>
          <w:ilvl w:val="0"/>
          <w:numId w:val="12"/>
        </w:numPr>
      </w:pPr>
      <w:r>
        <w:t xml:space="preserve">David Diaz at </w:t>
      </w:r>
      <w:r w:rsidR="005247D4">
        <w:t>Ecotrust</w:t>
      </w:r>
      <w:r w:rsidR="0030137D">
        <w:t xml:space="preserve"> </w:t>
      </w:r>
      <w:r w:rsidR="00F00916">
        <w:t>–</w:t>
      </w:r>
      <w:r w:rsidR="0030137D">
        <w:t xml:space="preserve"> </w:t>
      </w:r>
      <w:r w:rsidR="00F00916">
        <w:t xml:space="preserve">Ecotrust’s research provided the first </w:t>
      </w:r>
      <w:r w:rsidR="00DB5BAD">
        <w:t xml:space="preserve">data and </w:t>
      </w:r>
      <w:r w:rsidR="00F00916">
        <w:t xml:space="preserve">proofs of concept for UpStream around connecting landscape level carbon impacts to wood products. </w:t>
      </w:r>
    </w:p>
    <w:p w14:paraId="0FB86AFF" w14:textId="78AA4B3C" w:rsidR="005247D4" w:rsidRDefault="00805FFC" w:rsidP="005247D4">
      <w:pPr>
        <w:pStyle w:val="ListParagraph"/>
        <w:numPr>
          <w:ilvl w:val="0"/>
          <w:numId w:val="12"/>
        </w:numPr>
      </w:pPr>
      <w:r>
        <w:t xml:space="preserve">Frances Yang and Raphael Sperry at </w:t>
      </w:r>
      <w:r w:rsidR="005247D4">
        <w:t>Arup</w:t>
      </w:r>
      <w:r w:rsidR="33EF07ED">
        <w:t xml:space="preserve"> - their research on applying the earliest </w:t>
      </w:r>
      <w:r w:rsidR="4120958D">
        <w:t xml:space="preserve">and published </w:t>
      </w:r>
      <w:r w:rsidR="33EF07ED">
        <w:t xml:space="preserve">versions of the Ecotrust factors to ZGF projects formed the foundation </w:t>
      </w:r>
      <w:r w:rsidR="093955F7">
        <w:t>of our A0 work</w:t>
      </w:r>
      <w:r w:rsidR="004844C2">
        <w:t xml:space="preserve"> (check out their write here: </w:t>
      </w:r>
      <w:hyperlink r:id="rId17" w:history="1">
        <w:r w:rsidR="004844C2" w:rsidRPr="004844C2">
          <w:t>https://www.arup.com/perspectives/publications/research/section/forestry-embodied-carbon-methodology</w:t>
        </w:r>
      </w:hyperlink>
    </w:p>
    <w:p w14:paraId="3A0E018A" w14:textId="55B18A31" w:rsidR="00805FFC" w:rsidRPr="00805FFC" w:rsidRDefault="00805FFC" w:rsidP="00805FFC">
      <w:pPr>
        <w:pStyle w:val="ListParagraph"/>
        <w:numPr>
          <w:ilvl w:val="0"/>
          <w:numId w:val="12"/>
        </w:numPr>
        <w:spacing w:after="0" w:line="240" w:lineRule="auto"/>
        <w:textAlignment w:val="baseline"/>
      </w:pPr>
      <w:r w:rsidRPr="00805FFC">
        <w:t>Roderick Bates at KieranTimberlake </w:t>
      </w:r>
      <w:r w:rsidR="00FB06A7">
        <w:t xml:space="preserve">– for being open to exploring how UpStream engages wood LCA with Tally data and being willing to explore data </w:t>
      </w:r>
      <w:r w:rsidR="00C948BC">
        <w:t xml:space="preserve">use permissions for our tool.  Also, for trailblazing the </w:t>
      </w:r>
      <w:r w:rsidR="00511925">
        <w:t xml:space="preserve">way for architecture firms to research and create robust </w:t>
      </w:r>
      <w:r w:rsidR="00C948BC">
        <w:t>LCA too</w:t>
      </w:r>
      <w:r w:rsidR="00511925">
        <w:t>ls</w:t>
      </w:r>
      <w:r w:rsidR="00C948BC">
        <w:t>.</w:t>
      </w:r>
    </w:p>
    <w:p w14:paraId="18E70FFF" w14:textId="69446D65" w:rsidR="00805FFC" w:rsidRPr="00805FFC" w:rsidRDefault="00003F47" w:rsidP="00805FFC">
      <w:pPr>
        <w:pStyle w:val="ListParagraph"/>
        <w:numPr>
          <w:ilvl w:val="0"/>
          <w:numId w:val="12"/>
        </w:numPr>
        <w:spacing w:after="0" w:line="240" w:lineRule="auto"/>
        <w:textAlignment w:val="baseline"/>
      </w:pPr>
      <w:r>
        <w:t xml:space="preserve">Steph </w:t>
      </w:r>
      <w:r w:rsidR="00805FFC" w:rsidRPr="00805FFC">
        <w:t>Carlisle at Carbon Leadership Forum </w:t>
      </w:r>
      <w:r w:rsidR="00FF7913">
        <w:t xml:space="preserve">(CLF) </w:t>
      </w:r>
      <w:r>
        <w:t>– Steph provided some of the earliest feedback to the tool during client meeting</w:t>
      </w:r>
      <w:r w:rsidR="00FF7913">
        <w:t>s and also provided the letter of support for UpStream for CLF incubation.</w:t>
      </w:r>
    </w:p>
    <w:p w14:paraId="1B42EC6D" w14:textId="5F0DA679" w:rsidR="004B1E7B" w:rsidRPr="00805FFC" w:rsidRDefault="00805FFC" w:rsidP="00805FFC">
      <w:pPr>
        <w:pStyle w:val="ListParagraph"/>
        <w:numPr>
          <w:ilvl w:val="0"/>
          <w:numId w:val="12"/>
        </w:numPr>
        <w:spacing w:after="0" w:line="240" w:lineRule="auto"/>
        <w:textAlignment w:val="baseline"/>
      </w:pPr>
      <w:commentRangeStart w:id="4"/>
      <w:commentRangeEnd w:id="4"/>
      <w:r>
        <w:rPr>
          <w:rStyle w:val="CommentReference"/>
        </w:rPr>
        <w:commentReference w:id="4"/>
      </w:r>
      <w:r w:rsidR="004B1E7B">
        <w:t>ZGF Project Performance Team</w:t>
      </w:r>
      <w:r w:rsidR="00C00BFA">
        <w:t xml:space="preserve"> (PPT)</w:t>
      </w:r>
      <w:r w:rsidR="004B1E7B">
        <w:t xml:space="preserve"> </w:t>
      </w:r>
      <w:r w:rsidR="00C00BFA">
        <w:t>–</w:t>
      </w:r>
      <w:r w:rsidR="004B1E7B">
        <w:t xml:space="preserve"> </w:t>
      </w:r>
      <w:r w:rsidR="00C00BFA">
        <w:t xml:space="preserve">the ZGF PPT provided countless hours of review, critique, and suggestions to help advance UpStream as it was being piloted on internal ZGF projects.  Specific folks to thank include Chris Chatto, Lona Rerick, </w:t>
      </w:r>
      <w:r w:rsidR="00217F40">
        <w:t xml:space="preserve">Baha Sadreddin, and </w:t>
      </w:r>
      <w:r w:rsidR="00C00BFA">
        <w:t xml:space="preserve">Vidya </w:t>
      </w:r>
      <w:r w:rsidR="00217F40" w:rsidRPr="00217F40">
        <w:t>Rajendran</w:t>
      </w:r>
      <w:r w:rsidR="00217F40">
        <w:t>.</w:t>
      </w:r>
      <w:r w:rsidR="00217F40" w:rsidRPr="00217F40">
        <w:t xml:space="preserve"> </w:t>
      </w:r>
    </w:p>
    <w:p w14:paraId="628193E9" w14:textId="599D278C" w:rsidR="00805FFC" w:rsidRPr="00805FFC" w:rsidRDefault="00805FFC" w:rsidP="00805FFC">
      <w:pPr>
        <w:pStyle w:val="ListParagraph"/>
        <w:numPr>
          <w:ilvl w:val="0"/>
          <w:numId w:val="12"/>
        </w:numPr>
        <w:spacing w:after="0" w:line="240" w:lineRule="auto"/>
        <w:textAlignment w:val="baseline"/>
      </w:pPr>
      <w:r w:rsidRPr="00805FFC">
        <w:t>Maggie Wildnauer at Sphera </w:t>
      </w:r>
      <w:r w:rsidR="00141A7C">
        <w:t>– for helping the UpStream team better understand Tally’s underlying assumptions and advising on the creation of Tally factors for use in UpStream</w:t>
      </w:r>
    </w:p>
    <w:p w14:paraId="2B4F3A68" w14:textId="33862259" w:rsidR="7211A138" w:rsidRDefault="196C2F25" w:rsidP="7211A138">
      <w:pPr>
        <w:pStyle w:val="ListParagraph"/>
        <w:numPr>
          <w:ilvl w:val="0"/>
          <w:numId w:val="12"/>
        </w:numPr>
        <w:spacing w:after="0" w:line="240" w:lineRule="auto"/>
      </w:pPr>
      <w:r>
        <w:t xml:space="preserve">Marty Brennan </w:t>
      </w:r>
      <w:r w:rsidR="00B92D8F">
        <w:t xml:space="preserve">– for being </w:t>
      </w:r>
      <w:r w:rsidR="00DF7C0C">
        <w:t xml:space="preserve">a leader and guide at our firm on </w:t>
      </w:r>
      <w:r w:rsidR="00314893">
        <w:t xml:space="preserve">all things </w:t>
      </w:r>
      <w:r w:rsidR="00DF7C0C">
        <w:t>carbon</w:t>
      </w:r>
      <w:r w:rsidR="00314893">
        <w:t xml:space="preserve">, and also for advising the team on tool development </w:t>
      </w:r>
      <w:r w:rsidR="00022888">
        <w:t xml:space="preserve">(he’s the only one at the firm who’s actually developed a tool at this scale before – check out </w:t>
      </w:r>
      <w:r w:rsidR="005B589E">
        <w:t>Lark Spectral lighting on Food4Rhino</w:t>
      </w:r>
      <w:r w:rsidR="00660F76">
        <w:t>.com</w:t>
      </w:r>
      <w:r w:rsidR="00022888">
        <w:t>)</w:t>
      </w:r>
    </w:p>
    <w:p w14:paraId="581F3F27" w14:textId="04C54379" w:rsidR="007D7F0B" w:rsidRDefault="007D7F0B" w:rsidP="007D7F0B">
      <w:pPr>
        <w:spacing w:after="0" w:line="240" w:lineRule="auto"/>
        <w:textAlignment w:val="baseline"/>
      </w:pPr>
    </w:p>
    <w:p w14:paraId="2D1E66B7" w14:textId="77777777" w:rsidR="0079531E" w:rsidRPr="007C25BD" w:rsidRDefault="007D7F0B" w:rsidP="007D7F0B">
      <w:pPr>
        <w:spacing w:after="0" w:line="240" w:lineRule="auto"/>
        <w:textAlignment w:val="baseline"/>
        <w:rPr>
          <w:b/>
          <w:bCs/>
        </w:rPr>
      </w:pPr>
      <w:r w:rsidRPr="007C25BD">
        <w:rPr>
          <w:b/>
          <w:bCs/>
        </w:rPr>
        <w:t xml:space="preserve">Documentation Authors: </w:t>
      </w:r>
    </w:p>
    <w:p w14:paraId="39CB9042" w14:textId="77777777" w:rsidR="0079531E" w:rsidRPr="0079531E" w:rsidRDefault="007D7F0B" w:rsidP="0079531E">
      <w:pPr>
        <w:pStyle w:val="ListParagraph"/>
        <w:numPr>
          <w:ilvl w:val="0"/>
          <w:numId w:val="12"/>
        </w:numPr>
        <w:spacing w:after="0" w:line="240" w:lineRule="auto"/>
        <w:textAlignment w:val="baseline"/>
      </w:pPr>
      <w:r w:rsidRPr="0079531E">
        <w:t>Jacob Dunn (ZGF)</w:t>
      </w:r>
    </w:p>
    <w:p w14:paraId="11CAA020" w14:textId="2A943CE6" w:rsidR="7AA5CD64" w:rsidRDefault="0EA71FA7" w:rsidP="004844C2">
      <w:pPr>
        <w:pStyle w:val="ListParagraph"/>
        <w:numPr>
          <w:ilvl w:val="0"/>
          <w:numId w:val="12"/>
        </w:numPr>
        <w:spacing w:after="0" w:line="240" w:lineRule="auto"/>
        <w:textAlignment w:val="baseline"/>
      </w:pPr>
      <w:r>
        <w:t>Chuou Zhang (University of Washington and ZGF)</w:t>
      </w:r>
    </w:p>
    <w:p w14:paraId="13F0FE74" w14:textId="77777777" w:rsidR="004844C2" w:rsidRDefault="004844C2" w:rsidP="004844C2">
      <w:pPr>
        <w:pStyle w:val="ListParagraph"/>
        <w:spacing w:after="0" w:line="240" w:lineRule="auto"/>
        <w:textAlignment w:val="baseline"/>
      </w:pPr>
    </w:p>
    <w:p w14:paraId="0B84253C" w14:textId="7479F2A7" w:rsidR="00872825" w:rsidRPr="007C25BD" w:rsidRDefault="007D7F0B" w:rsidP="00872825">
      <w:pPr>
        <w:spacing w:after="0" w:line="240" w:lineRule="auto"/>
        <w:textAlignment w:val="baseline"/>
        <w:rPr>
          <w:b/>
          <w:bCs/>
        </w:rPr>
      </w:pPr>
      <w:r w:rsidRPr="007C25BD">
        <w:rPr>
          <w:b/>
          <w:bCs/>
        </w:rPr>
        <w:t>UpStream Tool Authors:</w:t>
      </w:r>
    </w:p>
    <w:p w14:paraId="75A5D014" w14:textId="56686AF8" w:rsidR="00872825" w:rsidRPr="004844C2" w:rsidRDefault="003E4C91" w:rsidP="00872825">
      <w:pPr>
        <w:pStyle w:val="ListParagraph"/>
        <w:numPr>
          <w:ilvl w:val="0"/>
          <w:numId w:val="12"/>
        </w:numPr>
        <w:spacing w:after="0" w:line="240" w:lineRule="auto"/>
        <w:textAlignment w:val="baseline"/>
        <w:rPr>
          <w:rStyle w:val="normaltextrun"/>
          <w:rFonts w:ascii="Calibri" w:hAnsi="Calibri" w:cs="Calibri"/>
        </w:rPr>
      </w:pPr>
      <w:r w:rsidRPr="004844C2">
        <w:rPr>
          <w:rStyle w:val="normaltextrun"/>
          <w:rFonts w:ascii="Calibri" w:hAnsi="Calibri" w:cs="Calibri"/>
          <w:color w:val="000000"/>
          <w:shd w:val="clear" w:color="auto" w:fill="FFFFFF"/>
        </w:rPr>
        <w:t>Jacob Dunn</w:t>
      </w:r>
      <w:r w:rsidR="00872825" w:rsidRPr="004844C2">
        <w:rPr>
          <w:rStyle w:val="normaltextrun"/>
          <w:rFonts w:ascii="Calibri" w:hAnsi="Calibri" w:cs="Calibri"/>
          <w:color w:val="000000"/>
          <w:shd w:val="clear" w:color="auto" w:fill="FFFFFF"/>
        </w:rPr>
        <w:t xml:space="preserve"> (ZGF)</w:t>
      </w:r>
    </w:p>
    <w:p w14:paraId="7EDC8062" w14:textId="11BDB5D3" w:rsidR="00872825" w:rsidRPr="004844C2" w:rsidRDefault="00872825" w:rsidP="00872825">
      <w:pPr>
        <w:pStyle w:val="ListParagraph"/>
        <w:numPr>
          <w:ilvl w:val="0"/>
          <w:numId w:val="12"/>
        </w:numPr>
        <w:spacing w:after="0" w:line="240" w:lineRule="auto"/>
        <w:textAlignment w:val="baseline"/>
        <w:rPr>
          <w:rStyle w:val="normaltextrun"/>
          <w:rFonts w:ascii="Calibri" w:hAnsi="Calibri" w:cs="Calibri"/>
        </w:rPr>
      </w:pPr>
      <w:r w:rsidRPr="004844C2">
        <w:rPr>
          <w:rStyle w:val="normaltextrun"/>
          <w:rFonts w:ascii="Calibri" w:hAnsi="Calibri" w:cs="Calibri"/>
          <w:color w:val="000000"/>
          <w:shd w:val="clear" w:color="auto" w:fill="FFFFFF"/>
        </w:rPr>
        <w:t>Chuou Zhang (University of Washington and ZGF)</w:t>
      </w:r>
    </w:p>
    <w:p w14:paraId="67B91615" w14:textId="77777777" w:rsidR="00872825" w:rsidRPr="004844C2" w:rsidRDefault="003E4C91" w:rsidP="00872825">
      <w:pPr>
        <w:pStyle w:val="ListParagraph"/>
        <w:numPr>
          <w:ilvl w:val="0"/>
          <w:numId w:val="12"/>
        </w:numPr>
        <w:spacing w:after="0" w:line="240" w:lineRule="auto"/>
        <w:textAlignment w:val="baseline"/>
        <w:rPr>
          <w:rStyle w:val="normaltextrun"/>
          <w:rFonts w:ascii="Calibri" w:hAnsi="Calibri" w:cs="Calibri"/>
        </w:rPr>
      </w:pPr>
      <w:r w:rsidRPr="004844C2">
        <w:rPr>
          <w:rStyle w:val="normaltextrun"/>
          <w:rFonts w:ascii="Calibri" w:hAnsi="Calibri" w:cs="Calibri"/>
          <w:color w:val="000000"/>
          <w:shd w:val="clear" w:color="auto" w:fill="FFFFFF"/>
        </w:rPr>
        <w:t>Indroneil Ganguly</w:t>
      </w:r>
      <w:r w:rsidR="00872825" w:rsidRPr="004844C2">
        <w:rPr>
          <w:rStyle w:val="normaltextrun"/>
          <w:rFonts w:ascii="Calibri" w:hAnsi="Calibri" w:cs="Calibri"/>
          <w:color w:val="000000"/>
          <w:shd w:val="clear" w:color="auto" w:fill="FFFFFF"/>
        </w:rPr>
        <w:t xml:space="preserve"> (</w:t>
      </w:r>
      <w:r w:rsidRPr="004844C2">
        <w:rPr>
          <w:rStyle w:val="normaltextrun"/>
          <w:rFonts w:ascii="Calibri" w:hAnsi="Calibri" w:cs="Calibri"/>
          <w:color w:val="000000"/>
          <w:shd w:val="clear" w:color="auto" w:fill="FFFFFF"/>
        </w:rPr>
        <w:t>University of Washington</w:t>
      </w:r>
      <w:r w:rsidR="00872825" w:rsidRPr="004844C2">
        <w:rPr>
          <w:rStyle w:val="normaltextrun"/>
          <w:rFonts w:ascii="Calibri" w:hAnsi="Calibri" w:cs="Calibri"/>
          <w:color w:val="000000"/>
          <w:shd w:val="clear" w:color="auto" w:fill="FFFFFF"/>
        </w:rPr>
        <w:t>)</w:t>
      </w:r>
      <w:r w:rsidRPr="004844C2">
        <w:rPr>
          <w:rStyle w:val="normaltextrun"/>
          <w:rFonts w:ascii="Calibri" w:hAnsi="Calibri" w:cs="Calibri"/>
          <w:color w:val="000000"/>
          <w:shd w:val="clear" w:color="auto" w:fill="FFFFFF"/>
        </w:rPr>
        <w:t>, </w:t>
      </w:r>
    </w:p>
    <w:p w14:paraId="5EC7EC5D" w14:textId="520B79F5" w:rsidR="007D7F0B" w:rsidRPr="004844C2" w:rsidRDefault="003E4C91" w:rsidP="00872825">
      <w:pPr>
        <w:pStyle w:val="ListParagraph"/>
        <w:numPr>
          <w:ilvl w:val="0"/>
          <w:numId w:val="12"/>
        </w:numPr>
        <w:spacing w:after="0" w:line="240" w:lineRule="auto"/>
        <w:textAlignment w:val="baseline"/>
        <w:rPr>
          <w:rFonts w:ascii="Calibri" w:hAnsi="Calibri" w:cs="Calibri"/>
        </w:rPr>
      </w:pPr>
      <w:r w:rsidRPr="004844C2">
        <w:rPr>
          <w:rStyle w:val="normaltextrun"/>
          <w:rFonts w:ascii="Calibri" w:hAnsi="Calibri" w:cs="Calibri"/>
          <w:color w:val="000000"/>
          <w:shd w:val="clear" w:color="auto" w:fill="FFFFFF"/>
        </w:rPr>
        <w:t>Tomás Méndez Echenagucia </w:t>
      </w:r>
      <w:r w:rsidR="00872825" w:rsidRPr="004844C2">
        <w:rPr>
          <w:rStyle w:val="normaltextrun"/>
          <w:rFonts w:ascii="Calibri" w:hAnsi="Calibri" w:cs="Calibri"/>
          <w:color w:val="000000"/>
          <w:shd w:val="clear" w:color="auto" w:fill="FFFFFF"/>
        </w:rPr>
        <w:t>(</w:t>
      </w:r>
      <w:r w:rsidRPr="004844C2">
        <w:rPr>
          <w:rStyle w:val="normaltextrun"/>
          <w:rFonts w:ascii="Calibri" w:hAnsi="Calibri" w:cs="Calibri"/>
          <w:color w:val="000000"/>
          <w:shd w:val="clear" w:color="auto" w:fill="FFFFFF"/>
        </w:rPr>
        <w:t>University of Washington</w:t>
      </w:r>
      <w:r w:rsidR="00872825" w:rsidRPr="004844C2">
        <w:rPr>
          <w:rStyle w:val="normaltextrun"/>
          <w:rFonts w:ascii="Calibri" w:hAnsi="Calibri" w:cs="Calibri"/>
          <w:color w:val="000000"/>
          <w:shd w:val="clear" w:color="auto" w:fill="FFFFFF"/>
        </w:rPr>
        <w:t>)</w:t>
      </w:r>
      <w:r w:rsidRPr="004844C2">
        <w:rPr>
          <w:rStyle w:val="normaltextrun"/>
          <w:rFonts w:ascii="Calibri" w:hAnsi="Calibri" w:cs="Calibri"/>
          <w:color w:val="000000"/>
          <w:shd w:val="clear" w:color="auto" w:fill="FFFFFF"/>
        </w:rPr>
        <w:t> </w:t>
      </w:r>
    </w:p>
    <w:p w14:paraId="04EDB423" w14:textId="16E6CD85" w:rsidR="0002021A" w:rsidRDefault="0002021A" w:rsidP="0002021A">
      <w:pPr>
        <w:spacing w:after="0" w:line="240" w:lineRule="auto"/>
        <w:textAlignment w:val="baseline"/>
      </w:pPr>
    </w:p>
    <w:p w14:paraId="210B9477" w14:textId="6C186FA9" w:rsidR="0002021A" w:rsidRDefault="0002021A" w:rsidP="0002021A">
      <w:pPr>
        <w:pStyle w:val="Heading1"/>
      </w:pPr>
      <w:bookmarkStart w:id="5" w:name="_Toc77661157"/>
      <w:r>
        <w:t>Location of Tool and Resources</w:t>
      </w:r>
      <w:bookmarkEnd w:id="5"/>
    </w:p>
    <w:p w14:paraId="00808A0E" w14:textId="4AEC8694" w:rsidR="0002021A" w:rsidRDefault="0002021A" w:rsidP="0002021A"/>
    <w:p w14:paraId="6EF3C5A3" w14:textId="52C52B28" w:rsidR="008E38F8" w:rsidRPr="008E38F8" w:rsidRDefault="002055EC" w:rsidP="008E38F8">
      <w:pPr>
        <w:rPr>
          <w:rStyle w:val="Hyperlink"/>
        </w:rPr>
      </w:pPr>
      <w:r>
        <w:t>G</w:t>
      </w:r>
      <w:r w:rsidR="002042FE">
        <w:t xml:space="preserve">itHub </w:t>
      </w:r>
      <w:r>
        <w:t xml:space="preserve">repository: </w:t>
      </w:r>
      <w:hyperlink r:id="rId18" w:history="1">
        <w:r w:rsidR="00C52E21">
          <w:rPr>
            <w:rStyle w:val="Hyperlink"/>
          </w:rPr>
          <w:t>UpStream-LCA/UpStreamForestryCarbonLCA (github.com)</w:t>
        </w:r>
      </w:hyperlink>
    </w:p>
    <w:p w14:paraId="65CF7571" w14:textId="77777777" w:rsidR="00C5163D" w:rsidRDefault="00C5163D" w:rsidP="0002021A">
      <w:pPr>
        <w:rPr>
          <w:rStyle w:val="Hyperlink"/>
        </w:rPr>
      </w:pPr>
    </w:p>
    <w:p w14:paraId="3C2C3959" w14:textId="77777777" w:rsidR="00A8559C" w:rsidRDefault="00A8559C">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500247820"/>
        <w:docPartObj>
          <w:docPartGallery w:val="Table of Contents"/>
          <w:docPartUnique/>
        </w:docPartObj>
      </w:sdtPr>
      <w:sdtEndPr>
        <w:rPr>
          <w:b/>
          <w:bCs/>
          <w:noProof/>
        </w:rPr>
      </w:sdtEndPr>
      <w:sdtContent>
        <w:p w14:paraId="4DB02EB7" w14:textId="2C27DAA5" w:rsidR="00D51E52" w:rsidRDefault="00D51E52">
          <w:pPr>
            <w:pStyle w:val="TOCHeading"/>
          </w:pPr>
          <w:r>
            <w:t>Table of Contents</w:t>
          </w:r>
        </w:p>
        <w:p w14:paraId="45E1FA3E" w14:textId="04F429E1" w:rsidR="00D51E52" w:rsidRDefault="00D51E52">
          <w:pPr>
            <w:pStyle w:val="TOC1"/>
            <w:tabs>
              <w:tab w:val="right" w:leader="dot" w:pos="9350"/>
            </w:tabs>
            <w:rPr>
              <w:noProof/>
            </w:rPr>
          </w:pPr>
          <w:r>
            <w:fldChar w:fldCharType="begin"/>
          </w:r>
          <w:r>
            <w:instrText xml:space="preserve"> TOC \o "1-3" \h \z \u </w:instrText>
          </w:r>
          <w:r>
            <w:fldChar w:fldCharType="separate"/>
          </w:r>
          <w:hyperlink w:anchor="_Toc77661155" w:history="1">
            <w:r w:rsidRPr="00927F49">
              <w:rPr>
                <w:rStyle w:val="Hyperlink"/>
                <w:noProof/>
              </w:rPr>
              <w:t>Copyright</w:t>
            </w:r>
            <w:r>
              <w:rPr>
                <w:noProof/>
                <w:webHidden/>
              </w:rPr>
              <w:tab/>
            </w:r>
            <w:r>
              <w:rPr>
                <w:noProof/>
                <w:webHidden/>
              </w:rPr>
              <w:fldChar w:fldCharType="begin"/>
            </w:r>
            <w:r>
              <w:rPr>
                <w:noProof/>
                <w:webHidden/>
              </w:rPr>
              <w:instrText xml:space="preserve"> PAGEREF _Toc77661155 \h </w:instrText>
            </w:r>
            <w:r>
              <w:rPr>
                <w:noProof/>
                <w:webHidden/>
              </w:rPr>
            </w:r>
            <w:r>
              <w:rPr>
                <w:noProof/>
                <w:webHidden/>
              </w:rPr>
              <w:fldChar w:fldCharType="separate"/>
            </w:r>
            <w:r>
              <w:rPr>
                <w:noProof/>
                <w:webHidden/>
              </w:rPr>
              <w:t>2</w:t>
            </w:r>
            <w:r>
              <w:rPr>
                <w:noProof/>
                <w:webHidden/>
              </w:rPr>
              <w:fldChar w:fldCharType="end"/>
            </w:r>
          </w:hyperlink>
        </w:p>
        <w:p w14:paraId="094A0008" w14:textId="6E215DC6" w:rsidR="00D51E52" w:rsidRDefault="00133F51">
          <w:pPr>
            <w:pStyle w:val="TOC1"/>
            <w:tabs>
              <w:tab w:val="right" w:leader="dot" w:pos="9350"/>
            </w:tabs>
            <w:rPr>
              <w:noProof/>
            </w:rPr>
          </w:pPr>
          <w:hyperlink w:anchor="_Toc77661156" w:history="1">
            <w:r w:rsidR="00D51E52" w:rsidRPr="00927F49">
              <w:rPr>
                <w:rStyle w:val="Hyperlink"/>
                <w:noProof/>
              </w:rPr>
              <w:t>Acknowledgements</w:t>
            </w:r>
            <w:r w:rsidR="00D51E52">
              <w:rPr>
                <w:noProof/>
                <w:webHidden/>
              </w:rPr>
              <w:tab/>
            </w:r>
            <w:r w:rsidR="00D51E52">
              <w:rPr>
                <w:noProof/>
                <w:webHidden/>
              </w:rPr>
              <w:fldChar w:fldCharType="begin"/>
            </w:r>
            <w:r w:rsidR="00D51E52">
              <w:rPr>
                <w:noProof/>
                <w:webHidden/>
              </w:rPr>
              <w:instrText xml:space="preserve"> PAGEREF _Toc77661156 \h </w:instrText>
            </w:r>
            <w:r w:rsidR="00D51E52">
              <w:rPr>
                <w:noProof/>
                <w:webHidden/>
              </w:rPr>
            </w:r>
            <w:r w:rsidR="00D51E52">
              <w:rPr>
                <w:noProof/>
                <w:webHidden/>
              </w:rPr>
              <w:fldChar w:fldCharType="separate"/>
            </w:r>
            <w:r w:rsidR="00D51E52">
              <w:rPr>
                <w:noProof/>
                <w:webHidden/>
              </w:rPr>
              <w:t>2</w:t>
            </w:r>
            <w:r w:rsidR="00D51E52">
              <w:rPr>
                <w:noProof/>
                <w:webHidden/>
              </w:rPr>
              <w:fldChar w:fldCharType="end"/>
            </w:r>
          </w:hyperlink>
        </w:p>
        <w:p w14:paraId="76EFEEC5" w14:textId="36BECBA1" w:rsidR="00D51E52" w:rsidRDefault="00133F51">
          <w:pPr>
            <w:pStyle w:val="TOC1"/>
            <w:tabs>
              <w:tab w:val="right" w:leader="dot" w:pos="9350"/>
            </w:tabs>
            <w:rPr>
              <w:noProof/>
            </w:rPr>
          </w:pPr>
          <w:hyperlink w:anchor="_Toc77661157" w:history="1">
            <w:r w:rsidR="00D51E52" w:rsidRPr="00927F49">
              <w:rPr>
                <w:rStyle w:val="Hyperlink"/>
                <w:noProof/>
              </w:rPr>
              <w:t>Location of Tool and Resources</w:t>
            </w:r>
            <w:r w:rsidR="00D51E52">
              <w:rPr>
                <w:noProof/>
                <w:webHidden/>
              </w:rPr>
              <w:tab/>
            </w:r>
            <w:r w:rsidR="00D51E52">
              <w:rPr>
                <w:noProof/>
                <w:webHidden/>
              </w:rPr>
              <w:fldChar w:fldCharType="begin"/>
            </w:r>
            <w:r w:rsidR="00D51E52">
              <w:rPr>
                <w:noProof/>
                <w:webHidden/>
              </w:rPr>
              <w:instrText xml:space="preserve"> PAGEREF _Toc77661157 \h </w:instrText>
            </w:r>
            <w:r w:rsidR="00D51E52">
              <w:rPr>
                <w:noProof/>
                <w:webHidden/>
              </w:rPr>
            </w:r>
            <w:r w:rsidR="00D51E52">
              <w:rPr>
                <w:noProof/>
                <w:webHidden/>
              </w:rPr>
              <w:fldChar w:fldCharType="separate"/>
            </w:r>
            <w:r w:rsidR="00D51E52">
              <w:rPr>
                <w:noProof/>
                <w:webHidden/>
              </w:rPr>
              <w:t>3</w:t>
            </w:r>
            <w:r w:rsidR="00D51E52">
              <w:rPr>
                <w:noProof/>
                <w:webHidden/>
              </w:rPr>
              <w:fldChar w:fldCharType="end"/>
            </w:r>
          </w:hyperlink>
        </w:p>
        <w:p w14:paraId="6DA800C9" w14:textId="0DA87FB8" w:rsidR="00D51E52" w:rsidRDefault="00133F51">
          <w:pPr>
            <w:pStyle w:val="TOC1"/>
            <w:tabs>
              <w:tab w:val="right" w:leader="dot" w:pos="9350"/>
            </w:tabs>
            <w:rPr>
              <w:noProof/>
            </w:rPr>
          </w:pPr>
          <w:hyperlink w:anchor="_Toc77661158" w:history="1">
            <w:r w:rsidR="00D51E52" w:rsidRPr="00927F49">
              <w:rPr>
                <w:rStyle w:val="Hyperlink"/>
                <w:noProof/>
              </w:rPr>
              <w:t>Table of Contents</w:t>
            </w:r>
            <w:r w:rsidR="00D51E52">
              <w:rPr>
                <w:noProof/>
                <w:webHidden/>
              </w:rPr>
              <w:tab/>
            </w:r>
            <w:r w:rsidR="00D51E52">
              <w:rPr>
                <w:noProof/>
                <w:webHidden/>
              </w:rPr>
              <w:fldChar w:fldCharType="begin"/>
            </w:r>
            <w:r w:rsidR="00D51E52">
              <w:rPr>
                <w:noProof/>
                <w:webHidden/>
              </w:rPr>
              <w:instrText xml:space="preserve"> PAGEREF _Toc77661158 \h </w:instrText>
            </w:r>
            <w:r w:rsidR="00D51E52">
              <w:rPr>
                <w:noProof/>
                <w:webHidden/>
              </w:rPr>
            </w:r>
            <w:r w:rsidR="00D51E52">
              <w:rPr>
                <w:noProof/>
                <w:webHidden/>
              </w:rPr>
              <w:fldChar w:fldCharType="separate"/>
            </w:r>
            <w:r w:rsidR="00D51E52">
              <w:rPr>
                <w:noProof/>
                <w:webHidden/>
              </w:rPr>
              <w:t>4</w:t>
            </w:r>
            <w:r w:rsidR="00D51E52">
              <w:rPr>
                <w:noProof/>
                <w:webHidden/>
              </w:rPr>
              <w:fldChar w:fldCharType="end"/>
            </w:r>
          </w:hyperlink>
        </w:p>
        <w:p w14:paraId="61331DB9" w14:textId="114D0099" w:rsidR="00D51E52" w:rsidRDefault="00133F51">
          <w:pPr>
            <w:pStyle w:val="TOC1"/>
            <w:tabs>
              <w:tab w:val="right" w:leader="dot" w:pos="9350"/>
            </w:tabs>
            <w:rPr>
              <w:noProof/>
            </w:rPr>
          </w:pPr>
          <w:hyperlink w:anchor="_Toc77661159" w:history="1">
            <w:r w:rsidR="00D51E52" w:rsidRPr="00927F49">
              <w:rPr>
                <w:rStyle w:val="Hyperlink"/>
                <w:noProof/>
              </w:rPr>
              <w:t>Forward - Why UpStream?</w:t>
            </w:r>
            <w:r w:rsidR="00D51E52">
              <w:rPr>
                <w:noProof/>
                <w:webHidden/>
              </w:rPr>
              <w:tab/>
            </w:r>
            <w:r w:rsidR="00D51E52">
              <w:rPr>
                <w:noProof/>
                <w:webHidden/>
              </w:rPr>
              <w:fldChar w:fldCharType="begin"/>
            </w:r>
            <w:r w:rsidR="00D51E52">
              <w:rPr>
                <w:noProof/>
                <w:webHidden/>
              </w:rPr>
              <w:instrText xml:space="preserve"> PAGEREF _Toc77661159 \h </w:instrText>
            </w:r>
            <w:r w:rsidR="00D51E52">
              <w:rPr>
                <w:noProof/>
                <w:webHidden/>
              </w:rPr>
            </w:r>
            <w:r w:rsidR="00D51E52">
              <w:rPr>
                <w:noProof/>
                <w:webHidden/>
              </w:rPr>
              <w:fldChar w:fldCharType="separate"/>
            </w:r>
            <w:r w:rsidR="00D51E52">
              <w:rPr>
                <w:noProof/>
                <w:webHidden/>
              </w:rPr>
              <w:t>6</w:t>
            </w:r>
            <w:r w:rsidR="00D51E52">
              <w:rPr>
                <w:noProof/>
                <w:webHidden/>
              </w:rPr>
              <w:fldChar w:fldCharType="end"/>
            </w:r>
          </w:hyperlink>
        </w:p>
        <w:p w14:paraId="0108220B" w14:textId="66C44A5A" w:rsidR="00D51E52" w:rsidRDefault="00133F51">
          <w:pPr>
            <w:pStyle w:val="TOC1"/>
            <w:tabs>
              <w:tab w:val="left" w:pos="660"/>
              <w:tab w:val="right" w:leader="dot" w:pos="9350"/>
            </w:tabs>
            <w:rPr>
              <w:noProof/>
            </w:rPr>
          </w:pPr>
          <w:hyperlink w:anchor="_Toc77661160" w:history="1">
            <w:r w:rsidR="00D51E52" w:rsidRPr="00927F49">
              <w:rPr>
                <w:rStyle w:val="Hyperlink"/>
                <w:noProof/>
              </w:rPr>
              <w:t>1.0</w:t>
            </w:r>
            <w:r w:rsidR="00D51E52">
              <w:rPr>
                <w:noProof/>
              </w:rPr>
              <w:tab/>
            </w:r>
            <w:r w:rsidR="00D51E52" w:rsidRPr="00927F49">
              <w:rPr>
                <w:rStyle w:val="Hyperlink"/>
                <w:noProof/>
              </w:rPr>
              <w:t>Introduction</w:t>
            </w:r>
            <w:r w:rsidR="00D51E52">
              <w:rPr>
                <w:noProof/>
                <w:webHidden/>
              </w:rPr>
              <w:tab/>
            </w:r>
            <w:r w:rsidR="00D51E52">
              <w:rPr>
                <w:noProof/>
                <w:webHidden/>
              </w:rPr>
              <w:fldChar w:fldCharType="begin"/>
            </w:r>
            <w:r w:rsidR="00D51E52">
              <w:rPr>
                <w:noProof/>
                <w:webHidden/>
              </w:rPr>
              <w:instrText xml:space="preserve"> PAGEREF _Toc77661160 \h </w:instrText>
            </w:r>
            <w:r w:rsidR="00D51E52">
              <w:rPr>
                <w:noProof/>
                <w:webHidden/>
              </w:rPr>
            </w:r>
            <w:r w:rsidR="00D51E52">
              <w:rPr>
                <w:noProof/>
                <w:webHidden/>
              </w:rPr>
              <w:fldChar w:fldCharType="separate"/>
            </w:r>
            <w:r w:rsidR="00D51E52">
              <w:rPr>
                <w:noProof/>
                <w:webHidden/>
              </w:rPr>
              <w:t>6</w:t>
            </w:r>
            <w:r w:rsidR="00D51E52">
              <w:rPr>
                <w:noProof/>
                <w:webHidden/>
              </w:rPr>
              <w:fldChar w:fldCharType="end"/>
            </w:r>
          </w:hyperlink>
        </w:p>
        <w:p w14:paraId="300EBFB0" w14:textId="6B2D04B4" w:rsidR="00D51E52" w:rsidRDefault="00133F51">
          <w:pPr>
            <w:pStyle w:val="TOC2"/>
            <w:tabs>
              <w:tab w:val="left" w:pos="880"/>
              <w:tab w:val="right" w:leader="dot" w:pos="9350"/>
            </w:tabs>
            <w:rPr>
              <w:noProof/>
            </w:rPr>
          </w:pPr>
          <w:hyperlink w:anchor="_Toc77661161" w:history="1">
            <w:r w:rsidR="00D51E52" w:rsidRPr="00927F49">
              <w:rPr>
                <w:rStyle w:val="Hyperlink"/>
                <w:noProof/>
              </w:rPr>
              <w:t>1.1</w:t>
            </w:r>
            <w:r w:rsidR="00D51E52">
              <w:rPr>
                <w:noProof/>
              </w:rPr>
              <w:tab/>
            </w:r>
            <w:r w:rsidR="00D51E52" w:rsidRPr="00927F49">
              <w:rPr>
                <w:rStyle w:val="Hyperlink"/>
                <w:noProof/>
              </w:rPr>
              <w:t>Future Plans</w:t>
            </w:r>
            <w:r w:rsidR="00D51E52">
              <w:rPr>
                <w:noProof/>
                <w:webHidden/>
              </w:rPr>
              <w:tab/>
            </w:r>
            <w:r w:rsidR="00D51E52">
              <w:rPr>
                <w:noProof/>
                <w:webHidden/>
              </w:rPr>
              <w:fldChar w:fldCharType="begin"/>
            </w:r>
            <w:r w:rsidR="00D51E52">
              <w:rPr>
                <w:noProof/>
                <w:webHidden/>
              </w:rPr>
              <w:instrText xml:space="preserve"> PAGEREF _Toc77661161 \h </w:instrText>
            </w:r>
            <w:r w:rsidR="00D51E52">
              <w:rPr>
                <w:noProof/>
                <w:webHidden/>
              </w:rPr>
            </w:r>
            <w:r w:rsidR="00D51E52">
              <w:rPr>
                <w:noProof/>
                <w:webHidden/>
              </w:rPr>
              <w:fldChar w:fldCharType="separate"/>
            </w:r>
            <w:r w:rsidR="00D51E52">
              <w:rPr>
                <w:noProof/>
                <w:webHidden/>
              </w:rPr>
              <w:t>6</w:t>
            </w:r>
            <w:r w:rsidR="00D51E52">
              <w:rPr>
                <w:noProof/>
                <w:webHidden/>
              </w:rPr>
              <w:fldChar w:fldCharType="end"/>
            </w:r>
          </w:hyperlink>
        </w:p>
        <w:p w14:paraId="40DC858D" w14:textId="48DD5333" w:rsidR="00D51E52" w:rsidRDefault="00133F51">
          <w:pPr>
            <w:pStyle w:val="TOC1"/>
            <w:tabs>
              <w:tab w:val="right" w:leader="dot" w:pos="9350"/>
            </w:tabs>
            <w:rPr>
              <w:noProof/>
            </w:rPr>
          </w:pPr>
          <w:hyperlink w:anchor="_Toc77661162" w:history="1">
            <w:r w:rsidR="00D51E52" w:rsidRPr="00927F49">
              <w:rPr>
                <w:rStyle w:val="Hyperlink"/>
                <w:noProof/>
              </w:rPr>
              <w:t>2.0 Step by Step Guidance and Documentation</w:t>
            </w:r>
            <w:r w:rsidR="00D51E52">
              <w:rPr>
                <w:noProof/>
                <w:webHidden/>
              </w:rPr>
              <w:tab/>
            </w:r>
            <w:r w:rsidR="00D51E52">
              <w:rPr>
                <w:noProof/>
                <w:webHidden/>
              </w:rPr>
              <w:fldChar w:fldCharType="begin"/>
            </w:r>
            <w:r w:rsidR="00D51E52">
              <w:rPr>
                <w:noProof/>
                <w:webHidden/>
              </w:rPr>
              <w:instrText xml:space="preserve"> PAGEREF _Toc77661162 \h </w:instrText>
            </w:r>
            <w:r w:rsidR="00D51E52">
              <w:rPr>
                <w:noProof/>
                <w:webHidden/>
              </w:rPr>
            </w:r>
            <w:r w:rsidR="00D51E52">
              <w:rPr>
                <w:noProof/>
                <w:webHidden/>
              </w:rPr>
              <w:fldChar w:fldCharType="separate"/>
            </w:r>
            <w:r w:rsidR="00D51E52">
              <w:rPr>
                <w:noProof/>
                <w:webHidden/>
              </w:rPr>
              <w:t>7</w:t>
            </w:r>
            <w:r w:rsidR="00D51E52">
              <w:rPr>
                <w:noProof/>
                <w:webHidden/>
              </w:rPr>
              <w:fldChar w:fldCharType="end"/>
            </w:r>
          </w:hyperlink>
        </w:p>
        <w:p w14:paraId="66FC438E" w14:textId="2DB2FA75" w:rsidR="00D51E52" w:rsidRDefault="00133F51">
          <w:pPr>
            <w:pStyle w:val="TOC2"/>
            <w:tabs>
              <w:tab w:val="right" w:leader="dot" w:pos="9350"/>
            </w:tabs>
            <w:rPr>
              <w:noProof/>
            </w:rPr>
          </w:pPr>
          <w:hyperlink w:anchor="_Toc77661163" w:history="1">
            <w:r w:rsidR="00D51E52" w:rsidRPr="00927F49">
              <w:rPr>
                <w:rStyle w:val="Hyperlink"/>
                <w:noProof/>
              </w:rPr>
              <w:t>2.1 Interface and Layout</w:t>
            </w:r>
            <w:r w:rsidR="00D51E52">
              <w:rPr>
                <w:noProof/>
                <w:webHidden/>
              </w:rPr>
              <w:tab/>
            </w:r>
            <w:r w:rsidR="00D51E52">
              <w:rPr>
                <w:noProof/>
                <w:webHidden/>
              </w:rPr>
              <w:fldChar w:fldCharType="begin"/>
            </w:r>
            <w:r w:rsidR="00D51E52">
              <w:rPr>
                <w:noProof/>
                <w:webHidden/>
              </w:rPr>
              <w:instrText xml:space="preserve"> PAGEREF _Toc77661163 \h </w:instrText>
            </w:r>
            <w:r w:rsidR="00D51E52">
              <w:rPr>
                <w:noProof/>
                <w:webHidden/>
              </w:rPr>
            </w:r>
            <w:r w:rsidR="00D51E52">
              <w:rPr>
                <w:noProof/>
                <w:webHidden/>
              </w:rPr>
              <w:fldChar w:fldCharType="separate"/>
            </w:r>
            <w:r w:rsidR="00D51E52">
              <w:rPr>
                <w:noProof/>
                <w:webHidden/>
              </w:rPr>
              <w:t>7</w:t>
            </w:r>
            <w:r w:rsidR="00D51E52">
              <w:rPr>
                <w:noProof/>
                <w:webHidden/>
              </w:rPr>
              <w:fldChar w:fldCharType="end"/>
            </w:r>
          </w:hyperlink>
        </w:p>
        <w:p w14:paraId="76B8921F" w14:textId="35287955" w:rsidR="00D51E52" w:rsidRDefault="00133F51">
          <w:pPr>
            <w:pStyle w:val="TOC2"/>
            <w:tabs>
              <w:tab w:val="right" w:leader="dot" w:pos="9350"/>
            </w:tabs>
            <w:rPr>
              <w:noProof/>
            </w:rPr>
          </w:pPr>
          <w:hyperlink w:anchor="_Toc77661164" w:history="1">
            <w:r w:rsidR="00D51E52" w:rsidRPr="00927F49">
              <w:rPr>
                <w:rStyle w:val="Hyperlink"/>
                <w:noProof/>
              </w:rPr>
              <w:t>2.2 Step 1 – Define Product Information</w:t>
            </w:r>
            <w:r w:rsidR="00D51E52">
              <w:rPr>
                <w:noProof/>
                <w:webHidden/>
              </w:rPr>
              <w:tab/>
            </w:r>
            <w:r w:rsidR="00D51E52">
              <w:rPr>
                <w:noProof/>
                <w:webHidden/>
              </w:rPr>
              <w:fldChar w:fldCharType="begin"/>
            </w:r>
            <w:r w:rsidR="00D51E52">
              <w:rPr>
                <w:noProof/>
                <w:webHidden/>
              </w:rPr>
              <w:instrText xml:space="preserve"> PAGEREF _Toc77661164 \h </w:instrText>
            </w:r>
            <w:r w:rsidR="00D51E52">
              <w:rPr>
                <w:noProof/>
                <w:webHidden/>
              </w:rPr>
            </w:r>
            <w:r w:rsidR="00D51E52">
              <w:rPr>
                <w:noProof/>
                <w:webHidden/>
              </w:rPr>
              <w:fldChar w:fldCharType="separate"/>
            </w:r>
            <w:r w:rsidR="00D51E52">
              <w:rPr>
                <w:noProof/>
                <w:webHidden/>
              </w:rPr>
              <w:t>8</w:t>
            </w:r>
            <w:r w:rsidR="00D51E52">
              <w:rPr>
                <w:noProof/>
                <w:webHidden/>
              </w:rPr>
              <w:fldChar w:fldCharType="end"/>
            </w:r>
          </w:hyperlink>
        </w:p>
        <w:p w14:paraId="21CAB2EA" w14:textId="67FF83C3" w:rsidR="00D51E52" w:rsidRDefault="00133F51">
          <w:pPr>
            <w:pStyle w:val="TOC3"/>
            <w:tabs>
              <w:tab w:val="right" w:leader="dot" w:pos="9350"/>
            </w:tabs>
            <w:rPr>
              <w:noProof/>
            </w:rPr>
          </w:pPr>
          <w:hyperlink w:anchor="_Toc77661165" w:history="1">
            <w:r w:rsidR="00D51E52" w:rsidRPr="00927F49">
              <w:rPr>
                <w:rStyle w:val="Hyperlink"/>
                <w:noProof/>
              </w:rPr>
              <w:t>Step 1 Overview and Inputs</w:t>
            </w:r>
            <w:r w:rsidR="00D51E52">
              <w:rPr>
                <w:noProof/>
                <w:webHidden/>
              </w:rPr>
              <w:tab/>
            </w:r>
            <w:r w:rsidR="00D51E52">
              <w:rPr>
                <w:noProof/>
                <w:webHidden/>
              </w:rPr>
              <w:fldChar w:fldCharType="begin"/>
            </w:r>
            <w:r w:rsidR="00D51E52">
              <w:rPr>
                <w:noProof/>
                <w:webHidden/>
              </w:rPr>
              <w:instrText xml:space="preserve"> PAGEREF _Toc77661165 \h </w:instrText>
            </w:r>
            <w:r w:rsidR="00D51E52">
              <w:rPr>
                <w:noProof/>
                <w:webHidden/>
              </w:rPr>
            </w:r>
            <w:r w:rsidR="00D51E52">
              <w:rPr>
                <w:noProof/>
                <w:webHidden/>
              </w:rPr>
              <w:fldChar w:fldCharType="separate"/>
            </w:r>
            <w:r w:rsidR="00D51E52">
              <w:rPr>
                <w:noProof/>
                <w:webHidden/>
              </w:rPr>
              <w:t>8</w:t>
            </w:r>
            <w:r w:rsidR="00D51E52">
              <w:rPr>
                <w:noProof/>
                <w:webHidden/>
              </w:rPr>
              <w:fldChar w:fldCharType="end"/>
            </w:r>
          </w:hyperlink>
        </w:p>
        <w:p w14:paraId="783E7406" w14:textId="3266A027" w:rsidR="00D51E52" w:rsidRDefault="00133F51">
          <w:pPr>
            <w:pStyle w:val="TOC2"/>
            <w:tabs>
              <w:tab w:val="right" w:leader="dot" w:pos="9350"/>
            </w:tabs>
            <w:rPr>
              <w:noProof/>
            </w:rPr>
          </w:pPr>
          <w:hyperlink w:anchor="_Toc77661166" w:history="1">
            <w:r w:rsidR="00D51E52" w:rsidRPr="00927F49">
              <w:rPr>
                <w:rStyle w:val="Hyperlink"/>
                <w:noProof/>
              </w:rPr>
              <w:t>2.3 Step 2 – Compare to a Baseline Case</w:t>
            </w:r>
            <w:r w:rsidR="00D51E52">
              <w:rPr>
                <w:noProof/>
                <w:webHidden/>
              </w:rPr>
              <w:tab/>
            </w:r>
            <w:r w:rsidR="00D51E52">
              <w:rPr>
                <w:noProof/>
                <w:webHidden/>
              </w:rPr>
              <w:fldChar w:fldCharType="begin"/>
            </w:r>
            <w:r w:rsidR="00D51E52">
              <w:rPr>
                <w:noProof/>
                <w:webHidden/>
              </w:rPr>
              <w:instrText xml:space="preserve"> PAGEREF _Toc77661166 \h </w:instrText>
            </w:r>
            <w:r w:rsidR="00D51E52">
              <w:rPr>
                <w:noProof/>
                <w:webHidden/>
              </w:rPr>
            </w:r>
            <w:r w:rsidR="00D51E52">
              <w:rPr>
                <w:noProof/>
                <w:webHidden/>
              </w:rPr>
              <w:fldChar w:fldCharType="separate"/>
            </w:r>
            <w:r w:rsidR="00D51E52">
              <w:rPr>
                <w:noProof/>
                <w:webHidden/>
              </w:rPr>
              <w:t>8</w:t>
            </w:r>
            <w:r w:rsidR="00D51E52">
              <w:rPr>
                <w:noProof/>
                <w:webHidden/>
              </w:rPr>
              <w:fldChar w:fldCharType="end"/>
            </w:r>
          </w:hyperlink>
        </w:p>
        <w:p w14:paraId="0EF61327" w14:textId="095D26EC" w:rsidR="00D51E52" w:rsidRDefault="00133F51">
          <w:pPr>
            <w:pStyle w:val="TOC3"/>
            <w:tabs>
              <w:tab w:val="right" w:leader="dot" w:pos="9350"/>
            </w:tabs>
            <w:rPr>
              <w:noProof/>
            </w:rPr>
          </w:pPr>
          <w:hyperlink w:anchor="_Toc77661167" w:history="1">
            <w:r w:rsidR="00D51E52" w:rsidRPr="00927F49">
              <w:rPr>
                <w:rStyle w:val="Hyperlink"/>
                <w:noProof/>
              </w:rPr>
              <w:t>Step 2 Overview and Inputs</w:t>
            </w:r>
            <w:r w:rsidR="00D51E52">
              <w:rPr>
                <w:noProof/>
                <w:webHidden/>
              </w:rPr>
              <w:tab/>
            </w:r>
            <w:r w:rsidR="00D51E52">
              <w:rPr>
                <w:noProof/>
                <w:webHidden/>
              </w:rPr>
              <w:fldChar w:fldCharType="begin"/>
            </w:r>
            <w:r w:rsidR="00D51E52">
              <w:rPr>
                <w:noProof/>
                <w:webHidden/>
              </w:rPr>
              <w:instrText xml:space="preserve"> PAGEREF _Toc77661167 \h </w:instrText>
            </w:r>
            <w:r w:rsidR="00D51E52">
              <w:rPr>
                <w:noProof/>
                <w:webHidden/>
              </w:rPr>
            </w:r>
            <w:r w:rsidR="00D51E52">
              <w:rPr>
                <w:noProof/>
                <w:webHidden/>
              </w:rPr>
              <w:fldChar w:fldCharType="separate"/>
            </w:r>
            <w:r w:rsidR="00D51E52">
              <w:rPr>
                <w:noProof/>
                <w:webHidden/>
              </w:rPr>
              <w:t>8</w:t>
            </w:r>
            <w:r w:rsidR="00D51E52">
              <w:rPr>
                <w:noProof/>
                <w:webHidden/>
              </w:rPr>
              <w:fldChar w:fldCharType="end"/>
            </w:r>
          </w:hyperlink>
        </w:p>
        <w:p w14:paraId="11497425" w14:textId="1FAA0EB2" w:rsidR="00D51E52" w:rsidRDefault="00133F51">
          <w:pPr>
            <w:pStyle w:val="TOC3"/>
            <w:tabs>
              <w:tab w:val="right" w:leader="dot" w:pos="9350"/>
            </w:tabs>
            <w:rPr>
              <w:noProof/>
            </w:rPr>
          </w:pPr>
          <w:hyperlink w:anchor="_Toc77661168" w:history="1">
            <w:r w:rsidR="00D51E52" w:rsidRPr="00927F49">
              <w:rPr>
                <w:rStyle w:val="Hyperlink"/>
                <w:noProof/>
              </w:rPr>
              <w:t>Step 2 Related Outputs</w:t>
            </w:r>
            <w:r w:rsidR="00D51E52">
              <w:rPr>
                <w:noProof/>
                <w:webHidden/>
              </w:rPr>
              <w:tab/>
            </w:r>
            <w:r w:rsidR="00D51E52">
              <w:rPr>
                <w:noProof/>
                <w:webHidden/>
              </w:rPr>
              <w:fldChar w:fldCharType="begin"/>
            </w:r>
            <w:r w:rsidR="00D51E52">
              <w:rPr>
                <w:noProof/>
                <w:webHidden/>
              </w:rPr>
              <w:instrText xml:space="preserve"> PAGEREF _Toc77661168 \h </w:instrText>
            </w:r>
            <w:r w:rsidR="00D51E52">
              <w:rPr>
                <w:noProof/>
                <w:webHidden/>
              </w:rPr>
            </w:r>
            <w:r w:rsidR="00D51E52">
              <w:rPr>
                <w:noProof/>
                <w:webHidden/>
              </w:rPr>
              <w:fldChar w:fldCharType="separate"/>
            </w:r>
            <w:r w:rsidR="00D51E52">
              <w:rPr>
                <w:noProof/>
                <w:webHidden/>
              </w:rPr>
              <w:t>9</w:t>
            </w:r>
            <w:r w:rsidR="00D51E52">
              <w:rPr>
                <w:noProof/>
                <w:webHidden/>
              </w:rPr>
              <w:fldChar w:fldCharType="end"/>
            </w:r>
          </w:hyperlink>
        </w:p>
        <w:p w14:paraId="49F97307" w14:textId="768511C9" w:rsidR="00D51E52" w:rsidRDefault="00133F51">
          <w:pPr>
            <w:pStyle w:val="TOC2"/>
            <w:tabs>
              <w:tab w:val="right" w:leader="dot" w:pos="9350"/>
            </w:tabs>
            <w:rPr>
              <w:noProof/>
            </w:rPr>
          </w:pPr>
          <w:hyperlink w:anchor="_Toc77661169" w:history="1">
            <w:r w:rsidR="00D51E52" w:rsidRPr="00927F49">
              <w:rPr>
                <w:rStyle w:val="Hyperlink"/>
                <w:noProof/>
              </w:rPr>
              <w:t>2.4 Step 3 – Calculate Modules A1-A3</w:t>
            </w:r>
            <w:r w:rsidR="00D51E52">
              <w:rPr>
                <w:noProof/>
                <w:webHidden/>
              </w:rPr>
              <w:tab/>
            </w:r>
            <w:r w:rsidR="00D51E52">
              <w:rPr>
                <w:noProof/>
                <w:webHidden/>
              </w:rPr>
              <w:fldChar w:fldCharType="begin"/>
            </w:r>
            <w:r w:rsidR="00D51E52">
              <w:rPr>
                <w:noProof/>
                <w:webHidden/>
              </w:rPr>
              <w:instrText xml:space="preserve"> PAGEREF _Toc77661169 \h </w:instrText>
            </w:r>
            <w:r w:rsidR="00D51E52">
              <w:rPr>
                <w:noProof/>
                <w:webHidden/>
              </w:rPr>
            </w:r>
            <w:r w:rsidR="00D51E52">
              <w:rPr>
                <w:noProof/>
                <w:webHidden/>
              </w:rPr>
              <w:fldChar w:fldCharType="separate"/>
            </w:r>
            <w:r w:rsidR="00D51E52">
              <w:rPr>
                <w:noProof/>
                <w:webHidden/>
              </w:rPr>
              <w:t>10</w:t>
            </w:r>
            <w:r w:rsidR="00D51E52">
              <w:rPr>
                <w:noProof/>
                <w:webHidden/>
              </w:rPr>
              <w:fldChar w:fldCharType="end"/>
            </w:r>
          </w:hyperlink>
        </w:p>
        <w:p w14:paraId="01BEA73E" w14:textId="39459307" w:rsidR="00D51E52" w:rsidRDefault="00133F51">
          <w:pPr>
            <w:pStyle w:val="TOC3"/>
            <w:tabs>
              <w:tab w:val="right" w:leader="dot" w:pos="9350"/>
            </w:tabs>
            <w:rPr>
              <w:noProof/>
            </w:rPr>
          </w:pPr>
          <w:hyperlink w:anchor="_Toc77661170" w:history="1">
            <w:r w:rsidR="00D51E52" w:rsidRPr="00927F49">
              <w:rPr>
                <w:rStyle w:val="Hyperlink"/>
                <w:noProof/>
              </w:rPr>
              <w:t>Step 3 Overview and Inputs</w:t>
            </w:r>
            <w:r w:rsidR="00D51E52">
              <w:rPr>
                <w:noProof/>
                <w:webHidden/>
              </w:rPr>
              <w:tab/>
            </w:r>
            <w:r w:rsidR="00D51E52">
              <w:rPr>
                <w:noProof/>
                <w:webHidden/>
              </w:rPr>
              <w:fldChar w:fldCharType="begin"/>
            </w:r>
            <w:r w:rsidR="00D51E52">
              <w:rPr>
                <w:noProof/>
                <w:webHidden/>
              </w:rPr>
              <w:instrText xml:space="preserve"> PAGEREF _Toc77661170 \h </w:instrText>
            </w:r>
            <w:r w:rsidR="00D51E52">
              <w:rPr>
                <w:noProof/>
                <w:webHidden/>
              </w:rPr>
            </w:r>
            <w:r w:rsidR="00D51E52">
              <w:rPr>
                <w:noProof/>
                <w:webHidden/>
              </w:rPr>
              <w:fldChar w:fldCharType="separate"/>
            </w:r>
            <w:r w:rsidR="00D51E52">
              <w:rPr>
                <w:noProof/>
                <w:webHidden/>
              </w:rPr>
              <w:t>10</w:t>
            </w:r>
            <w:r w:rsidR="00D51E52">
              <w:rPr>
                <w:noProof/>
                <w:webHidden/>
              </w:rPr>
              <w:fldChar w:fldCharType="end"/>
            </w:r>
          </w:hyperlink>
        </w:p>
        <w:p w14:paraId="0A22A4E2" w14:textId="6EF84E72" w:rsidR="00D51E52" w:rsidRDefault="00133F51">
          <w:pPr>
            <w:pStyle w:val="TOC3"/>
            <w:tabs>
              <w:tab w:val="right" w:leader="dot" w:pos="9350"/>
            </w:tabs>
            <w:rPr>
              <w:noProof/>
            </w:rPr>
          </w:pPr>
          <w:hyperlink w:anchor="_Toc77661171" w:history="1">
            <w:r w:rsidR="00D51E52" w:rsidRPr="00927F49">
              <w:rPr>
                <w:rStyle w:val="Hyperlink"/>
                <w:noProof/>
              </w:rPr>
              <w:t>Step 3 Outputs</w:t>
            </w:r>
            <w:r w:rsidR="00D51E52">
              <w:rPr>
                <w:noProof/>
                <w:webHidden/>
              </w:rPr>
              <w:tab/>
            </w:r>
            <w:r w:rsidR="00D51E52">
              <w:rPr>
                <w:noProof/>
                <w:webHidden/>
              </w:rPr>
              <w:fldChar w:fldCharType="begin"/>
            </w:r>
            <w:r w:rsidR="00D51E52">
              <w:rPr>
                <w:noProof/>
                <w:webHidden/>
              </w:rPr>
              <w:instrText xml:space="preserve"> PAGEREF _Toc77661171 \h </w:instrText>
            </w:r>
            <w:r w:rsidR="00D51E52">
              <w:rPr>
                <w:noProof/>
                <w:webHidden/>
              </w:rPr>
            </w:r>
            <w:r w:rsidR="00D51E52">
              <w:rPr>
                <w:noProof/>
                <w:webHidden/>
              </w:rPr>
              <w:fldChar w:fldCharType="separate"/>
            </w:r>
            <w:r w:rsidR="00D51E52">
              <w:rPr>
                <w:noProof/>
                <w:webHidden/>
              </w:rPr>
              <w:t>11</w:t>
            </w:r>
            <w:r w:rsidR="00D51E52">
              <w:rPr>
                <w:noProof/>
                <w:webHidden/>
              </w:rPr>
              <w:fldChar w:fldCharType="end"/>
            </w:r>
          </w:hyperlink>
        </w:p>
        <w:p w14:paraId="6E1C1DC9" w14:textId="40FA298F" w:rsidR="00D51E52" w:rsidRDefault="00133F51">
          <w:pPr>
            <w:pStyle w:val="TOC2"/>
            <w:tabs>
              <w:tab w:val="right" w:leader="dot" w:pos="9350"/>
            </w:tabs>
            <w:rPr>
              <w:noProof/>
            </w:rPr>
          </w:pPr>
          <w:hyperlink w:anchor="_Toc77661172" w:history="1">
            <w:r w:rsidR="00D51E52" w:rsidRPr="00927F49">
              <w:rPr>
                <w:rStyle w:val="Hyperlink"/>
                <w:noProof/>
              </w:rPr>
              <w:t>2.5 Step 4 – Calculate Modules A4 - Transportation</w:t>
            </w:r>
            <w:r w:rsidR="00D51E52">
              <w:rPr>
                <w:noProof/>
                <w:webHidden/>
              </w:rPr>
              <w:tab/>
            </w:r>
            <w:r w:rsidR="00D51E52">
              <w:rPr>
                <w:noProof/>
                <w:webHidden/>
              </w:rPr>
              <w:fldChar w:fldCharType="begin"/>
            </w:r>
            <w:r w:rsidR="00D51E52">
              <w:rPr>
                <w:noProof/>
                <w:webHidden/>
              </w:rPr>
              <w:instrText xml:space="preserve"> PAGEREF _Toc77661172 \h </w:instrText>
            </w:r>
            <w:r w:rsidR="00D51E52">
              <w:rPr>
                <w:noProof/>
                <w:webHidden/>
              </w:rPr>
            </w:r>
            <w:r w:rsidR="00D51E52">
              <w:rPr>
                <w:noProof/>
                <w:webHidden/>
              </w:rPr>
              <w:fldChar w:fldCharType="separate"/>
            </w:r>
            <w:r w:rsidR="00D51E52">
              <w:rPr>
                <w:noProof/>
                <w:webHidden/>
              </w:rPr>
              <w:t>12</w:t>
            </w:r>
            <w:r w:rsidR="00D51E52">
              <w:rPr>
                <w:noProof/>
                <w:webHidden/>
              </w:rPr>
              <w:fldChar w:fldCharType="end"/>
            </w:r>
          </w:hyperlink>
        </w:p>
        <w:p w14:paraId="47AF94E1" w14:textId="11425140" w:rsidR="00D51E52" w:rsidRDefault="00133F51">
          <w:pPr>
            <w:pStyle w:val="TOC3"/>
            <w:tabs>
              <w:tab w:val="right" w:leader="dot" w:pos="9350"/>
            </w:tabs>
            <w:rPr>
              <w:noProof/>
            </w:rPr>
          </w:pPr>
          <w:hyperlink w:anchor="_Toc77661173" w:history="1">
            <w:r w:rsidR="00D51E52" w:rsidRPr="00927F49">
              <w:rPr>
                <w:rStyle w:val="Hyperlink"/>
                <w:noProof/>
              </w:rPr>
              <w:t>Step 4 Overview and Inputs</w:t>
            </w:r>
            <w:r w:rsidR="00D51E52">
              <w:rPr>
                <w:noProof/>
                <w:webHidden/>
              </w:rPr>
              <w:tab/>
            </w:r>
            <w:r w:rsidR="00D51E52">
              <w:rPr>
                <w:noProof/>
                <w:webHidden/>
              </w:rPr>
              <w:fldChar w:fldCharType="begin"/>
            </w:r>
            <w:r w:rsidR="00D51E52">
              <w:rPr>
                <w:noProof/>
                <w:webHidden/>
              </w:rPr>
              <w:instrText xml:space="preserve"> PAGEREF _Toc77661173 \h </w:instrText>
            </w:r>
            <w:r w:rsidR="00D51E52">
              <w:rPr>
                <w:noProof/>
                <w:webHidden/>
              </w:rPr>
            </w:r>
            <w:r w:rsidR="00D51E52">
              <w:rPr>
                <w:noProof/>
                <w:webHidden/>
              </w:rPr>
              <w:fldChar w:fldCharType="separate"/>
            </w:r>
            <w:r w:rsidR="00D51E52">
              <w:rPr>
                <w:noProof/>
                <w:webHidden/>
              </w:rPr>
              <w:t>12</w:t>
            </w:r>
            <w:r w:rsidR="00D51E52">
              <w:rPr>
                <w:noProof/>
                <w:webHidden/>
              </w:rPr>
              <w:fldChar w:fldCharType="end"/>
            </w:r>
          </w:hyperlink>
        </w:p>
        <w:p w14:paraId="35EF69CF" w14:textId="09A5E200" w:rsidR="00D51E52" w:rsidRDefault="00133F51">
          <w:pPr>
            <w:pStyle w:val="TOC2"/>
            <w:tabs>
              <w:tab w:val="right" w:leader="dot" w:pos="9350"/>
            </w:tabs>
            <w:rPr>
              <w:noProof/>
            </w:rPr>
          </w:pPr>
          <w:hyperlink w:anchor="_Toc77661174" w:history="1">
            <w:r w:rsidR="00D51E52" w:rsidRPr="00927F49">
              <w:rPr>
                <w:rStyle w:val="Hyperlink"/>
                <w:noProof/>
              </w:rPr>
              <w:t>2.6 Step 5 – Calculate Module C2-4 – End of Life Emissions</w:t>
            </w:r>
            <w:r w:rsidR="00D51E52">
              <w:rPr>
                <w:noProof/>
                <w:webHidden/>
              </w:rPr>
              <w:tab/>
            </w:r>
            <w:r w:rsidR="00D51E52">
              <w:rPr>
                <w:noProof/>
                <w:webHidden/>
              </w:rPr>
              <w:fldChar w:fldCharType="begin"/>
            </w:r>
            <w:r w:rsidR="00D51E52">
              <w:rPr>
                <w:noProof/>
                <w:webHidden/>
              </w:rPr>
              <w:instrText xml:space="preserve"> PAGEREF _Toc77661174 \h </w:instrText>
            </w:r>
            <w:r w:rsidR="00D51E52">
              <w:rPr>
                <w:noProof/>
                <w:webHidden/>
              </w:rPr>
            </w:r>
            <w:r w:rsidR="00D51E52">
              <w:rPr>
                <w:noProof/>
                <w:webHidden/>
              </w:rPr>
              <w:fldChar w:fldCharType="separate"/>
            </w:r>
            <w:r w:rsidR="00D51E52">
              <w:rPr>
                <w:noProof/>
                <w:webHidden/>
              </w:rPr>
              <w:t>13</w:t>
            </w:r>
            <w:r w:rsidR="00D51E52">
              <w:rPr>
                <w:noProof/>
                <w:webHidden/>
              </w:rPr>
              <w:fldChar w:fldCharType="end"/>
            </w:r>
          </w:hyperlink>
        </w:p>
        <w:p w14:paraId="3CBAFD85" w14:textId="3E55ED3C" w:rsidR="00D51E52" w:rsidRDefault="00133F51">
          <w:pPr>
            <w:pStyle w:val="TOC3"/>
            <w:tabs>
              <w:tab w:val="right" w:leader="dot" w:pos="9350"/>
            </w:tabs>
            <w:rPr>
              <w:noProof/>
            </w:rPr>
          </w:pPr>
          <w:hyperlink w:anchor="_Toc77661175" w:history="1">
            <w:r w:rsidR="00D51E52" w:rsidRPr="00927F49">
              <w:rPr>
                <w:rStyle w:val="Hyperlink"/>
                <w:noProof/>
              </w:rPr>
              <w:t>Step 5 Overview and Inputs – Base Options</w:t>
            </w:r>
            <w:r w:rsidR="00D51E52">
              <w:rPr>
                <w:noProof/>
                <w:webHidden/>
              </w:rPr>
              <w:tab/>
            </w:r>
            <w:r w:rsidR="00D51E52">
              <w:rPr>
                <w:noProof/>
                <w:webHidden/>
              </w:rPr>
              <w:fldChar w:fldCharType="begin"/>
            </w:r>
            <w:r w:rsidR="00D51E52">
              <w:rPr>
                <w:noProof/>
                <w:webHidden/>
              </w:rPr>
              <w:instrText xml:space="preserve"> PAGEREF _Toc77661175 \h </w:instrText>
            </w:r>
            <w:r w:rsidR="00D51E52">
              <w:rPr>
                <w:noProof/>
                <w:webHidden/>
              </w:rPr>
            </w:r>
            <w:r w:rsidR="00D51E52">
              <w:rPr>
                <w:noProof/>
                <w:webHidden/>
              </w:rPr>
              <w:fldChar w:fldCharType="separate"/>
            </w:r>
            <w:r w:rsidR="00D51E52">
              <w:rPr>
                <w:noProof/>
                <w:webHidden/>
              </w:rPr>
              <w:t>13</w:t>
            </w:r>
            <w:r w:rsidR="00D51E52">
              <w:rPr>
                <w:noProof/>
                <w:webHidden/>
              </w:rPr>
              <w:fldChar w:fldCharType="end"/>
            </w:r>
          </w:hyperlink>
        </w:p>
        <w:p w14:paraId="6C9CB08E" w14:textId="78DDB3CF" w:rsidR="00D51E52" w:rsidRDefault="00133F51">
          <w:pPr>
            <w:pStyle w:val="TOC3"/>
            <w:tabs>
              <w:tab w:val="right" w:leader="dot" w:pos="9350"/>
            </w:tabs>
            <w:rPr>
              <w:noProof/>
            </w:rPr>
          </w:pPr>
          <w:hyperlink w:anchor="_Toc77661176" w:history="1">
            <w:r w:rsidR="00D51E52" w:rsidRPr="00927F49">
              <w:rPr>
                <w:rStyle w:val="Hyperlink"/>
                <w:noProof/>
              </w:rPr>
              <w:t>Step 5 Overview and Inputs – Custom Options</w:t>
            </w:r>
            <w:r w:rsidR="00D51E52">
              <w:rPr>
                <w:noProof/>
                <w:webHidden/>
              </w:rPr>
              <w:tab/>
            </w:r>
            <w:r w:rsidR="00D51E52">
              <w:rPr>
                <w:noProof/>
                <w:webHidden/>
              </w:rPr>
              <w:fldChar w:fldCharType="begin"/>
            </w:r>
            <w:r w:rsidR="00D51E52">
              <w:rPr>
                <w:noProof/>
                <w:webHidden/>
              </w:rPr>
              <w:instrText xml:space="preserve"> PAGEREF _Toc77661176 \h </w:instrText>
            </w:r>
            <w:r w:rsidR="00D51E52">
              <w:rPr>
                <w:noProof/>
                <w:webHidden/>
              </w:rPr>
            </w:r>
            <w:r w:rsidR="00D51E52">
              <w:rPr>
                <w:noProof/>
                <w:webHidden/>
              </w:rPr>
              <w:fldChar w:fldCharType="separate"/>
            </w:r>
            <w:r w:rsidR="00D51E52">
              <w:rPr>
                <w:noProof/>
                <w:webHidden/>
              </w:rPr>
              <w:t>16</w:t>
            </w:r>
            <w:r w:rsidR="00D51E52">
              <w:rPr>
                <w:noProof/>
                <w:webHidden/>
              </w:rPr>
              <w:fldChar w:fldCharType="end"/>
            </w:r>
          </w:hyperlink>
        </w:p>
        <w:p w14:paraId="522E1E3D" w14:textId="157A2F35" w:rsidR="00D51E52" w:rsidRDefault="00133F51">
          <w:pPr>
            <w:pStyle w:val="TOC3"/>
            <w:tabs>
              <w:tab w:val="right" w:leader="dot" w:pos="9350"/>
            </w:tabs>
            <w:rPr>
              <w:noProof/>
            </w:rPr>
          </w:pPr>
          <w:hyperlink w:anchor="_Toc77661177" w:history="1">
            <w:r w:rsidR="00D51E52" w:rsidRPr="00927F49">
              <w:rPr>
                <w:rStyle w:val="Hyperlink"/>
                <w:noProof/>
              </w:rPr>
              <w:t>Step 5 Outputs</w:t>
            </w:r>
            <w:r w:rsidR="00D51E52">
              <w:rPr>
                <w:noProof/>
                <w:webHidden/>
              </w:rPr>
              <w:tab/>
            </w:r>
            <w:r w:rsidR="00D51E52">
              <w:rPr>
                <w:noProof/>
                <w:webHidden/>
              </w:rPr>
              <w:fldChar w:fldCharType="begin"/>
            </w:r>
            <w:r w:rsidR="00D51E52">
              <w:rPr>
                <w:noProof/>
                <w:webHidden/>
              </w:rPr>
              <w:instrText xml:space="preserve"> PAGEREF _Toc77661177 \h </w:instrText>
            </w:r>
            <w:r w:rsidR="00D51E52">
              <w:rPr>
                <w:noProof/>
                <w:webHidden/>
              </w:rPr>
            </w:r>
            <w:r w:rsidR="00D51E52">
              <w:rPr>
                <w:noProof/>
                <w:webHidden/>
              </w:rPr>
              <w:fldChar w:fldCharType="separate"/>
            </w:r>
            <w:r w:rsidR="00D51E52">
              <w:rPr>
                <w:noProof/>
                <w:webHidden/>
              </w:rPr>
              <w:t>23</w:t>
            </w:r>
            <w:r w:rsidR="00D51E52">
              <w:rPr>
                <w:noProof/>
                <w:webHidden/>
              </w:rPr>
              <w:fldChar w:fldCharType="end"/>
            </w:r>
          </w:hyperlink>
        </w:p>
        <w:p w14:paraId="4E4ADE4E" w14:textId="49CFD922" w:rsidR="00D51E52" w:rsidRDefault="00133F51">
          <w:pPr>
            <w:pStyle w:val="TOC2"/>
            <w:tabs>
              <w:tab w:val="right" w:leader="dot" w:pos="9350"/>
            </w:tabs>
            <w:rPr>
              <w:noProof/>
            </w:rPr>
          </w:pPr>
          <w:hyperlink w:anchor="_Toc77661178" w:history="1">
            <w:r w:rsidR="00D51E52" w:rsidRPr="00927F49">
              <w:rPr>
                <w:rStyle w:val="Hyperlink"/>
                <w:noProof/>
              </w:rPr>
              <w:t>2.7 Step 6 – Calculate Module D – Benefits Outside of Boundary</w:t>
            </w:r>
            <w:r w:rsidR="00D51E52">
              <w:rPr>
                <w:noProof/>
                <w:webHidden/>
              </w:rPr>
              <w:tab/>
            </w:r>
            <w:r w:rsidR="00D51E52">
              <w:rPr>
                <w:noProof/>
                <w:webHidden/>
              </w:rPr>
              <w:fldChar w:fldCharType="begin"/>
            </w:r>
            <w:r w:rsidR="00D51E52">
              <w:rPr>
                <w:noProof/>
                <w:webHidden/>
              </w:rPr>
              <w:instrText xml:space="preserve"> PAGEREF _Toc77661178 \h </w:instrText>
            </w:r>
            <w:r w:rsidR="00D51E52">
              <w:rPr>
                <w:noProof/>
                <w:webHidden/>
              </w:rPr>
            </w:r>
            <w:r w:rsidR="00D51E52">
              <w:rPr>
                <w:noProof/>
                <w:webHidden/>
              </w:rPr>
              <w:fldChar w:fldCharType="separate"/>
            </w:r>
            <w:r w:rsidR="00D51E52">
              <w:rPr>
                <w:noProof/>
                <w:webHidden/>
              </w:rPr>
              <w:t>25</w:t>
            </w:r>
            <w:r w:rsidR="00D51E52">
              <w:rPr>
                <w:noProof/>
                <w:webHidden/>
              </w:rPr>
              <w:fldChar w:fldCharType="end"/>
            </w:r>
          </w:hyperlink>
        </w:p>
        <w:p w14:paraId="293F2F81" w14:textId="330DF9B5" w:rsidR="00D51E52" w:rsidRDefault="00133F51">
          <w:pPr>
            <w:pStyle w:val="TOC3"/>
            <w:tabs>
              <w:tab w:val="right" w:leader="dot" w:pos="9350"/>
            </w:tabs>
            <w:rPr>
              <w:noProof/>
            </w:rPr>
          </w:pPr>
          <w:hyperlink w:anchor="_Toc77661179" w:history="1">
            <w:r w:rsidR="00D51E52" w:rsidRPr="00927F49">
              <w:rPr>
                <w:rStyle w:val="Hyperlink"/>
                <w:noProof/>
              </w:rPr>
              <w:t>Step 6 Overview and Inputs</w:t>
            </w:r>
            <w:r w:rsidR="00D51E52">
              <w:rPr>
                <w:noProof/>
                <w:webHidden/>
              </w:rPr>
              <w:tab/>
            </w:r>
            <w:r w:rsidR="00D51E52">
              <w:rPr>
                <w:noProof/>
                <w:webHidden/>
              </w:rPr>
              <w:fldChar w:fldCharType="begin"/>
            </w:r>
            <w:r w:rsidR="00D51E52">
              <w:rPr>
                <w:noProof/>
                <w:webHidden/>
              </w:rPr>
              <w:instrText xml:space="preserve"> PAGEREF _Toc77661179 \h </w:instrText>
            </w:r>
            <w:r w:rsidR="00D51E52">
              <w:rPr>
                <w:noProof/>
                <w:webHidden/>
              </w:rPr>
            </w:r>
            <w:r w:rsidR="00D51E52">
              <w:rPr>
                <w:noProof/>
                <w:webHidden/>
              </w:rPr>
              <w:fldChar w:fldCharType="separate"/>
            </w:r>
            <w:r w:rsidR="00D51E52">
              <w:rPr>
                <w:noProof/>
                <w:webHidden/>
              </w:rPr>
              <w:t>25</w:t>
            </w:r>
            <w:r w:rsidR="00D51E52">
              <w:rPr>
                <w:noProof/>
                <w:webHidden/>
              </w:rPr>
              <w:fldChar w:fldCharType="end"/>
            </w:r>
          </w:hyperlink>
        </w:p>
        <w:p w14:paraId="780E212E" w14:textId="28A597AB" w:rsidR="00D51E52" w:rsidRDefault="00133F51">
          <w:pPr>
            <w:pStyle w:val="TOC3"/>
            <w:tabs>
              <w:tab w:val="right" w:leader="dot" w:pos="9350"/>
            </w:tabs>
            <w:rPr>
              <w:noProof/>
            </w:rPr>
          </w:pPr>
          <w:hyperlink w:anchor="_Toc77661180" w:history="1">
            <w:r w:rsidR="00D51E52" w:rsidRPr="00927F49">
              <w:rPr>
                <w:rStyle w:val="Hyperlink"/>
                <w:noProof/>
              </w:rPr>
              <w:t>Step 6 Outputs</w:t>
            </w:r>
            <w:r w:rsidR="00D51E52">
              <w:rPr>
                <w:noProof/>
                <w:webHidden/>
              </w:rPr>
              <w:tab/>
            </w:r>
            <w:r w:rsidR="00D51E52">
              <w:rPr>
                <w:noProof/>
                <w:webHidden/>
              </w:rPr>
              <w:fldChar w:fldCharType="begin"/>
            </w:r>
            <w:r w:rsidR="00D51E52">
              <w:rPr>
                <w:noProof/>
                <w:webHidden/>
              </w:rPr>
              <w:instrText xml:space="preserve"> PAGEREF _Toc77661180 \h </w:instrText>
            </w:r>
            <w:r w:rsidR="00D51E52">
              <w:rPr>
                <w:noProof/>
                <w:webHidden/>
              </w:rPr>
            </w:r>
            <w:r w:rsidR="00D51E52">
              <w:rPr>
                <w:noProof/>
                <w:webHidden/>
              </w:rPr>
              <w:fldChar w:fldCharType="separate"/>
            </w:r>
            <w:r w:rsidR="00D51E52">
              <w:rPr>
                <w:noProof/>
                <w:webHidden/>
              </w:rPr>
              <w:t>26</w:t>
            </w:r>
            <w:r w:rsidR="00D51E52">
              <w:rPr>
                <w:noProof/>
                <w:webHidden/>
              </w:rPr>
              <w:fldChar w:fldCharType="end"/>
            </w:r>
          </w:hyperlink>
        </w:p>
        <w:p w14:paraId="511BE030" w14:textId="7A20CBDA" w:rsidR="00D51E52" w:rsidRDefault="00133F51">
          <w:pPr>
            <w:pStyle w:val="TOC2"/>
            <w:tabs>
              <w:tab w:val="right" w:leader="dot" w:pos="9350"/>
            </w:tabs>
            <w:rPr>
              <w:noProof/>
            </w:rPr>
          </w:pPr>
          <w:hyperlink w:anchor="_Toc77661181" w:history="1">
            <w:r w:rsidR="00D51E52" w:rsidRPr="00927F49">
              <w:rPr>
                <w:rStyle w:val="Hyperlink"/>
                <w:noProof/>
              </w:rPr>
              <w:t>2.8 Step 7 – Calculate Module A0 – Impacts from Forestry</w:t>
            </w:r>
            <w:r w:rsidR="00D51E52">
              <w:rPr>
                <w:noProof/>
                <w:webHidden/>
              </w:rPr>
              <w:tab/>
            </w:r>
            <w:r w:rsidR="00D51E52">
              <w:rPr>
                <w:noProof/>
                <w:webHidden/>
              </w:rPr>
              <w:fldChar w:fldCharType="begin"/>
            </w:r>
            <w:r w:rsidR="00D51E52">
              <w:rPr>
                <w:noProof/>
                <w:webHidden/>
              </w:rPr>
              <w:instrText xml:space="preserve"> PAGEREF _Toc77661181 \h </w:instrText>
            </w:r>
            <w:r w:rsidR="00D51E52">
              <w:rPr>
                <w:noProof/>
                <w:webHidden/>
              </w:rPr>
            </w:r>
            <w:r w:rsidR="00D51E52">
              <w:rPr>
                <w:noProof/>
                <w:webHidden/>
              </w:rPr>
              <w:fldChar w:fldCharType="separate"/>
            </w:r>
            <w:r w:rsidR="00D51E52">
              <w:rPr>
                <w:noProof/>
                <w:webHidden/>
              </w:rPr>
              <w:t>26</w:t>
            </w:r>
            <w:r w:rsidR="00D51E52">
              <w:rPr>
                <w:noProof/>
                <w:webHidden/>
              </w:rPr>
              <w:fldChar w:fldCharType="end"/>
            </w:r>
          </w:hyperlink>
        </w:p>
        <w:p w14:paraId="357482A8" w14:textId="1B7500A3" w:rsidR="00D51E52" w:rsidRDefault="00133F51">
          <w:pPr>
            <w:pStyle w:val="TOC3"/>
            <w:tabs>
              <w:tab w:val="right" w:leader="dot" w:pos="9350"/>
            </w:tabs>
            <w:rPr>
              <w:noProof/>
            </w:rPr>
          </w:pPr>
          <w:hyperlink w:anchor="_Toc77661182" w:history="1">
            <w:r w:rsidR="00D51E52" w:rsidRPr="00927F49">
              <w:rPr>
                <w:rStyle w:val="Hyperlink"/>
                <w:noProof/>
              </w:rPr>
              <w:t>Step 7 Overview and Inputs</w:t>
            </w:r>
            <w:r w:rsidR="00D51E52">
              <w:rPr>
                <w:noProof/>
                <w:webHidden/>
              </w:rPr>
              <w:tab/>
            </w:r>
            <w:r w:rsidR="00D51E52">
              <w:rPr>
                <w:noProof/>
                <w:webHidden/>
              </w:rPr>
              <w:fldChar w:fldCharType="begin"/>
            </w:r>
            <w:r w:rsidR="00D51E52">
              <w:rPr>
                <w:noProof/>
                <w:webHidden/>
              </w:rPr>
              <w:instrText xml:space="preserve"> PAGEREF _Toc77661182 \h </w:instrText>
            </w:r>
            <w:r w:rsidR="00D51E52">
              <w:rPr>
                <w:noProof/>
                <w:webHidden/>
              </w:rPr>
            </w:r>
            <w:r w:rsidR="00D51E52">
              <w:rPr>
                <w:noProof/>
                <w:webHidden/>
              </w:rPr>
              <w:fldChar w:fldCharType="separate"/>
            </w:r>
            <w:r w:rsidR="00D51E52">
              <w:rPr>
                <w:noProof/>
                <w:webHidden/>
              </w:rPr>
              <w:t>26</w:t>
            </w:r>
            <w:r w:rsidR="00D51E52">
              <w:rPr>
                <w:noProof/>
                <w:webHidden/>
              </w:rPr>
              <w:fldChar w:fldCharType="end"/>
            </w:r>
          </w:hyperlink>
        </w:p>
        <w:p w14:paraId="51C52C1D" w14:textId="744909FB" w:rsidR="00D51E52" w:rsidRDefault="00133F51">
          <w:pPr>
            <w:pStyle w:val="TOC3"/>
            <w:tabs>
              <w:tab w:val="right" w:leader="dot" w:pos="9350"/>
            </w:tabs>
            <w:rPr>
              <w:noProof/>
            </w:rPr>
          </w:pPr>
          <w:hyperlink w:anchor="_Toc77661183" w:history="1">
            <w:r w:rsidR="00D51E52" w:rsidRPr="00927F49">
              <w:rPr>
                <w:rStyle w:val="Hyperlink"/>
                <w:noProof/>
              </w:rPr>
              <w:t>Step 7 Outputs</w:t>
            </w:r>
            <w:r w:rsidR="00D51E52">
              <w:rPr>
                <w:noProof/>
                <w:webHidden/>
              </w:rPr>
              <w:tab/>
            </w:r>
            <w:r w:rsidR="00D51E52">
              <w:rPr>
                <w:noProof/>
                <w:webHidden/>
              </w:rPr>
              <w:fldChar w:fldCharType="begin"/>
            </w:r>
            <w:r w:rsidR="00D51E52">
              <w:rPr>
                <w:noProof/>
                <w:webHidden/>
              </w:rPr>
              <w:instrText xml:space="preserve"> PAGEREF _Toc77661183 \h </w:instrText>
            </w:r>
            <w:r w:rsidR="00D51E52">
              <w:rPr>
                <w:noProof/>
                <w:webHidden/>
              </w:rPr>
            </w:r>
            <w:r w:rsidR="00D51E52">
              <w:rPr>
                <w:noProof/>
                <w:webHidden/>
              </w:rPr>
              <w:fldChar w:fldCharType="separate"/>
            </w:r>
            <w:r w:rsidR="00D51E52">
              <w:rPr>
                <w:noProof/>
                <w:webHidden/>
              </w:rPr>
              <w:t>29</w:t>
            </w:r>
            <w:r w:rsidR="00D51E52">
              <w:rPr>
                <w:noProof/>
                <w:webHidden/>
              </w:rPr>
              <w:fldChar w:fldCharType="end"/>
            </w:r>
          </w:hyperlink>
        </w:p>
        <w:p w14:paraId="143A4083" w14:textId="38257CB1" w:rsidR="00D51E52" w:rsidRDefault="00133F51">
          <w:pPr>
            <w:pStyle w:val="TOC2"/>
            <w:tabs>
              <w:tab w:val="right" w:leader="dot" w:pos="9350"/>
            </w:tabs>
            <w:rPr>
              <w:noProof/>
            </w:rPr>
          </w:pPr>
          <w:hyperlink w:anchor="_Toc77661184" w:history="1">
            <w:r w:rsidR="00D51E52" w:rsidRPr="00927F49">
              <w:rPr>
                <w:rStyle w:val="Hyperlink"/>
                <w:noProof/>
              </w:rPr>
              <w:t>2.9 Step 8 – Calculate Uncertainty Factor – Add Factor to Net GWP</w:t>
            </w:r>
            <w:r w:rsidR="00D51E52">
              <w:rPr>
                <w:noProof/>
                <w:webHidden/>
              </w:rPr>
              <w:tab/>
            </w:r>
            <w:r w:rsidR="00D51E52">
              <w:rPr>
                <w:noProof/>
                <w:webHidden/>
              </w:rPr>
              <w:fldChar w:fldCharType="begin"/>
            </w:r>
            <w:r w:rsidR="00D51E52">
              <w:rPr>
                <w:noProof/>
                <w:webHidden/>
              </w:rPr>
              <w:instrText xml:space="preserve"> PAGEREF _Toc77661184 \h </w:instrText>
            </w:r>
            <w:r w:rsidR="00D51E52">
              <w:rPr>
                <w:noProof/>
                <w:webHidden/>
              </w:rPr>
            </w:r>
            <w:r w:rsidR="00D51E52">
              <w:rPr>
                <w:noProof/>
                <w:webHidden/>
              </w:rPr>
              <w:fldChar w:fldCharType="separate"/>
            </w:r>
            <w:r w:rsidR="00D51E52">
              <w:rPr>
                <w:noProof/>
                <w:webHidden/>
              </w:rPr>
              <w:t>32</w:t>
            </w:r>
            <w:r w:rsidR="00D51E52">
              <w:rPr>
                <w:noProof/>
                <w:webHidden/>
              </w:rPr>
              <w:fldChar w:fldCharType="end"/>
            </w:r>
          </w:hyperlink>
        </w:p>
        <w:p w14:paraId="19C98B41" w14:textId="39730EDE" w:rsidR="00D51E52" w:rsidRDefault="00133F51">
          <w:pPr>
            <w:pStyle w:val="TOC3"/>
            <w:tabs>
              <w:tab w:val="right" w:leader="dot" w:pos="9350"/>
            </w:tabs>
            <w:rPr>
              <w:noProof/>
            </w:rPr>
          </w:pPr>
          <w:hyperlink w:anchor="_Toc77661185" w:history="1">
            <w:r w:rsidR="00D51E52" w:rsidRPr="00927F49">
              <w:rPr>
                <w:rStyle w:val="Hyperlink"/>
                <w:noProof/>
              </w:rPr>
              <w:t>Step 8 Overview and Inputs</w:t>
            </w:r>
            <w:r w:rsidR="00D51E52">
              <w:rPr>
                <w:noProof/>
                <w:webHidden/>
              </w:rPr>
              <w:tab/>
            </w:r>
            <w:r w:rsidR="00D51E52">
              <w:rPr>
                <w:noProof/>
                <w:webHidden/>
              </w:rPr>
              <w:fldChar w:fldCharType="begin"/>
            </w:r>
            <w:r w:rsidR="00D51E52">
              <w:rPr>
                <w:noProof/>
                <w:webHidden/>
              </w:rPr>
              <w:instrText xml:space="preserve"> PAGEREF _Toc77661185 \h </w:instrText>
            </w:r>
            <w:r w:rsidR="00D51E52">
              <w:rPr>
                <w:noProof/>
                <w:webHidden/>
              </w:rPr>
            </w:r>
            <w:r w:rsidR="00D51E52">
              <w:rPr>
                <w:noProof/>
                <w:webHidden/>
              </w:rPr>
              <w:fldChar w:fldCharType="separate"/>
            </w:r>
            <w:r w:rsidR="00D51E52">
              <w:rPr>
                <w:noProof/>
                <w:webHidden/>
              </w:rPr>
              <w:t>32</w:t>
            </w:r>
            <w:r w:rsidR="00D51E52">
              <w:rPr>
                <w:noProof/>
                <w:webHidden/>
              </w:rPr>
              <w:fldChar w:fldCharType="end"/>
            </w:r>
          </w:hyperlink>
        </w:p>
        <w:p w14:paraId="63EFEFCA" w14:textId="57E91588" w:rsidR="00D51E52" w:rsidRDefault="00133F51">
          <w:pPr>
            <w:pStyle w:val="TOC1"/>
            <w:tabs>
              <w:tab w:val="right" w:leader="dot" w:pos="9350"/>
            </w:tabs>
            <w:rPr>
              <w:noProof/>
            </w:rPr>
          </w:pPr>
          <w:hyperlink w:anchor="_Toc77661186" w:history="1">
            <w:r w:rsidR="00D51E52" w:rsidRPr="00927F49">
              <w:rPr>
                <w:rStyle w:val="Hyperlink"/>
                <w:noProof/>
              </w:rPr>
              <w:t>References</w:t>
            </w:r>
            <w:r w:rsidR="00D51E52">
              <w:rPr>
                <w:noProof/>
                <w:webHidden/>
              </w:rPr>
              <w:tab/>
            </w:r>
            <w:r w:rsidR="00D51E52">
              <w:rPr>
                <w:noProof/>
                <w:webHidden/>
              </w:rPr>
              <w:fldChar w:fldCharType="begin"/>
            </w:r>
            <w:r w:rsidR="00D51E52">
              <w:rPr>
                <w:noProof/>
                <w:webHidden/>
              </w:rPr>
              <w:instrText xml:space="preserve"> PAGEREF _Toc77661186 \h </w:instrText>
            </w:r>
            <w:r w:rsidR="00D51E52">
              <w:rPr>
                <w:noProof/>
                <w:webHidden/>
              </w:rPr>
            </w:r>
            <w:r w:rsidR="00D51E52">
              <w:rPr>
                <w:noProof/>
                <w:webHidden/>
              </w:rPr>
              <w:fldChar w:fldCharType="separate"/>
            </w:r>
            <w:r w:rsidR="00D51E52">
              <w:rPr>
                <w:noProof/>
                <w:webHidden/>
              </w:rPr>
              <w:t>33</w:t>
            </w:r>
            <w:r w:rsidR="00D51E52">
              <w:rPr>
                <w:noProof/>
                <w:webHidden/>
              </w:rPr>
              <w:fldChar w:fldCharType="end"/>
            </w:r>
          </w:hyperlink>
        </w:p>
        <w:p w14:paraId="4BE6F27D" w14:textId="77777777" w:rsidR="00D51E52" w:rsidRDefault="00D51E52" w:rsidP="00D51E52">
          <w:pPr>
            <w:rPr>
              <w:b/>
              <w:bCs/>
              <w:noProof/>
            </w:rPr>
          </w:pPr>
          <w:r>
            <w:rPr>
              <w:b/>
              <w:bCs/>
              <w:noProof/>
            </w:rPr>
            <w:lastRenderedPageBreak/>
            <w:fldChar w:fldCharType="end"/>
          </w:r>
        </w:p>
      </w:sdtContent>
    </w:sdt>
    <w:p w14:paraId="41DCD4C9" w14:textId="5047C6FA" w:rsidR="00537F9E" w:rsidRDefault="5DB8EC90" w:rsidP="00537F9E">
      <w:pPr>
        <w:pStyle w:val="Heading1"/>
      </w:pPr>
      <w:bookmarkStart w:id="6" w:name="_Toc77661159"/>
      <w:r>
        <w:t>Forward</w:t>
      </w:r>
      <w:r w:rsidR="0F19631B">
        <w:t xml:space="preserve"> - Why UpStream?</w:t>
      </w:r>
      <w:commentRangeStart w:id="7"/>
      <w:commentRangeStart w:id="8"/>
      <w:commentRangeEnd w:id="7"/>
      <w:r w:rsidR="00537F9E">
        <w:rPr>
          <w:rStyle w:val="CommentReference"/>
        </w:rPr>
        <w:commentReference w:id="7"/>
      </w:r>
      <w:commentRangeEnd w:id="8"/>
      <w:r w:rsidR="00474714">
        <w:rPr>
          <w:rStyle w:val="CommentReference"/>
        </w:rPr>
        <w:commentReference w:id="8"/>
      </w:r>
      <w:bookmarkEnd w:id="6"/>
    </w:p>
    <w:p w14:paraId="5EECB8C8" w14:textId="71A398CE" w:rsidR="003135B8" w:rsidRDefault="003135B8" w:rsidP="069AC4E9"/>
    <w:p w14:paraId="1C4D07F7" w14:textId="55D3217E" w:rsidR="003135B8" w:rsidRPr="007C25BD" w:rsidRDefault="3F6D8BE5" w:rsidP="069AC4E9">
      <w:pPr>
        <w:rPr>
          <w:sz w:val="20"/>
          <w:szCs w:val="20"/>
        </w:rPr>
      </w:pPr>
      <w:commentRangeStart w:id="9"/>
      <w:r w:rsidRPr="007C25BD">
        <w:rPr>
          <w:sz w:val="20"/>
          <w:szCs w:val="20"/>
        </w:rPr>
        <w:t>Do</w:t>
      </w:r>
      <w:r w:rsidR="00166057" w:rsidRPr="007C25BD">
        <w:rPr>
          <w:sz w:val="20"/>
          <w:szCs w:val="20"/>
        </w:rPr>
        <w:t xml:space="preserve">es the </w:t>
      </w:r>
      <w:r w:rsidR="003F7D17" w:rsidRPr="007C25BD">
        <w:rPr>
          <w:sz w:val="20"/>
          <w:szCs w:val="20"/>
        </w:rPr>
        <w:t>building industry</w:t>
      </w:r>
      <w:r w:rsidRPr="007C25BD">
        <w:rPr>
          <w:sz w:val="20"/>
          <w:szCs w:val="20"/>
        </w:rPr>
        <w:t xml:space="preserve"> really need </w:t>
      </w:r>
      <w:r w:rsidRPr="007C25BD">
        <w:rPr>
          <w:i/>
          <w:iCs/>
          <w:sz w:val="20"/>
          <w:szCs w:val="20"/>
        </w:rPr>
        <w:t xml:space="preserve">another </w:t>
      </w:r>
      <w:r w:rsidRPr="007C25BD">
        <w:rPr>
          <w:sz w:val="20"/>
          <w:szCs w:val="20"/>
        </w:rPr>
        <w:t>wood life cycle analysis calculator?</w:t>
      </w:r>
      <w:r w:rsidR="316F8F88" w:rsidRPr="007C25BD">
        <w:rPr>
          <w:sz w:val="20"/>
          <w:szCs w:val="20"/>
        </w:rPr>
        <w:t xml:space="preserve">  In a space already saturated with tools</w:t>
      </w:r>
      <w:r w:rsidR="023FD3A2" w:rsidRPr="007C25BD">
        <w:rPr>
          <w:sz w:val="20"/>
          <w:szCs w:val="20"/>
        </w:rPr>
        <w:t xml:space="preserve"> – both LCA tools and wood-specific calculators – </w:t>
      </w:r>
      <w:r w:rsidR="44DE37B5" w:rsidRPr="007C25BD">
        <w:rPr>
          <w:sz w:val="20"/>
          <w:szCs w:val="20"/>
        </w:rPr>
        <w:t xml:space="preserve">ZGF and the University of Washington </w:t>
      </w:r>
      <w:r w:rsidR="07AA67F5" w:rsidRPr="007C25BD">
        <w:rPr>
          <w:sz w:val="20"/>
          <w:szCs w:val="20"/>
        </w:rPr>
        <w:t>still</w:t>
      </w:r>
      <w:r w:rsidR="023FD3A2" w:rsidRPr="007C25BD">
        <w:rPr>
          <w:sz w:val="20"/>
          <w:szCs w:val="20"/>
        </w:rPr>
        <w:t xml:space="preserve"> felt the answer was a resounding “yes”.  </w:t>
      </w:r>
      <w:commentRangeEnd w:id="9"/>
      <w:r w:rsidRPr="007C25BD">
        <w:rPr>
          <w:rStyle w:val="CommentReference"/>
          <w:sz w:val="20"/>
          <w:szCs w:val="20"/>
        </w:rPr>
        <w:commentReference w:id="9"/>
      </w:r>
      <w:r w:rsidR="705C4B3D" w:rsidRPr="007C25BD">
        <w:rPr>
          <w:sz w:val="20"/>
          <w:szCs w:val="20"/>
        </w:rPr>
        <w:t xml:space="preserve">Besides, we haven’t developed a </w:t>
      </w:r>
      <w:r w:rsidR="118E0AC7" w:rsidRPr="007C25BD">
        <w:rPr>
          <w:sz w:val="20"/>
          <w:szCs w:val="20"/>
        </w:rPr>
        <w:t>whole new tool</w:t>
      </w:r>
      <w:r w:rsidR="705C4B3D" w:rsidRPr="007C25BD">
        <w:rPr>
          <w:sz w:val="20"/>
          <w:szCs w:val="20"/>
        </w:rPr>
        <w:t>, rather we’ve put together a</w:t>
      </w:r>
      <w:r w:rsidR="0079531E" w:rsidRPr="007C25BD">
        <w:rPr>
          <w:sz w:val="20"/>
          <w:szCs w:val="20"/>
        </w:rPr>
        <w:t xml:space="preserve"> rapid</w:t>
      </w:r>
      <w:r w:rsidR="002323E5" w:rsidRPr="007C25BD">
        <w:rPr>
          <w:sz w:val="20"/>
          <w:szCs w:val="20"/>
        </w:rPr>
        <w:t xml:space="preserve">, carbon-focused </w:t>
      </w:r>
      <w:r w:rsidR="0079531E" w:rsidRPr="007C25BD">
        <w:rPr>
          <w:sz w:val="20"/>
          <w:szCs w:val="20"/>
        </w:rPr>
        <w:t>analysis</w:t>
      </w:r>
      <w:r w:rsidR="705C4B3D" w:rsidRPr="007C25BD">
        <w:rPr>
          <w:sz w:val="20"/>
          <w:szCs w:val="20"/>
        </w:rPr>
        <w:t xml:space="preserve"> platform </w:t>
      </w:r>
      <w:r w:rsidR="4983BB96" w:rsidRPr="007C25BD">
        <w:rPr>
          <w:sz w:val="20"/>
          <w:szCs w:val="20"/>
        </w:rPr>
        <w:t xml:space="preserve">specifically for the design community (architects, engineers, contractors, etc.) </w:t>
      </w:r>
      <w:r w:rsidR="705C4B3D" w:rsidRPr="007C25BD">
        <w:rPr>
          <w:sz w:val="20"/>
          <w:szCs w:val="20"/>
        </w:rPr>
        <w:t xml:space="preserve">that </w:t>
      </w:r>
      <w:r w:rsidR="3D835EEE" w:rsidRPr="007C25BD">
        <w:rPr>
          <w:sz w:val="20"/>
          <w:szCs w:val="20"/>
        </w:rPr>
        <w:t xml:space="preserve">combines </w:t>
      </w:r>
      <w:r w:rsidR="705C4B3D" w:rsidRPr="007C25BD">
        <w:rPr>
          <w:sz w:val="20"/>
          <w:szCs w:val="20"/>
        </w:rPr>
        <w:t xml:space="preserve">different </w:t>
      </w:r>
      <w:r w:rsidR="4372BBE5" w:rsidRPr="007C25BD">
        <w:rPr>
          <w:sz w:val="20"/>
          <w:szCs w:val="20"/>
        </w:rPr>
        <w:t xml:space="preserve">streams of data </w:t>
      </w:r>
      <w:r w:rsidR="68563D69" w:rsidRPr="007C25BD">
        <w:rPr>
          <w:sz w:val="20"/>
          <w:szCs w:val="20"/>
        </w:rPr>
        <w:t xml:space="preserve">from </w:t>
      </w:r>
      <w:r w:rsidR="2DB865C4" w:rsidRPr="007C25BD">
        <w:rPr>
          <w:sz w:val="20"/>
          <w:szCs w:val="20"/>
        </w:rPr>
        <w:t xml:space="preserve">diverse </w:t>
      </w:r>
      <w:r w:rsidR="21792D1A" w:rsidRPr="007C25BD">
        <w:rPr>
          <w:sz w:val="20"/>
          <w:szCs w:val="20"/>
        </w:rPr>
        <w:t>tools</w:t>
      </w:r>
      <w:r w:rsidR="03B3029B" w:rsidRPr="007C25BD">
        <w:rPr>
          <w:sz w:val="20"/>
          <w:szCs w:val="20"/>
        </w:rPr>
        <w:t xml:space="preserve"> and data sets</w:t>
      </w:r>
      <w:r w:rsidR="02AA4653" w:rsidRPr="007C25BD">
        <w:rPr>
          <w:sz w:val="20"/>
          <w:szCs w:val="20"/>
        </w:rPr>
        <w:t>.</w:t>
      </w:r>
      <w:r w:rsidR="3AD1475C" w:rsidRPr="007C25BD">
        <w:rPr>
          <w:sz w:val="20"/>
          <w:szCs w:val="20"/>
        </w:rPr>
        <w:t xml:space="preserve">  </w:t>
      </w:r>
      <w:r w:rsidR="4357E682" w:rsidRPr="007C25BD">
        <w:rPr>
          <w:sz w:val="20"/>
          <w:szCs w:val="20"/>
        </w:rPr>
        <w:t xml:space="preserve">What we've learned is that </w:t>
      </w:r>
      <w:r w:rsidR="3AD1475C" w:rsidRPr="007C25BD">
        <w:rPr>
          <w:sz w:val="20"/>
          <w:szCs w:val="20"/>
        </w:rPr>
        <w:t xml:space="preserve">the </w:t>
      </w:r>
      <w:r w:rsidR="7AC0256A" w:rsidRPr="007C25BD">
        <w:rPr>
          <w:sz w:val="20"/>
          <w:szCs w:val="20"/>
        </w:rPr>
        <w:t xml:space="preserve">wide </w:t>
      </w:r>
      <w:r w:rsidR="3AD1475C" w:rsidRPr="007C25BD">
        <w:rPr>
          <w:sz w:val="20"/>
          <w:szCs w:val="20"/>
        </w:rPr>
        <w:t xml:space="preserve">variability </w:t>
      </w:r>
      <w:r w:rsidR="00EB6572" w:rsidRPr="007C25BD">
        <w:rPr>
          <w:sz w:val="20"/>
          <w:szCs w:val="20"/>
        </w:rPr>
        <w:t xml:space="preserve">unique to </w:t>
      </w:r>
      <w:r w:rsidR="3AD1475C" w:rsidRPr="007C25BD">
        <w:rPr>
          <w:sz w:val="20"/>
          <w:szCs w:val="20"/>
        </w:rPr>
        <w:t>wood LCA</w:t>
      </w:r>
      <w:r w:rsidR="740CAC04" w:rsidRPr="007C25BD">
        <w:rPr>
          <w:sz w:val="20"/>
          <w:szCs w:val="20"/>
        </w:rPr>
        <w:t xml:space="preserve"> suggests </w:t>
      </w:r>
      <w:r w:rsidR="06BC9D9C" w:rsidRPr="007C25BD">
        <w:rPr>
          <w:sz w:val="20"/>
          <w:szCs w:val="20"/>
        </w:rPr>
        <w:t xml:space="preserve">that </w:t>
      </w:r>
      <w:r w:rsidR="740CAC04" w:rsidRPr="007C25BD">
        <w:rPr>
          <w:sz w:val="20"/>
          <w:szCs w:val="20"/>
        </w:rPr>
        <w:t>intentionality is</w:t>
      </w:r>
      <w:r w:rsidR="1693E737" w:rsidRPr="007C25BD">
        <w:rPr>
          <w:sz w:val="20"/>
          <w:szCs w:val="20"/>
        </w:rPr>
        <w:t xml:space="preserve"> </w:t>
      </w:r>
      <w:r w:rsidR="7F4892E5" w:rsidRPr="007C25BD">
        <w:rPr>
          <w:sz w:val="20"/>
          <w:szCs w:val="20"/>
        </w:rPr>
        <w:t xml:space="preserve">paramount </w:t>
      </w:r>
      <w:r w:rsidR="740CAC04" w:rsidRPr="007C25BD">
        <w:rPr>
          <w:sz w:val="20"/>
          <w:szCs w:val="20"/>
        </w:rPr>
        <w:t>when</w:t>
      </w:r>
      <w:r w:rsidR="5C6DB184" w:rsidRPr="007C25BD">
        <w:rPr>
          <w:sz w:val="20"/>
          <w:szCs w:val="20"/>
        </w:rPr>
        <w:t xml:space="preserve"> </w:t>
      </w:r>
      <w:r w:rsidR="0EC99C10" w:rsidRPr="007C25BD">
        <w:rPr>
          <w:sz w:val="20"/>
          <w:szCs w:val="20"/>
        </w:rPr>
        <w:t xml:space="preserve">modeling </w:t>
      </w:r>
      <w:r w:rsidR="5C6DB184" w:rsidRPr="007C25BD">
        <w:rPr>
          <w:sz w:val="20"/>
          <w:szCs w:val="20"/>
        </w:rPr>
        <w:t xml:space="preserve">assumptions, scope boundary interpretations, and </w:t>
      </w:r>
      <w:r w:rsidR="2F772977" w:rsidRPr="007C25BD">
        <w:rPr>
          <w:sz w:val="20"/>
          <w:szCs w:val="20"/>
        </w:rPr>
        <w:t xml:space="preserve">underlying </w:t>
      </w:r>
      <w:r w:rsidR="5C6DB184" w:rsidRPr="007C25BD">
        <w:rPr>
          <w:sz w:val="20"/>
          <w:szCs w:val="20"/>
        </w:rPr>
        <w:t xml:space="preserve">datasets make such a big difference in the </w:t>
      </w:r>
      <w:r w:rsidR="7B70DD77" w:rsidRPr="007C25BD">
        <w:rPr>
          <w:sz w:val="20"/>
          <w:szCs w:val="20"/>
        </w:rPr>
        <w:t>result</w:t>
      </w:r>
      <w:r w:rsidR="5C6DB184" w:rsidRPr="007C25BD">
        <w:rPr>
          <w:sz w:val="20"/>
          <w:szCs w:val="20"/>
        </w:rPr>
        <w:t>s</w:t>
      </w:r>
      <w:commentRangeStart w:id="10"/>
      <w:commentRangeStart w:id="11"/>
      <w:commentRangeStart w:id="12"/>
      <w:r w:rsidR="740CAC04" w:rsidRPr="007C25BD">
        <w:rPr>
          <w:sz w:val="20"/>
          <w:szCs w:val="20"/>
        </w:rPr>
        <w:t>.</w:t>
      </w:r>
      <w:commentRangeEnd w:id="10"/>
      <w:r w:rsidRPr="007C25BD">
        <w:rPr>
          <w:rStyle w:val="CommentReference"/>
          <w:sz w:val="20"/>
          <w:szCs w:val="20"/>
        </w:rPr>
        <w:commentReference w:id="10"/>
      </w:r>
      <w:commentRangeEnd w:id="11"/>
      <w:r w:rsidRPr="007C25BD">
        <w:rPr>
          <w:rStyle w:val="CommentReference"/>
          <w:sz w:val="20"/>
          <w:szCs w:val="20"/>
        </w:rPr>
        <w:commentReference w:id="11"/>
      </w:r>
      <w:commentRangeEnd w:id="12"/>
      <w:r w:rsidRPr="007C25BD">
        <w:rPr>
          <w:rStyle w:val="CommentReference"/>
          <w:sz w:val="20"/>
          <w:szCs w:val="20"/>
        </w:rPr>
        <w:commentReference w:id="12"/>
      </w:r>
      <w:r w:rsidR="740CAC04" w:rsidRPr="007C25BD">
        <w:rPr>
          <w:sz w:val="20"/>
          <w:szCs w:val="20"/>
        </w:rPr>
        <w:t xml:space="preserve">  </w:t>
      </w:r>
      <w:r w:rsidR="705C4B3D" w:rsidRPr="007C25BD">
        <w:rPr>
          <w:sz w:val="20"/>
          <w:szCs w:val="20"/>
        </w:rPr>
        <w:t xml:space="preserve"> </w:t>
      </w:r>
    </w:p>
    <w:p w14:paraId="41B9DBF4" w14:textId="072C48DD" w:rsidR="003135B8" w:rsidRPr="007C25BD" w:rsidRDefault="797929F9" w:rsidP="069AC4E9">
      <w:pPr>
        <w:rPr>
          <w:sz w:val="20"/>
          <w:szCs w:val="20"/>
        </w:rPr>
      </w:pPr>
      <w:r w:rsidRPr="007C25BD">
        <w:rPr>
          <w:sz w:val="20"/>
          <w:szCs w:val="20"/>
        </w:rPr>
        <w:t>Thus</w:t>
      </w:r>
      <w:r w:rsidR="7EB71E32" w:rsidRPr="007C25BD">
        <w:rPr>
          <w:sz w:val="20"/>
          <w:szCs w:val="20"/>
        </w:rPr>
        <w:t xml:space="preserve">, </w:t>
      </w:r>
      <w:r w:rsidR="023FD3A2" w:rsidRPr="007C25BD">
        <w:rPr>
          <w:sz w:val="20"/>
          <w:szCs w:val="20"/>
        </w:rPr>
        <w:t>UpStream advances the wood LCA conversation in the following ways:</w:t>
      </w:r>
    </w:p>
    <w:p w14:paraId="090A94FF" w14:textId="5F1BF88B" w:rsidR="003135B8" w:rsidRPr="007C25BD" w:rsidRDefault="21E45097" w:rsidP="069AC4E9">
      <w:pPr>
        <w:pStyle w:val="ListParagraph"/>
        <w:numPr>
          <w:ilvl w:val="0"/>
          <w:numId w:val="13"/>
        </w:numPr>
        <w:rPr>
          <w:rFonts w:eastAsiaTheme="minorEastAsia"/>
          <w:sz w:val="20"/>
          <w:szCs w:val="20"/>
        </w:rPr>
      </w:pPr>
      <w:r w:rsidRPr="007C25BD">
        <w:rPr>
          <w:b/>
          <w:bCs/>
          <w:sz w:val="20"/>
          <w:szCs w:val="20"/>
        </w:rPr>
        <w:t>Forest practices matter</w:t>
      </w:r>
      <w:r w:rsidRPr="007C25BD">
        <w:rPr>
          <w:sz w:val="20"/>
          <w:szCs w:val="20"/>
        </w:rPr>
        <w:t xml:space="preserve"> -</w:t>
      </w:r>
      <w:r w:rsidR="6ADE01BC" w:rsidRPr="007C25BD">
        <w:rPr>
          <w:sz w:val="20"/>
          <w:szCs w:val="20"/>
        </w:rPr>
        <w:t xml:space="preserve"> Upstream add</w:t>
      </w:r>
      <w:r w:rsidR="5E69EB37" w:rsidRPr="007C25BD">
        <w:rPr>
          <w:sz w:val="20"/>
          <w:szCs w:val="20"/>
        </w:rPr>
        <w:t>s</w:t>
      </w:r>
      <w:r w:rsidR="6ADE01BC" w:rsidRPr="007C25BD">
        <w:rPr>
          <w:sz w:val="20"/>
          <w:szCs w:val="20"/>
        </w:rPr>
        <w:t xml:space="preserve"> an “A0” module</w:t>
      </w:r>
      <w:r w:rsidRPr="007C25BD">
        <w:rPr>
          <w:sz w:val="20"/>
          <w:szCs w:val="20"/>
        </w:rPr>
        <w:t xml:space="preserve"> </w:t>
      </w:r>
      <w:r w:rsidR="4A307455" w:rsidRPr="007C25BD">
        <w:rPr>
          <w:sz w:val="20"/>
          <w:szCs w:val="20"/>
        </w:rPr>
        <w:t xml:space="preserve">(forest carbon impacts) to </w:t>
      </w:r>
      <w:r w:rsidR="487B729E" w:rsidRPr="007C25BD">
        <w:rPr>
          <w:sz w:val="20"/>
          <w:szCs w:val="20"/>
        </w:rPr>
        <w:t xml:space="preserve">wood products in </w:t>
      </w:r>
      <w:r w:rsidR="4A307455" w:rsidRPr="007C25BD">
        <w:rPr>
          <w:sz w:val="20"/>
          <w:szCs w:val="20"/>
        </w:rPr>
        <w:t>component-based or whole building life cycle an</w:t>
      </w:r>
      <w:r w:rsidR="48503D20" w:rsidRPr="007C25BD">
        <w:rPr>
          <w:sz w:val="20"/>
          <w:szCs w:val="20"/>
        </w:rPr>
        <w:t>alyses</w:t>
      </w:r>
      <w:r w:rsidR="4A307455" w:rsidRPr="007C25BD">
        <w:rPr>
          <w:sz w:val="20"/>
          <w:szCs w:val="20"/>
        </w:rPr>
        <w:t>.</w:t>
      </w:r>
      <w:r w:rsidR="53C3395E" w:rsidRPr="007C25BD">
        <w:rPr>
          <w:sz w:val="20"/>
          <w:szCs w:val="20"/>
        </w:rPr>
        <w:t xml:space="preserve">  It </w:t>
      </w:r>
      <w:r w:rsidR="0FDC6522" w:rsidRPr="007C25BD">
        <w:rPr>
          <w:sz w:val="20"/>
          <w:szCs w:val="20"/>
        </w:rPr>
        <w:t xml:space="preserve">builds </w:t>
      </w:r>
      <w:r w:rsidR="184A82D2" w:rsidRPr="007C25BD">
        <w:rPr>
          <w:sz w:val="20"/>
          <w:szCs w:val="20"/>
        </w:rPr>
        <w:t>up</w:t>
      </w:r>
      <w:r w:rsidR="53C3395E" w:rsidRPr="007C25BD">
        <w:rPr>
          <w:sz w:val="20"/>
          <w:szCs w:val="20"/>
        </w:rPr>
        <w:t>on the net neutrality assumption</w:t>
      </w:r>
      <w:r w:rsidR="5CD1CC45" w:rsidRPr="007C25BD">
        <w:rPr>
          <w:sz w:val="20"/>
          <w:szCs w:val="20"/>
        </w:rPr>
        <w:t xml:space="preserve"> of</w:t>
      </w:r>
      <w:r w:rsidR="750F9B85" w:rsidRPr="007C25BD">
        <w:rPr>
          <w:sz w:val="20"/>
          <w:szCs w:val="20"/>
        </w:rPr>
        <w:t xml:space="preserve"> current LCA Standards</w:t>
      </w:r>
      <w:r w:rsidR="5CD1CC45" w:rsidRPr="007C25BD">
        <w:rPr>
          <w:sz w:val="20"/>
          <w:szCs w:val="20"/>
        </w:rPr>
        <w:t xml:space="preserve"> </w:t>
      </w:r>
      <w:r w:rsidR="471D790F" w:rsidRPr="007C25BD">
        <w:rPr>
          <w:sz w:val="20"/>
          <w:szCs w:val="20"/>
        </w:rPr>
        <w:t xml:space="preserve">for </w:t>
      </w:r>
      <w:r w:rsidR="5CD1CC45" w:rsidRPr="007C25BD">
        <w:rPr>
          <w:sz w:val="20"/>
          <w:szCs w:val="20"/>
        </w:rPr>
        <w:t>forest practices an</w:t>
      </w:r>
      <w:r w:rsidR="5B1CCA8E" w:rsidRPr="007C25BD">
        <w:rPr>
          <w:sz w:val="20"/>
          <w:szCs w:val="20"/>
        </w:rPr>
        <w:t>d attempt</w:t>
      </w:r>
      <w:r w:rsidR="4E7023F0" w:rsidRPr="007C25BD">
        <w:rPr>
          <w:sz w:val="20"/>
          <w:szCs w:val="20"/>
        </w:rPr>
        <w:t>s</w:t>
      </w:r>
      <w:r w:rsidR="5B1CCA8E" w:rsidRPr="007C25BD">
        <w:rPr>
          <w:sz w:val="20"/>
          <w:szCs w:val="20"/>
        </w:rPr>
        <w:t xml:space="preserve"> to account for the</w:t>
      </w:r>
      <w:r w:rsidR="560456EB" w:rsidRPr="007C25BD">
        <w:rPr>
          <w:sz w:val="20"/>
          <w:szCs w:val="20"/>
        </w:rPr>
        <w:t xml:space="preserve"> complex temporal and spatial</w:t>
      </w:r>
      <w:r w:rsidR="5B1CCA8E" w:rsidRPr="007C25BD">
        <w:rPr>
          <w:sz w:val="20"/>
          <w:szCs w:val="20"/>
        </w:rPr>
        <w:t xml:space="preserve"> </w:t>
      </w:r>
      <w:r w:rsidR="2AEBDAC2" w:rsidRPr="007C25BD">
        <w:rPr>
          <w:sz w:val="20"/>
          <w:szCs w:val="20"/>
        </w:rPr>
        <w:t>r</w:t>
      </w:r>
      <w:r w:rsidR="796F4A4D" w:rsidRPr="007C25BD">
        <w:rPr>
          <w:sz w:val="20"/>
          <w:szCs w:val="20"/>
        </w:rPr>
        <w:t xml:space="preserve">elationship </w:t>
      </w:r>
      <w:r w:rsidR="2AEBDAC2" w:rsidRPr="007C25BD">
        <w:rPr>
          <w:sz w:val="20"/>
          <w:szCs w:val="20"/>
        </w:rPr>
        <w:t xml:space="preserve">between carbon in the forest and </w:t>
      </w:r>
      <w:r w:rsidR="4E6D6EAB" w:rsidRPr="007C25BD">
        <w:rPr>
          <w:sz w:val="20"/>
          <w:szCs w:val="20"/>
        </w:rPr>
        <w:t>the</w:t>
      </w:r>
      <w:r w:rsidR="2AEBDAC2" w:rsidRPr="007C25BD">
        <w:rPr>
          <w:sz w:val="20"/>
          <w:szCs w:val="20"/>
        </w:rPr>
        <w:t xml:space="preserve"> built environment</w:t>
      </w:r>
      <w:r w:rsidR="53C3395E" w:rsidRPr="007C25BD">
        <w:rPr>
          <w:sz w:val="20"/>
          <w:szCs w:val="20"/>
        </w:rPr>
        <w:t xml:space="preserve">. </w:t>
      </w:r>
      <w:commentRangeStart w:id="13"/>
      <w:r w:rsidR="26BDCC09" w:rsidRPr="007C25BD">
        <w:rPr>
          <w:sz w:val="20"/>
          <w:szCs w:val="20"/>
        </w:rPr>
        <w:t xml:space="preserve">What </w:t>
      </w:r>
      <w:commentRangeStart w:id="14"/>
      <w:commentRangeStart w:id="15"/>
      <w:commentRangeStart w:id="16"/>
      <w:r w:rsidR="26BDCC09" w:rsidRPr="007C25BD">
        <w:rPr>
          <w:sz w:val="20"/>
          <w:szCs w:val="20"/>
        </w:rPr>
        <w:t>we’ll</w:t>
      </w:r>
      <w:commentRangeEnd w:id="14"/>
      <w:r w:rsidRPr="007C25BD">
        <w:rPr>
          <w:rStyle w:val="CommentReference"/>
          <w:sz w:val="20"/>
          <w:szCs w:val="20"/>
        </w:rPr>
        <w:commentReference w:id="14"/>
      </w:r>
      <w:commentRangeEnd w:id="15"/>
      <w:r w:rsidR="009A1906" w:rsidRPr="007C25BD">
        <w:rPr>
          <w:rStyle w:val="CommentReference"/>
          <w:sz w:val="20"/>
          <w:szCs w:val="20"/>
        </w:rPr>
        <w:commentReference w:id="15"/>
      </w:r>
      <w:commentRangeEnd w:id="16"/>
      <w:r w:rsidR="009A1906" w:rsidRPr="007C25BD">
        <w:rPr>
          <w:rStyle w:val="CommentReference"/>
          <w:sz w:val="20"/>
          <w:szCs w:val="20"/>
        </w:rPr>
        <w:commentReference w:id="16"/>
      </w:r>
      <w:r w:rsidR="26BDCC09" w:rsidRPr="007C25BD">
        <w:rPr>
          <w:sz w:val="20"/>
          <w:szCs w:val="20"/>
        </w:rPr>
        <w:t xml:space="preserve"> find is that a lot of our forests are doing a good job adding carbon to the landscape while balancing ecology with timber output.  </w:t>
      </w:r>
      <w:r w:rsidR="212053DC" w:rsidRPr="007C25BD">
        <w:rPr>
          <w:sz w:val="20"/>
          <w:szCs w:val="20"/>
        </w:rPr>
        <w:t>Instead of viewing all forests as the same, w</w:t>
      </w:r>
      <w:r w:rsidR="26BDCC09" w:rsidRPr="007C25BD">
        <w:rPr>
          <w:sz w:val="20"/>
          <w:szCs w:val="20"/>
        </w:rPr>
        <w:t xml:space="preserve">e </w:t>
      </w:r>
      <w:r w:rsidR="61AC333C" w:rsidRPr="007C25BD">
        <w:rPr>
          <w:sz w:val="20"/>
          <w:szCs w:val="20"/>
        </w:rPr>
        <w:t xml:space="preserve">should be </w:t>
      </w:r>
      <w:r w:rsidR="21CE6293" w:rsidRPr="007C25BD">
        <w:rPr>
          <w:sz w:val="20"/>
          <w:szCs w:val="20"/>
        </w:rPr>
        <w:t xml:space="preserve">claiming </w:t>
      </w:r>
      <w:r w:rsidR="26BDCC09" w:rsidRPr="007C25BD">
        <w:rPr>
          <w:sz w:val="20"/>
          <w:szCs w:val="20"/>
        </w:rPr>
        <w:t>th</w:t>
      </w:r>
      <w:r w:rsidR="7A62C2D2" w:rsidRPr="007C25BD">
        <w:rPr>
          <w:sz w:val="20"/>
          <w:szCs w:val="20"/>
        </w:rPr>
        <w:t xml:space="preserve">is </w:t>
      </w:r>
      <w:r w:rsidR="2C3FF3FC" w:rsidRPr="007C25BD">
        <w:rPr>
          <w:sz w:val="20"/>
          <w:szCs w:val="20"/>
        </w:rPr>
        <w:t xml:space="preserve">carbon </w:t>
      </w:r>
      <w:r w:rsidR="26BDCC09" w:rsidRPr="007C25BD">
        <w:rPr>
          <w:sz w:val="20"/>
          <w:szCs w:val="20"/>
        </w:rPr>
        <w:t>benefit</w:t>
      </w:r>
      <w:r w:rsidR="1CE4345F" w:rsidRPr="007C25BD">
        <w:rPr>
          <w:sz w:val="20"/>
          <w:szCs w:val="20"/>
        </w:rPr>
        <w:t xml:space="preserve"> of wood </w:t>
      </w:r>
      <w:r w:rsidR="71ABABE0" w:rsidRPr="007C25BD">
        <w:rPr>
          <w:sz w:val="20"/>
          <w:szCs w:val="20"/>
        </w:rPr>
        <w:t>construction that often gets overlooked</w:t>
      </w:r>
      <w:r w:rsidR="035A0905" w:rsidRPr="007C25BD">
        <w:rPr>
          <w:sz w:val="20"/>
          <w:szCs w:val="20"/>
        </w:rPr>
        <w:t xml:space="preserve">. </w:t>
      </w:r>
      <w:r w:rsidR="71ABABE0" w:rsidRPr="007C25BD">
        <w:rPr>
          <w:sz w:val="20"/>
          <w:szCs w:val="20"/>
        </w:rPr>
        <w:t xml:space="preserve">  </w:t>
      </w:r>
      <w:commentRangeEnd w:id="13"/>
      <w:r w:rsidR="003135B8" w:rsidRPr="007C25BD">
        <w:rPr>
          <w:rStyle w:val="CommentReference"/>
          <w:sz w:val="20"/>
          <w:szCs w:val="20"/>
        </w:rPr>
        <w:commentReference w:id="13"/>
      </w:r>
    </w:p>
    <w:p w14:paraId="1E5F9DC6" w14:textId="043B53B5" w:rsidR="003135B8" w:rsidRPr="007C25BD" w:rsidRDefault="30973087" w:rsidP="069AC4E9">
      <w:pPr>
        <w:pStyle w:val="ListParagraph"/>
        <w:numPr>
          <w:ilvl w:val="0"/>
          <w:numId w:val="13"/>
        </w:numPr>
        <w:rPr>
          <w:sz w:val="20"/>
          <w:szCs w:val="20"/>
        </w:rPr>
      </w:pPr>
      <w:r w:rsidRPr="007C25BD">
        <w:rPr>
          <w:b/>
          <w:bCs/>
          <w:sz w:val="20"/>
          <w:szCs w:val="20"/>
        </w:rPr>
        <w:t>End of Life Flexibility</w:t>
      </w:r>
      <w:r w:rsidRPr="007C25BD">
        <w:rPr>
          <w:sz w:val="20"/>
          <w:szCs w:val="20"/>
        </w:rPr>
        <w:t xml:space="preserve"> – once </w:t>
      </w:r>
      <w:r w:rsidR="565E1289" w:rsidRPr="007C25BD">
        <w:rPr>
          <w:sz w:val="20"/>
          <w:szCs w:val="20"/>
        </w:rPr>
        <w:t>LCAs include</w:t>
      </w:r>
      <w:r w:rsidR="408252DA" w:rsidRPr="007C25BD">
        <w:rPr>
          <w:sz w:val="20"/>
          <w:szCs w:val="20"/>
        </w:rPr>
        <w:t xml:space="preserve"> the </w:t>
      </w:r>
      <w:r w:rsidRPr="007C25BD">
        <w:rPr>
          <w:sz w:val="20"/>
          <w:szCs w:val="20"/>
        </w:rPr>
        <w:t>biogenic carbon stor</w:t>
      </w:r>
      <w:r w:rsidR="36A153EC" w:rsidRPr="007C25BD">
        <w:rPr>
          <w:sz w:val="20"/>
          <w:szCs w:val="20"/>
        </w:rPr>
        <w:t>ed</w:t>
      </w:r>
      <w:r w:rsidRPr="007C25BD">
        <w:rPr>
          <w:sz w:val="20"/>
          <w:szCs w:val="20"/>
        </w:rPr>
        <w:t xml:space="preserve"> </w:t>
      </w:r>
      <w:r w:rsidR="1924746D" w:rsidRPr="007C25BD">
        <w:rPr>
          <w:sz w:val="20"/>
          <w:szCs w:val="20"/>
        </w:rPr>
        <w:t>in wood products</w:t>
      </w:r>
      <w:r w:rsidRPr="007C25BD">
        <w:rPr>
          <w:sz w:val="20"/>
          <w:szCs w:val="20"/>
        </w:rPr>
        <w:t>, it behoove</w:t>
      </w:r>
      <w:r w:rsidR="1C329DC6" w:rsidRPr="007C25BD">
        <w:rPr>
          <w:sz w:val="20"/>
          <w:szCs w:val="20"/>
        </w:rPr>
        <w:t>s</w:t>
      </w:r>
      <w:r w:rsidRPr="007C25BD">
        <w:rPr>
          <w:sz w:val="20"/>
          <w:szCs w:val="20"/>
        </w:rPr>
        <w:t xml:space="preserve"> us as modeling stewards to </w:t>
      </w:r>
      <w:r w:rsidR="68515455" w:rsidRPr="007C25BD">
        <w:rPr>
          <w:sz w:val="20"/>
          <w:szCs w:val="20"/>
        </w:rPr>
        <w:t xml:space="preserve">dive into the messiness of </w:t>
      </w:r>
      <w:r w:rsidR="08A60A72" w:rsidRPr="007C25BD">
        <w:rPr>
          <w:sz w:val="20"/>
          <w:szCs w:val="20"/>
        </w:rPr>
        <w:t>end-of-life</w:t>
      </w:r>
      <w:r w:rsidR="51308B07" w:rsidRPr="007C25BD">
        <w:rPr>
          <w:sz w:val="20"/>
          <w:szCs w:val="20"/>
        </w:rPr>
        <w:t xml:space="preserve"> </w:t>
      </w:r>
      <w:r w:rsidR="68515455" w:rsidRPr="007C25BD">
        <w:rPr>
          <w:sz w:val="20"/>
          <w:szCs w:val="20"/>
        </w:rPr>
        <w:t xml:space="preserve">disposal pathways, </w:t>
      </w:r>
      <w:r w:rsidR="5C5AEF56" w:rsidRPr="007C25BD">
        <w:rPr>
          <w:sz w:val="20"/>
          <w:szCs w:val="20"/>
        </w:rPr>
        <w:t>scenario distribution</w:t>
      </w:r>
      <w:r w:rsidR="68515455" w:rsidRPr="007C25BD">
        <w:rPr>
          <w:sz w:val="20"/>
          <w:szCs w:val="20"/>
        </w:rPr>
        <w:t xml:space="preserve">s, and </w:t>
      </w:r>
      <w:r w:rsidR="43BCBA99" w:rsidRPr="007C25BD">
        <w:rPr>
          <w:sz w:val="20"/>
          <w:szCs w:val="20"/>
        </w:rPr>
        <w:t xml:space="preserve">even </w:t>
      </w:r>
      <w:r w:rsidR="197C6829" w:rsidRPr="007C25BD">
        <w:rPr>
          <w:sz w:val="20"/>
          <w:szCs w:val="20"/>
        </w:rPr>
        <w:t xml:space="preserve">such details like </w:t>
      </w:r>
      <w:r w:rsidR="68515455" w:rsidRPr="007C25BD">
        <w:rPr>
          <w:sz w:val="20"/>
          <w:szCs w:val="20"/>
        </w:rPr>
        <w:t>landfill decomposition rate</w:t>
      </w:r>
      <w:r w:rsidR="725CD833" w:rsidRPr="007C25BD">
        <w:rPr>
          <w:sz w:val="20"/>
          <w:szCs w:val="20"/>
        </w:rPr>
        <w:t>s</w:t>
      </w:r>
      <w:r w:rsidR="68515455" w:rsidRPr="007C25BD">
        <w:rPr>
          <w:sz w:val="20"/>
          <w:szCs w:val="20"/>
        </w:rPr>
        <w:t>.  Most tools oversimplif</w:t>
      </w:r>
      <w:r w:rsidR="01EBA6C3" w:rsidRPr="007C25BD">
        <w:rPr>
          <w:sz w:val="20"/>
          <w:szCs w:val="20"/>
        </w:rPr>
        <w:t>y</w:t>
      </w:r>
      <w:r w:rsidR="5E03B19C" w:rsidRPr="007C25BD">
        <w:rPr>
          <w:sz w:val="20"/>
          <w:szCs w:val="20"/>
        </w:rPr>
        <w:t xml:space="preserve"> assumptions and/or </w:t>
      </w:r>
      <w:r w:rsidR="01EBA6C3" w:rsidRPr="007C25BD">
        <w:rPr>
          <w:sz w:val="20"/>
          <w:szCs w:val="20"/>
        </w:rPr>
        <w:t xml:space="preserve">provide rigid end of life scenarios.  UpStream allows for rapid comparison of baseline </w:t>
      </w:r>
      <w:r w:rsidR="21FC54DD" w:rsidRPr="007C25BD">
        <w:rPr>
          <w:sz w:val="20"/>
          <w:szCs w:val="20"/>
        </w:rPr>
        <w:t>end of life assu</w:t>
      </w:r>
      <w:r w:rsidR="0F7B12D1" w:rsidRPr="007C25BD">
        <w:rPr>
          <w:sz w:val="20"/>
          <w:szCs w:val="20"/>
        </w:rPr>
        <w:t>mptions</w:t>
      </w:r>
      <w:r w:rsidR="21FC54DD" w:rsidRPr="007C25BD">
        <w:rPr>
          <w:sz w:val="20"/>
          <w:szCs w:val="20"/>
        </w:rPr>
        <w:t xml:space="preserve"> from various methodologies</w:t>
      </w:r>
      <w:r w:rsidR="01EBA6C3" w:rsidRPr="007C25BD">
        <w:rPr>
          <w:sz w:val="20"/>
          <w:szCs w:val="20"/>
        </w:rPr>
        <w:t xml:space="preserve"> </w:t>
      </w:r>
      <w:r w:rsidR="5FFA5547" w:rsidRPr="007C25BD">
        <w:rPr>
          <w:sz w:val="20"/>
          <w:szCs w:val="20"/>
        </w:rPr>
        <w:t xml:space="preserve">and provides </w:t>
      </w:r>
      <w:r w:rsidR="01EBA6C3" w:rsidRPr="007C25BD">
        <w:rPr>
          <w:sz w:val="20"/>
          <w:szCs w:val="20"/>
        </w:rPr>
        <w:t>fully flexible i</w:t>
      </w:r>
      <w:r w:rsidR="1642006A" w:rsidRPr="007C25BD">
        <w:rPr>
          <w:sz w:val="20"/>
          <w:szCs w:val="20"/>
        </w:rPr>
        <w:t xml:space="preserve">nput scenarios </w:t>
      </w:r>
      <w:r w:rsidR="01EBA6C3" w:rsidRPr="007C25BD">
        <w:rPr>
          <w:sz w:val="20"/>
          <w:szCs w:val="20"/>
        </w:rPr>
        <w:t xml:space="preserve">with different underlying datasets. </w:t>
      </w:r>
      <w:r w:rsidR="68515455" w:rsidRPr="007C25BD">
        <w:rPr>
          <w:sz w:val="20"/>
          <w:szCs w:val="20"/>
        </w:rPr>
        <w:t xml:space="preserve"> </w:t>
      </w:r>
    </w:p>
    <w:p w14:paraId="04BFE650" w14:textId="78BE99BD" w:rsidR="003135B8" w:rsidRPr="007C25BD" w:rsidRDefault="7FB6675A" w:rsidP="069AC4E9">
      <w:pPr>
        <w:pStyle w:val="ListParagraph"/>
        <w:numPr>
          <w:ilvl w:val="0"/>
          <w:numId w:val="13"/>
        </w:numPr>
        <w:rPr>
          <w:sz w:val="20"/>
          <w:szCs w:val="20"/>
        </w:rPr>
      </w:pPr>
      <w:r w:rsidRPr="007C25BD">
        <w:rPr>
          <w:b/>
          <w:bCs/>
          <w:sz w:val="20"/>
          <w:szCs w:val="20"/>
        </w:rPr>
        <w:t>Transparency</w:t>
      </w:r>
      <w:r w:rsidR="24E4464A" w:rsidRPr="007C25BD">
        <w:rPr>
          <w:b/>
          <w:bCs/>
          <w:sz w:val="20"/>
          <w:szCs w:val="20"/>
        </w:rPr>
        <w:t xml:space="preserve"> and Openness </w:t>
      </w:r>
      <w:r w:rsidR="24E4464A" w:rsidRPr="007C25BD">
        <w:rPr>
          <w:sz w:val="20"/>
          <w:szCs w:val="20"/>
        </w:rPr>
        <w:t xml:space="preserve">– UpStream was conceived as a </w:t>
      </w:r>
      <w:r w:rsidR="0BEBEFF3" w:rsidRPr="007C25BD">
        <w:rPr>
          <w:sz w:val="20"/>
          <w:szCs w:val="20"/>
        </w:rPr>
        <w:t>transparent</w:t>
      </w:r>
      <w:r w:rsidR="24E4464A" w:rsidRPr="007C25BD">
        <w:rPr>
          <w:sz w:val="20"/>
          <w:szCs w:val="20"/>
        </w:rPr>
        <w:t xml:space="preserve">, agnostic, and open-source project.  </w:t>
      </w:r>
      <w:r w:rsidR="26DF5205" w:rsidRPr="007C25BD">
        <w:rPr>
          <w:sz w:val="20"/>
          <w:szCs w:val="20"/>
        </w:rPr>
        <w:t>“</w:t>
      </w:r>
      <w:r w:rsidR="24E4464A" w:rsidRPr="007C25BD">
        <w:rPr>
          <w:sz w:val="20"/>
          <w:szCs w:val="20"/>
        </w:rPr>
        <w:t>Transparent</w:t>
      </w:r>
      <w:r w:rsidR="31460950" w:rsidRPr="007C25BD">
        <w:rPr>
          <w:sz w:val="20"/>
          <w:szCs w:val="20"/>
        </w:rPr>
        <w:t>”</w:t>
      </w:r>
      <w:r w:rsidR="24E4464A" w:rsidRPr="007C25BD">
        <w:rPr>
          <w:sz w:val="20"/>
          <w:szCs w:val="20"/>
        </w:rPr>
        <w:t xml:space="preserve"> in its attempt to document clearly where data is coming and its underlying assumptions.  </w:t>
      </w:r>
      <w:r w:rsidR="2E33C64A" w:rsidRPr="007C25BD">
        <w:rPr>
          <w:sz w:val="20"/>
          <w:szCs w:val="20"/>
        </w:rPr>
        <w:t>“</w:t>
      </w:r>
      <w:r w:rsidR="1B58B19F" w:rsidRPr="007C25BD">
        <w:rPr>
          <w:sz w:val="20"/>
          <w:szCs w:val="20"/>
        </w:rPr>
        <w:t>Agnostic</w:t>
      </w:r>
      <w:r w:rsidR="32599BD6" w:rsidRPr="007C25BD">
        <w:rPr>
          <w:sz w:val="20"/>
          <w:szCs w:val="20"/>
        </w:rPr>
        <w:t>”</w:t>
      </w:r>
      <w:r w:rsidR="1B58B19F" w:rsidRPr="007C25BD">
        <w:rPr>
          <w:sz w:val="20"/>
          <w:szCs w:val="20"/>
        </w:rPr>
        <w:t xml:space="preserve"> in being inclusive of all tools and factors, </w:t>
      </w:r>
      <w:r w:rsidR="086E8DBA" w:rsidRPr="007C25BD">
        <w:rPr>
          <w:sz w:val="20"/>
          <w:szCs w:val="20"/>
        </w:rPr>
        <w:t>especially</w:t>
      </w:r>
      <w:r w:rsidR="1B58B19F" w:rsidRPr="007C25BD">
        <w:rPr>
          <w:sz w:val="20"/>
          <w:szCs w:val="20"/>
        </w:rPr>
        <w:t xml:space="preserve"> with A0 as many different research teams are </w:t>
      </w:r>
      <w:r w:rsidR="0699C7A6" w:rsidRPr="007C25BD">
        <w:rPr>
          <w:sz w:val="20"/>
          <w:szCs w:val="20"/>
        </w:rPr>
        <w:t>endeavoring</w:t>
      </w:r>
      <w:r w:rsidR="00526DCB" w:rsidRPr="007C25BD">
        <w:rPr>
          <w:sz w:val="20"/>
          <w:szCs w:val="20"/>
        </w:rPr>
        <w:t xml:space="preserve"> </w:t>
      </w:r>
      <w:r w:rsidR="78710AB7" w:rsidRPr="007C25BD">
        <w:rPr>
          <w:sz w:val="20"/>
          <w:szCs w:val="20"/>
        </w:rPr>
        <w:t>to</w:t>
      </w:r>
      <w:r w:rsidR="1B58B19F" w:rsidRPr="007C25BD">
        <w:rPr>
          <w:sz w:val="20"/>
          <w:szCs w:val="20"/>
        </w:rPr>
        <w:t xml:space="preserve"> figure out how to attribute </w:t>
      </w:r>
      <w:r w:rsidR="2C7C645F" w:rsidRPr="007C25BD">
        <w:rPr>
          <w:sz w:val="20"/>
          <w:szCs w:val="20"/>
        </w:rPr>
        <w:t>landscape</w:t>
      </w:r>
      <w:r w:rsidR="1B58B19F" w:rsidRPr="007C25BD">
        <w:rPr>
          <w:sz w:val="20"/>
          <w:szCs w:val="20"/>
        </w:rPr>
        <w:t xml:space="preserve">-level carbon impacts to </w:t>
      </w:r>
      <w:r w:rsidR="0B668690" w:rsidRPr="007C25BD">
        <w:rPr>
          <w:sz w:val="20"/>
          <w:szCs w:val="20"/>
        </w:rPr>
        <w:t xml:space="preserve">wood products.  </w:t>
      </w:r>
      <w:r w:rsidR="07F67365" w:rsidRPr="007C25BD">
        <w:rPr>
          <w:sz w:val="20"/>
          <w:szCs w:val="20"/>
        </w:rPr>
        <w:t xml:space="preserve">As these factors come out with documentation, they can be easily incorporated into future versions of </w:t>
      </w:r>
      <w:r w:rsidR="00C0362C" w:rsidRPr="007C25BD">
        <w:rPr>
          <w:sz w:val="20"/>
          <w:szCs w:val="20"/>
        </w:rPr>
        <w:t>UpStream</w:t>
      </w:r>
      <w:r w:rsidR="090855E8" w:rsidRPr="007C25BD">
        <w:rPr>
          <w:sz w:val="20"/>
          <w:szCs w:val="20"/>
        </w:rPr>
        <w:t xml:space="preserve"> or input manually in the meantime.</w:t>
      </w:r>
      <w:r w:rsidR="00C0362C" w:rsidRPr="007C25BD">
        <w:rPr>
          <w:sz w:val="20"/>
          <w:szCs w:val="20"/>
        </w:rPr>
        <w:t xml:space="preserve"> </w:t>
      </w:r>
      <w:r w:rsidR="0B668690" w:rsidRPr="007C25BD">
        <w:rPr>
          <w:sz w:val="20"/>
          <w:szCs w:val="20"/>
        </w:rPr>
        <w:t xml:space="preserve">.  </w:t>
      </w:r>
      <w:r w:rsidR="00B23CF0" w:rsidRPr="007C25BD">
        <w:rPr>
          <w:sz w:val="20"/>
          <w:szCs w:val="20"/>
        </w:rPr>
        <w:t>F</w:t>
      </w:r>
      <w:r w:rsidR="0B668690" w:rsidRPr="007C25BD">
        <w:rPr>
          <w:sz w:val="20"/>
          <w:szCs w:val="20"/>
        </w:rPr>
        <w:t xml:space="preserve">inally, </w:t>
      </w:r>
      <w:r w:rsidR="345D5E78" w:rsidRPr="007C25BD">
        <w:rPr>
          <w:sz w:val="20"/>
          <w:szCs w:val="20"/>
        </w:rPr>
        <w:t xml:space="preserve">UpStream is </w:t>
      </w:r>
      <w:r w:rsidR="2E7939C2" w:rsidRPr="007C25BD">
        <w:rPr>
          <w:sz w:val="20"/>
          <w:szCs w:val="20"/>
        </w:rPr>
        <w:t>“</w:t>
      </w:r>
      <w:r w:rsidR="0B668690" w:rsidRPr="007C25BD">
        <w:rPr>
          <w:sz w:val="20"/>
          <w:szCs w:val="20"/>
        </w:rPr>
        <w:t>open</w:t>
      </w:r>
      <w:r w:rsidR="5F11B6C8" w:rsidRPr="007C25BD">
        <w:rPr>
          <w:sz w:val="20"/>
          <w:szCs w:val="20"/>
        </w:rPr>
        <w:t>”</w:t>
      </w:r>
      <w:r w:rsidR="0B668690" w:rsidRPr="007C25BD">
        <w:rPr>
          <w:sz w:val="20"/>
          <w:szCs w:val="20"/>
        </w:rPr>
        <w:t xml:space="preserve"> to the LCA community to contribute to</w:t>
      </w:r>
      <w:r w:rsidR="6EE65BB3" w:rsidRPr="007C25BD">
        <w:rPr>
          <w:sz w:val="20"/>
          <w:szCs w:val="20"/>
        </w:rPr>
        <w:t xml:space="preserve">, take ownership of, and advance the tool as the wood LCA world continues to rapidly evolve. </w:t>
      </w:r>
    </w:p>
    <w:p w14:paraId="18DFC9E1" w14:textId="6FD2AAA5" w:rsidR="007C25BD" w:rsidRDefault="007C25BD">
      <w:pPr>
        <w:rPr>
          <w:sz w:val="20"/>
          <w:szCs w:val="20"/>
        </w:rPr>
      </w:pPr>
      <w:r w:rsidRPr="007C25BD">
        <w:rPr>
          <w:noProof/>
          <w:sz w:val="20"/>
          <w:szCs w:val="20"/>
        </w:rPr>
        <w:drawing>
          <wp:anchor distT="0" distB="0" distL="114300" distR="114300" simplePos="0" relativeHeight="251660288" behindDoc="0" locked="0" layoutInCell="1" allowOverlap="1" wp14:anchorId="4989077F" wp14:editId="509CC249">
            <wp:simplePos x="0" y="0"/>
            <wp:positionH relativeFrom="column">
              <wp:posOffset>3843655</wp:posOffset>
            </wp:positionH>
            <wp:positionV relativeFrom="paragraph">
              <wp:posOffset>45085</wp:posOffset>
            </wp:positionV>
            <wp:extent cx="2007870" cy="20078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68B1710" w:rsidRPr="007C25BD">
        <w:rPr>
          <w:sz w:val="20"/>
          <w:szCs w:val="20"/>
        </w:rPr>
        <w:t xml:space="preserve">From my research and travels, I’m not sure what’s messier – forestry or wood LCA.  One thing </w:t>
      </w:r>
      <w:r w:rsidR="076A3F88" w:rsidRPr="007C25BD">
        <w:rPr>
          <w:sz w:val="20"/>
          <w:szCs w:val="20"/>
        </w:rPr>
        <w:t xml:space="preserve">to me </w:t>
      </w:r>
      <w:r w:rsidR="468B1710" w:rsidRPr="007C25BD">
        <w:rPr>
          <w:sz w:val="20"/>
          <w:szCs w:val="20"/>
        </w:rPr>
        <w:t xml:space="preserve">is clear, </w:t>
      </w:r>
      <w:r w:rsidR="265F08CA" w:rsidRPr="007C25BD">
        <w:rPr>
          <w:sz w:val="20"/>
          <w:szCs w:val="20"/>
        </w:rPr>
        <w:t xml:space="preserve">however, that </w:t>
      </w:r>
      <w:r w:rsidR="468B1710" w:rsidRPr="007C25BD">
        <w:rPr>
          <w:sz w:val="20"/>
          <w:szCs w:val="20"/>
        </w:rPr>
        <w:t xml:space="preserve">we cannot wait until </w:t>
      </w:r>
      <w:r w:rsidR="3DF38C9E" w:rsidRPr="007C25BD">
        <w:rPr>
          <w:sz w:val="20"/>
          <w:szCs w:val="20"/>
        </w:rPr>
        <w:t xml:space="preserve">standards </w:t>
      </w:r>
      <w:r w:rsidR="17DCA485" w:rsidRPr="007C25BD">
        <w:rPr>
          <w:sz w:val="20"/>
          <w:szCs w:val="20"/>
        </w:rPr>
        <w:t>catch</w:t>
      </w:r>
      <w:r w:rsidR="419AC455" w:rsidRPr="007C25BD">
        <w:rPr>
          <w:sz w:val="20"/>
          <w:szCs w:val="20"/>
        </w:rPr>
        <w:t xml:space="preserve"> </w:t>
      </w:r>
      <w:r w:rsidR="17DCA485" w:rsidRPr="007C25BD">
        <w:rPr>
          <w:sz w:val="20"/>
          <w:szCs w:val="20"/>
        </w:rPr>
        <w:t>up</w:t>
      </w:r>
      <w:r w:rsidR="5787B142" w:rsidRPr="007C25BD">
        <w:rPr>
          <w:sz w:val="20"/>
          <w:szCs w:val="20"/>
        </w:rPr>
        <w:t xml:space="preserve"> </w:t>
      </w:r>
      <w:r w:rsidR="3DF38C9E" w:rsidRPr="007C25BD">
        <w:rPr>
          <w:sz w:val="20"/>
          <w:szCs w:val="20"/>
        </w:rPr>
        <w:t xml:space="preserve">or </w:t>
      </w:r>
      <w:r w:rsidR="7BCC507E" w:rsidRPr="007C25BD">
        <w:rPr>
          <w:sz w:val="20"/>
          <w:szCs w:val="20"/>
        </w:rPr>
        <w:t xml:space="preserve">until </w:t>
      </w:r>
      <w:r w:rsidR="468B1710" w:rsidRPr="007C25BD">
        <w:rPr>
          <w:sz w:val="20"/>
          <w:szCs w:val="20"/>
        </w:rPr>
        <w:t xml:space="preserve">everything </w:t>
      </w:r>
      <w:r w:rsidR="3640D302" w:rsidRPr="007C25BD">
        <w:rPr>
          <w:sz w:val="20"/>
          <w:szCs w:val="20"/>
        </w:rPr>
        <w:t>gets</w:t>
      </w:r>
      <w:r w:rsidR="34A0F002" w:rsidRPr="007C25BD">
        <w:rPr>
          <w:sz w:val="20"/>
          <w:szCs w:val="20"/>
        </w:rPr>
        <w:t xml:space="preserve"> figured </w:t>
      </w:r>
      <w:r w:rsidR="468B1710" w:rsidRPr="007C25BD">
        <w:rPr>
          <w:sz w:val="20"/>
          <w:szCs w:val="20"/>
        </w:rPr>
        <w:t>out to move forward</w:t>
      </w:r>
      <w:r w:rsidR="00286C5E" w:rsidRPr="007C25BD">
        <w:rPr>
          <w:sz w:val="20"/>
          <w:szCs w:val="20"/>
        </w:rPr>
        <w:t xml:space="preserve"> because we’re in a climate crisis now.</w:t>
      </w:r>
      <w:r w:rsidR="008B20D7" w:rsidRPr="007C25BD">
        <w:rPr>
          <w:sz w:val="20"/>
          <w:szCs w:val="20"/>
        </w:rPr>
        <w:t xml:space="preserve"> </w:t>
      </w:r>
      <w:r w:rsidR="00286C5E" w:rsidRPr="007C25BD">
        <w:rPr>
          <w:sz w:val="20"/>
          <w:szCs w:val="20"/>
        </w:rPr>
        <w:t>G</w:t>
      </w:r>
      <w:r w:rsidR="05CD5718" w:rsidRPr="007C25BD">
        <w:rPr>
          <w:sz w:val="20"/>
          <w:szCs w:val="20"/>
        </w:rPr>
        <w:t>iven our ever-shortening time to impact the worst effect</w:t>
      </w:r>
      <w:r w:rsidR="79D40318" w:rsidRPr="007C25BD">
        <w:rPr>
          <w:sz w:val="20"/>
          <w:szCs w:val="20"/>
        </w:rPr>
        <w:t>s</w:t>
      </w:r>
      <w:r w:rsidR="05CD5718" w:rsidRPr="007C25BD">
        <w:rPr>
          <w:sz w:val="20"/>
          <w:szCs w:val="20"/>
        </w:rPr>
        <w:t xml:space="preserve"> of climate change, combined with the </w:t>
      </w:r>
      <w:r w:rsidR="2BB9F49C" w:rsidRPr="007C25BD">
        <w:rPr>
          <w:sz w:val="20"/>
          <w:szCs w:val="20"/>
        </w:rPr>
        <w:t>magnitude</w:t>
      </w:r>
      <w:r w:rsidR="05CD5718" w:rsidRPr="007C25BD">
        <w:rPr>
          <w:sz w:val="20"/>
          <w:szCs w:val="20"/>
        </w:rPr>
        <w:t xml:space="preserve"> of impact</w:t>
      </w:r>
      <w:r w:rsidR="110C7BDA" w:rsidRPr="007C25BD">
        <w:rPr>
          <w:sz w:val="20"/>
          <w:szCs w:val="20"/>
        </w:rPr>
        <w:t xml:space="preserve"> buildings or</w:t>
      </w:r>
      <w:r w:rsidR="05CD5718" w:rsidRPr="007C25BD">
        <w:rPr>
          <w:sz w:val="20"/>
          <w:szCs w:val="20"/>
        </w:rPr>
        <w:t xml:space="preserve"> forest management </w:t>
      </w:r>
      <w:r w:rsidR="6672C119" w:rsidRPr="007C25BD">
        <w:rPr>
          <w:sz w:val="20"/>
          <w:szCs w:val="20"/>
        </w:rPr>
        <w:t xml:space="preserve">can </w:t>
      </w:r>
      <w:r w:rsidR="05CD5718" w:rsidRPr="007C25BD">
        <w:rPr>
          <w:sz w:val="20"/>
          <w:szCs w:val="20"/>
        </w:rPr>
        <w:t>have on global carbon</w:t>
      </w:r>
      <w:r w:rsidR="2B43FB94" w:rsidRPr="007C25BD">
        <w:rPr>
          <w:sz w:val="20"/>
          <w:szCs w:val="20"/>
        </w:rPr>
        <w:t xml:space="preserve">, we must continue to </w:t>
      </w:r>
      <w:r w:rsidR="4F93B0A8" w:rsidRPr="007C25BD">
        <w:rPr>
          <w:sz w:val="20"/>
          <w:szCs w:val="20"/>
        </w:rPr>
        <w:t xml:space="preserve">transparently advance </w:t>
      </w:r>
      <w:r w:rsidR="624341B2" w:rsidRPr="007C25BD">
        <w:rPr>
          <w:sz w:val="20"/>
          <w:szCs w:val="20"/>
        </w:rPr>
        <w:t>wood LCA in an open way</w:t>
      </w:r>
      <w:r w:rsidR="7805E516" w:rsidRPr="007C25BD">
        <w:rPr>
          <w:sz w:val="20"/>
          <w:szCs w:val="20"/>
        </w:rPr>
        <w:t>—together.</w:t>
      </w:r>
    </w:p>
    <w:p w14:paraId="7FE95CAC" w14:textId="476DA984" w:rsidR="007C25BD" w:rsidRDefault="007C25BD">
      <w:pPr>
        <w:rPr>
          <w:sz w:val="20"/>
          <w:szCs w:val="20"/>
        </w:rPr>
      </w:pPr>
      <w:r>
        <w:rPr>
          <w:noProof/>
          <w:sz w:val="20"/>
          <w:szCs w:val="20"/>
        </w:rPr>
        <mc:AlternateContent>
          <mc:Choice Requires="wpi">
            <w:drawing>
              <wp:anchor distT="0" distB="0" distL="114300" distR="114300" simplePos="0" relativeHeight="251661312" behindDoc="0" locked="0" layoutInCell="1" allowOverlap="1" wp14:anchorId="550D12A1" wp14:editId="5F56DC8F">
                <wp:simplePos x="0" y="0"/>
                <wp:positionH relativeFrom="column">
                  <wp:posOffset>345374</wp:posOffset>
                </wp:positionH>
                <wp:positionV relativeFrom="paragraph">
                  <wp:posOffset>-247439</wp:posOffset>
                </wp:positionV>
                <wp:extent cx="1749240" cy="771480"/>
                <wp:effectExtent l="38100" t="38100" r="41910" b="4826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1749240" cy="771480"/>
                      </w14:xfrm>
                    </w14:contentPart>
                  </a:graphicData>
                </a:graphic>
              </wp:anchor>
            </w:drawing>
          </mc:Choice>
          <mc:Fallback>
            <w:pict>
              <v:shapetype w14:anchorId="1551E9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6.5pt;margin-top:-20.2pt;width:139.15pt;height:6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">
                <v:imagedata r:id="rId21" o:title=""/>
              </v:shape>
            </w:pict>
          </mc:Fallback>
        </mc:AlternateContent>
      </w:r>
    </w:p>
    <w:p w14:paraId="4DAE0AB9" w14:textId="77777777" w:rsidR="007C25BD" w:rsidRDefault="007C25BD">
      <w:pPr>
        <w:rPr>
          <w:sz w:val="20"/>
          <w:szCs w:val="20"/>
        </w:rPr>
      </w:pPr>
    </w:p>
    <w:p w14:paraId="2932CABB" w14:textId="1D418EE2" w:rsidR="009B2ABF" w:rsidRPr="007C25BD" w:rsidRDefault="007C25BD">
      <w:pPr>
        <w:rPr>
          <w:b/>
          <w:bCs/>
          <w:sz w:val="20"/>
          <w:szCs w:val="20"/>
        </w:rPr>
      </w:pPr>
      <w:r w:rsidRPr="007C25BD">
        <w:rPr>
          <w:b/>
          <w:bCs/>
          <w:sz w:val="20"/>
          <w:szCs w:val="20"/>
        </w:rPr>
        <w:t>Jacob Dunn – Associate Principa</w:t>
      </w:r>
      <w:r>
        <w:rPr>
          <w:b/>
          <w:bCs/>
          <w:sz w:val="20"/>
          <w:szCs w:val="20"/>
        </w:rPr>
        <w:t>l</w:t>
      </w:r>
      <w:r w:rsidRPr="007C25BD">
        <w:rPr>
          <w:b/>
          <w:bCs/>
          <w:sz w:val="20"/>
          <w:szCs w:val="20"/>
        </w:rPr>
        <w:t xml:space="preserve"> - ZGF Architects</w:t>
      </w:r>
      <w:r w:rsidR="009B2ABF">
        <w:br w:type="page"/>
      </w:r>
    </w:p>
    <w:p w14:paraId="3734D80D" w14:textId="4697CB1A" w:rsidR="00375326" w:rsidRDefault="009B2ABF" w:rsidP="002A66FB">
      <w:pPr>
        <w:pStyle w:val="Heading1"/>
        <w:numPr>
          <w:ilvl w:val="0"/>
          <w:numId w:val="10"/>
        </w:numPr>
      </w:pPr>
      <w:bookmarkStart w:id="17" w:name="_Toc77661160"/>
      <w:commentRangeStart w:id="18"/>
      <w:r>
        <w:lastRenderedPageBreak/>
        <w:t>Introduction</w:t>
      </w:r>
      <w:commentRangeEnd w:id="18"/>
      <w:r>
        <w:rPr>
          <w:rStyle w:val="CommentReference"/>
        </w:rPr>
        <w:commentReference w:id="18"/>
      </w:r>
      <w:bookmarkEnd w:id="17"/>
    </w:p>
    <w:p w14:paraId="4DB57D61" w14:textId="77777777" w:rsidR="002A66FB" w:rsidRPr="002A66FB" w:rsidRDefault="002A66FB" w:rsidP="002A66FB"/>
    <w:p w14:paraId="26BCE774" w14:textId="4307F742" w:rsidR="00BF394B" w:rsidRDefault="0070175E" w:rsidP="009B2ABF">
      <w:r w:rsidRPr="0070175E">
        <w:t>The U</w:t>
      </w:r>
      <w:r w:rsidR="00F97CAB">
        <w:t>p</w:t>
      </w:r>
      <w:r w:rsidRPr="0070175E">
        <w:t xml:space="preserve">Stream Forestry </w:t>
      </w:r>
      <w:r w:rsidR="00BF394B">
        <w:t>&amp;</w:t>
      </w:r>
      <w:r w:rsidRPr="0070175E">
        <w:t xml:space="preserve"> LCA Tool is designed to</w:t>
      </w:r>
      <w:r w:rsidR="00BF394B">
        <w:t xml:space="preserve"> advance three different aspects of wood life cycle analysis:</w:t>
      </w:r>
    </w:p>
    <w:p w14:paraId="3C71B0E0" w14:textId="48C31ED6" w:rsidR="00BF394B" w:rsidRDefault="00BF394B" w:rsidP="00BF394B">
      <w:pPr>
        <w:pStyle w:val="ListParagraph"/>
        <w:numPr>
          <w:ilvl w:val="0"/>
          <w:numId w:val="6"/>
        </w:numPr>
      </w:pPr>
      <w:r>
        <w:t xml:space="preserve">Integration of </w:t>
      </w:r>
      <w:r w:rsidR="0070175E" w:rsidRPr="0070175E">
        <w:t>carbon impacts from forest management into cradle-to-grave life cycle analysis</w:t>
      </w:r>
      <w:r w:rsidR="005B1F58">
        <w:t xml:space="preserve"> of wood </w:t>
      </w:r>
      <w:r w:rsidR="007324B7">
        <w:t>products in buildings</w:t>
      </w:r>
      <w:r w:rsidR="0070175E" w:rsidRPr="0070175E">
        <w:t xml:space="preserve">. </w:t>
      </w:r>
    </w:p>
    <w:p w14:paraId="0494E84A" w14:textId="23ABD2CB" w:rsidR="00BF394B" w:rsidRDefault="00BF394B" w:rsidP="00BF394B">
      <w:pPr>
        <w:pStyle w:val="ListParagraph"/>
        <w:numPr>
          <w:ilvl w:val="0"/>
          <w:numId w:val="6"/>
        </w:numPr>
      </w:pPr>
      <w:r>
        <w:t>Ability to compare how different tools and data sources calculate biogenic carbon throughout different live cycle analysis modules</w:t>
      </w:r>
      <w:r w:rsidR="004375C1">
        <w:t xml:space="preserve"> and scope/boundary interpretations ----</w:t>
      </w:r>
      <w:r>
        <w:t xml:space="preserve"> especially end of life.</w:t>
      </w:r>
    </w:p>
    <w:p w14:paraId="11CAECE2" w14:textId="5699CD94" w:rsidR="00BF394B" w:rsidRDefault="00BF394B" w:rsidP="00BF394B">
      <w:pPr>
        <w:pStyle w:val="ListParagraph"/>
        <w:numPr>
          <w:ilvl w:val="0"/>
          <w:numId w:val="6"/>
        </w:numPr>
      </w:pPr>
      <w:r>
        <w:t>Capability to define custom end of life</w:t>
      </w:r>
      <w:r w:rsidR="0079312B">
        <w:t xml:space="preserve"> </w:t>
      </w:r>
      <w:r>
        <w:t xml:space="preserve">distributions </w:t>
      </w:r>
      <w:r w:rsidR="0079312B">
        <w:t xml:space="preserve">scenarios </w:t>
      </w:r>
      <w:r w:rsidR="00CC16B0">
        <w:t xml:space="preserve">across different LCA scope and boundary interpretations </w:t>
      </w:r>
      <w:r>
        <w:t>from a variety of tools and data sources</w:t>
      </w:r>
      <w:r w:rsidR="00CC16B0">
        <w:t>.</w:t>
      </w:r>
    </w:p>
    <w:p w14:paraId="3087BBEE" w14:textId="69C6EB20" w:rsidR="002C7B59" w:rsidRDefault="0070175E" w:rsidP="092B8042">
      <w:r>
        <w:t>The tool pulls data</w:t>
      </w:r>
      <w:r w:rsidR="00731CEE">
        <w:t xml:space="preserve"> and outputs</w:t>
      </w:r>
      <w:r>
        <w:t xml:space="preserve"> from Environmental Product Declarations (EPDs)</w:t>
      </w:r>
      <w:r w:rsidR="00566BE4">
        <w:t xml:space="preserve"> and </w:t>
      </w:r>
      <w:r>
        <w:t>Tally</w:t>
      </w:r>
      <w:r w:rsidR="00731CEE">
        <w:t xml:space="preserve"> (</w:t>
      </w:r>
      <w:commentRangeStart w:id="19"/>
      <w:commentRangeEnd w:id="19"/>
      <w:r>
        <w:rPr>
          <w:rStyle w:val="CommentReference"/>
        </w:rPr>
        <w:commentReference w:id="19"/>
      </w:r>
      <w:r w:rsidR="7EE50293" w:rsidRPr="092B8042">
        <w:rPr>
          <w:rFonts w:ascii="Calibri" w:eastAsia="Calibri" w:hAnsi="Calibri" w:cs="Calibri"/>
          <w:color w:val="000000" w:themeColor="text1"/>
        </w:rPr>
        <w:t>version 2020.06.09.01</w:t>
      </w:r>
      <w:r w:rsidR="005F0577">
        <w:t>)</w:t>
      </w:r>
      <w:r w:rsidR="00566BE4">
        <w:t xml:space="preserve"> </w:t>
      </w:r>
      <w:r w:rsidR="006B11C1">
        <w:t xml:space="preserve">to </w:t>
      </w:r>
      <w:r>
        <w:t>create ISO 21930:2017-compliant cradle-to-gate or cradle-to-grave analyses</w:t>
      </w:r>
      <w:r w:rsidR="00BB661D">
        <w:t xml:space="preserve"> with a variety of different biogenic carbon assumptions</w:t>
      </w:r>
      <w:r w:rsidR="005F0577">
        <w:t xml:space="preserve"> </w:t>
      </w:r>
      <w:r w:rsidR="00C0088D">
        <w:t xml:space="preserve">around storage and end of life </w:t>
      </w:r>
      <w:r w:rsidR="005F0577">
        <w:t>(</w:t>
      </w:r>
      <w:r>
        <w:fldChar w:fldCharType="begin"/>
      </w:r>
      <w:r>
        <w:instrText xml:space="preserve"> REF _Ref77167102 \h </w:instrText>
      </w:r>
      <w:r>
        <w:fldChar w:fldCharType="separate"/>
      </w:r>
      <w:r w:rsidR="00A21ED2">
        <w:t xml:space="preserve">Table </w:t>
      </w:r>
      <w:r w:rsidR="00A21ED2" w:rsidRPr="092B8042">
        <w:rPr>
          <w:noProof/>
        </w:rPr>
        <w:t>1</w:t>
      </w:r>
      <w:r>
        <w:fldChar w:fldCharType="end"/>
      </w:r>
      <w:r w:rsidR="005F0577">
        <w:t>, below)</w:t>
      </w:r>
      <w:r w:rsidR="00672CAA">
        <w:t>.</w:t>
      </w:r>
      <w:r w:rsidR="00672CAA" w:rsidDel="00672CAA">
        <w:t xml:space="preserve"> </w:t>
      </w:r>
      <w:r w:rsidR="000703EF">
        <w:t xml:space="preserve"> To create </w:t>
      </w:r>
      <w:r w:rsidR="00C0088D">
        <w:t xml:space="preserve">more customizable </w:t>
      </w:r>
      <w:r w:rsidR="000703EF">
        <w:t xml:space="preserve">end of life scenarios, UpStream </w:t>
      </w:r>
      <w:r w:rsidR="009440CE">
        <w:t xml:space="preserve">pulls data from Tally’s mix of end of life sources or EPA WARM (version 15). </w:t>
      </w:r>
      <w:r w:rsidR="00416630">
        <w:t xml:space="preserve">In the current Beta 1.0 version of the tool, </w:t>
      </w:r>
      <w:r w:rsidR="00A7546F">
        <w:t xml:space="preserve">forest factors are included as </w:t>
      </w:r>
      <w:r w:rsidR="008F35A8">
        <w:t xml:space="preserve">a blank input field in kilograms of CO2 per </w:t>
      </w:r>
      <w:r w:rsidR="001B0F6B">
        <w:t>meters cubed output of roundwood.  This allows the user to input custom factors</w:t>
      </w:r>
      <w:r w:rsidR="00735BD7">
        <w:t xml:space="preserve"> from any source as a proof of concept </w:t>
      </w:r>
      <w:r w:rsidR="001B0F6B">
        <w:t xml:space="preserve">while the UpStream development team </w:t>
      </w:r>
      <w:r w:rsidR="005342DC">
        <w:t xml:space="preserve">evaluates </w:t>
      </w:r>
      <w:r w:rsidR="00F76875">
        <w:t>existing forest factor research by Ecotrust and forest certification programs</w:t>
      </w:r>
      <w:r w:rsidR="001B0F6B">
        <w:t>.</w:t>
      </w:r>
      <w:r w:rsidR="008F35A8">
        <w:t xml:space="preserve"> </w:t>
      </w:r>
      <w:r w:rsidR="00AF344D">
        <w:t xml:space="preserve"> </w:t>
      </w:r>
      <w:r w:rsidR="00672CAA">
        <w:t>I</w:t>
      </w:r>
      <w:r w:rsidR="00BF394B">
        <w:t>t</w:t>
      </w:r>
      <w:r w:rsidR="00CC16B0">
        <w:t>’</w:t>
      </w:r>
      <w:r w:rsidR="00BF394B">
        <w:t xml:space="preserve">s important to note that when including upstream forest carbon </w:t>
      </w:r>
      <w:r w:rsidR="00A024A6">
        <w:t>impacts,</w:t>
      </w:r>
      <w:r w:rsidR="00BF394B">
        <w:t xml:space="preserve"> we step out of the bounds of the ISO 21930:2017 </w:t>
      </w:r>
      <w:r w:rsidR="00CC16B0">
        <w:t>standards</w:t>
      </w:r>
      <w:r w:rsidR="00BF394B">
        <w:t>.</w:t>
      </w:r>
      <w:r w:rsidR="00731CEE">
        <w:t xml:space="preserve">  Thus, this information is reported in a</w:t>
      </w:r>
      <w:r w:rsidR="00B76336">
        <w:t xml:space="preserve">n </w:t>
      </w:r>
      <w:r w:rsidR="00731CEE">
        <w:t xml:space="preserve">A0 module </w:t>
      </w:r>
      <w:r w:rsidR="009514A4">
        <w:t xml:space="preserve">(not included in net </w:t>
      </w:r>
      <w:r w:rsidR="007D13D4">
        <w:t>calculation</w:t>
      </w:r>
      <w:r w:rsidR="009514A4">
        <w:t xml:space="preserve"> of product) </w:t>
      </w:r>
      <w:r w:rsidR="00731CEE">
        <w:t xml:space="preserve">so the impact can be </w:t>
      </w:r>
      <w:r w:rsidR="002D778B">
        <w:t>separately access</w:t>
      </w:r>
      <w:r w:rsidR="00566BE4">
        <w:t>e</w:t>
      </w:r>
      <w:r w:rsidR="009514A4">
        <w:t>d</w:t>
      </w:r>
      <w:r w:rsidR="00731CEE">
        <w:t xml:space="preserve"> </w:t>
      </w:r>
      <w:r w:rsidR="002D778B">
        <w:t xml:space="preserve">until </w:t>
      </w:r>
      <w:r w:rsidR="00731CEE">
        <w:t xml:space="preserve">rules and standards formally define how to </w:t>
      </w:r>
      <w:r w:rsidR="00566BE4">
        <w:t xml:space="preserve">both </w:t>
      </w:r>
      <w:r w:rsidR="00731CEE">
        <w:t xml:space="preserve">include forest carbon and </w:t>
      </w:r>
      <w:r w:rsidR="00566BE4">
        <w:t xml:space="preserve">determine </w:t>
      </w:r>
      <w:r w:rsidR="00731CEE">
        <w:t>where to report it.</w:t>
      </w:r>
      <w:r w:rsidR="002D778B">
        <w:t xml:space="preserve">  </w:t>
      </w:r>
    </w:p>
    <w:p w14:paraId="7C9D9DB8" w14:textId="7A18D57B" w:rsidR="00A21ED2" w:rsidRDefault="00A21ED2" w:rsidP="00A21ED2">
      <w:pPr>
        <w:pStyle w:val="Caption"/>
        <w:keepNext/>
      </w:pPr>
      <w:bookmarkStart w:id="20" w:name="_Ref77167102"/>
      <w:r>
        <w:t xml:space="preserve">Table </w:t>
      </w:r>
      <w:r>
        <w:fldChar w:fldCharType="begin"/>
      </w:r>
      <w:r>
        <w:instrText>SEQ Table \* ARABIC</w:instrText>
      </w:r>
      <w:r>
        <w:fldChar w:fldCharType="separate"/>
      </w:r>
      <w:r w:rsidR="004C5D4E">
        <w:rPr>
          <w:noProof/>
        </w:rPr>
        <w:t>1</w:t>
      </w:r>
      <w:r>
        <w:fldChar w:fldCharType="end"/>
      </w:r>
      <w:bookmarkEnd w:id="20"/>
      <w:r>
        <w:t xml:space="preserve"> </w:t>
      </w:r>
      <w:r w:rsidRPr="000D224B">
        <w:t>UpStream Scope Table: Life Cycle Stages as Defined by EN 15978 (except for A0)</w:t>
      </w:r>
    </w:p>
    <w:p w14:paraId="59B1FA06" w14:textId="0F3709CA" w:rsidR="005F0577" w:rsidRDefault="007D13D4" w:rsidP="00BF394B">
      <w:r>
        <w:rPr>
          <w:noProof/>
        </w:rPr>
        <w:drawing>
          <wp:inline distT="0" distB="0" distL="0" distR="0" wp14:anchorId="16424B96" wp14:editId="62679F0E">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3855"/>
                    </a:xfrm>
                    <a:prstGeom prst="rect">
                      <a:avLst/>
                    </a:prstGeom>
                  </pic:spPr>
                </pic:pic>
              </a:graphicData>
            </a:graphic>
          </wp:inline>
        </w:drawing>
      </w:r>
    </w:p>
    <w:p w14:paraId="3DBCCE6F" w14:textId="6D1C85B1" w:rsidR="002A66FB" w:rsidRPr="002A66FB" w:rsidRDefault="002A66FB" w:rsidP="002A66FB">
      <w:pPr>
        <w:pStyle w:val="Heading2"/>
        <w:numPr>
          <w:ilvl w:val="1"/>
          <w:numId w:val="9"/>
        </w:numPr>
      </w:pPr>
      <w:bookmarkStart w:id="21" w:name="_Toc77661161"/>
      <w:r>
        <w:t>Future Plans</w:t>
      </w:r>
      <w:bookmarkEnd w:id="21"/>
    </w:p>
    <w:p w14:paraId="1CFB6613" w14:textId="77777777" w:rsidR="002A66FB" w:rsidRDefault="002A66FB" w:rsidP="009B2ABF"/>
    <w:p w14:paraId="2FC81683" w14:textId="10B04865" w:rsidR="000B5C69" w:rsidRDefault="00F97CAB" w:rsidP="009B2ABF">
      <w:r>
        <w:t xml:space="preserve">UpStream </w:t>
      </w:r>
      <w:r w:rsidR="006F4218">
        <w:t xml:space="preserve">was recently accepted into </w:t>
      </w:r>
      <w:r>
        <w:t xml:space="preserve">the Carbon Leadership Forum’s </w:t>
      </w:r>
      <w:r w:rsidR="006F4218">
        <w:t xml:space="preserve">incubation program, which will provide support for forest factor </w:t>
      </w:r>
      <w:r>
        <w:t>methodology review</w:t>
      </w:r>
      <w:r w:rsidR="000B5C69">
        <w:t xml:space="preserve"> </w:t>
      </w:r>
      <w:r w:rsidR="006F4218">
        <w:t>around Ecotrust’s forest factor research, forthcoming research from certification programs, and a comprehensive look at forest harvesting sustainability metrics</w:t>
      </w:r>
      <w:r>
        <w:t xml:space="preserve">. </w:t>
      </w:r>
      <w:r w:rsidR="000B5C69">
        <w:t xml:space="preserve">Additionally, a second University of Washington’s Applied Research Consortium cycle will be utilized for tool and research development starting in the fall of 2021.  Below is a list of </w:t>
      </w:r>
      <w:r w:rsidR="000B5C69">
        <w:lastRenderedPageBreak/>
        <w:t>additional future development plans for these development pathways and other research support provided by ZGF:</w:t>
      </w:r>
    </w:p>
    <w:p w14:paraId="16212492" w14:textId="126F22E8" w:rsidR="00197C69" w:rsidRDefault="008B674E" w:rsidP="000B5C69">
      <w:pPr>
        <w:pStyle w:val="ListParagraph"/>
        <w:numPr>
          <w:ilvl w:val="0"/>
          <w:numId w:val="8"/>
        </w:numPr>
      </w:pPr>
      <w:r>
        <w:t>Ecotrust and other forest certification forest factor review through CLF incubation</w:t>
      </w:r>
    </w:p>
    <w:p w14:paraId="1AE7367B" w14:textId="0F22736A" w:rsidR="000B5C69" w:rsidRDefault="000B5C69" w:rsidP="000B5C69">
      <w:pPr>
        <w:pStyle w:val="ListParagraph"/>
        <w:numPr>
          <w:ilvl w:val="0"/>
          <w:numId w:val="8"/>
        </w:numPr>
      </w:pPr>
      <w:r>
        <w:t>Evolving the current spreadsheet interface into an online tool</w:t>
      </w:r>
    </w:p>
    <w:p w14:paraId="37B27496" w14:textId="04C0FC2A" w:rsidR="000B5C69" w:rsidRDefault="000B5C69" w:rsidP="000B5C69">
      <w:pPr>
        <w:pStyle w:val="ListParagraph"/>
        <w:numPr>
          <w:ilvl w:val="0"/>
          <w:numId w:val="8"/>
        </w:numPr>
      </w:pPr>
      <w:r>
        <w:t>More options for module A1 based on forest management types</w:t>
      </w:r>
    </w:p>
    <w:p w14:paraId="7A9678E6" w14:textId="0CA7BEBD" w:rsidR="00772376" w:rsidRDefault="00772376" w:rsidP="000B5C69">
      <w:pPr>
        <w:pStyle w:val="ListParagraph"/>
        <w:numPr>
          <w:ilvl w:val="0"/>
          <w:numId w:val="8"/>
        </w:numPr>
      </w:pPr>
      <w:r>
        <w:t>Species biogenic carbon modifiers</w:t>
      </w:r>
    </w:p>
    <w:p w14:paraId="671EC05D" w14:textId="32E37E49" w:rsidR="000B5C69" w:rsidRDefault="000B5C69" w:rsidP="000B5C69">
      <w:pPr>
        <w:pStyle w:val="ListParagraph"/>
        <w:numPr>
          <w:ilvl w:val="0"/>
          <w:numId w:val="8"/>
        </w:numPr>
      </w:pPr>
      <w:r>
        <w:t xml:space="preserve">Additional </w:t>
      </w:r>
      <w:r w:rsidR="4B07F602">
        <w:t>data</w:t>
      </w:r>
      <w:r w:rsidR="2EA118BC">
        <w:t xml:space="preserve"> </w:t>
      </w:r>
      <w:r w:rsidR="4B07F602">
        <w:t>streams</w:t>
      </w:r>
      <w:r>
        <w:t xml:space="preserve"> from tools like Athena and OneClick LCA</w:t>
      </w:r>
    </w:p>
    <w:p w14:paraId="4B9FA442" w14:textId="4C9AE743" w:rsidR="000B5C69" w:rsidRDefault="000B5C69" w:rsidP="000B5C69">
      <w:pPr>
        <w:pStyle w:val="ListParagraph"/>
        <w:numPr>
          <w:ilvl w:val="0"/>
          <w:numId w:val="8"/>
        </w:numPr>
      </w:pPr>
      <w:r>
        <w:t xml:space="preserve">Building module calculations based on Simapro and other LCI databases, instead of relying </w:t>
      </w:r>
      <w:r w:rsidR="4B07F602">
        <w:t>o</w:t>
      </w:r>
      <w:r w:rsidR="2223FF6D">
        <w:t>n</w:t>
      </w:r>
      <w:r>
        <w:t xml:space="preserve"> existing tool outputs</w:t>
      </w:r>
    </w:p>
    <w:p w14:paraId="1B1CECCD" w14:textId="6FB19DDC" w:rsidR="002974C5" w:rsidRDefault="002974C5" w:rsidP="000B5C69">
      <w:pPr>
        <w:pStyle w:val="ListParagraph"/>
        <w:numPr>
          <w:ilvl w:val="0"/>
          <w:numId w:val="8"/>
        </w:numPr>
      </w:pPr>
      <w:r>
        <w:t>Dynamic LCA and other temporal considerations for biogenic carbon calculations</w:t>
      </w:r>
    </w:p>
    <w:p w14:paraId="2AB96AE9" w14:textId="75732A22" w:rsidR="009B2ABF" w:rsidRDefault="009B2ABF" w:rsidP="009B2ABF">
      <w:pPr>
        <w:pStyle w:val="Heading1"/>
      </w:pPr>
      <w:bookmarkStart w:id="22" w:name="_Toc77661162"/>
      <w:r>
        <w:t>2.0 Step by Step Guidance and Documentation</w:t>
      </w:r>
      <w:bookmarkEnd w:id="22"/>
    </w:p>
    <w:p w14:paraId="5E243E4E" w14:textId="2F771C2A" w:rsidR="009B2ABF" w:rsidRDefault="009B2ABF" w:rsidP="009B2ABF"/>
    <w:p w14:paraId="07804B55" w14:textId="6B6D60B7" w:rsidR="009B2ABF" w:rsidRDefault="009B2ABF" w:rsidP="009B2ABF">
      <w:pPr>
        <w:pStyle w:val="Heading2"/>
      </w:pPr>
      <w:bookmarkStart w:id="23" w:name="_Toc77661163"/>
      <w:r>
        <w:t>2.1 Interface and Layout</w:t>
      </w:r>
      <w:bookmarkEnd w:id="23"/>
    </w:p>
    <w:p w14:paraId="5E243A06" w14:textId="76D769DA" w:rsidR="009B2ABF" w:rsidRDefault="009B2ABF" w:rsidP="009B2ABF"/>
    <w:p w14:paraId="5D8420A0" w14:textId="1BB3371B" w:rsidR="009B2ABF" w:rsidRDefault="000B5C69" w:rsidP="000B5C69">
      <w:r>
        <w:t>The current form of UpStream is a simple Excel spreadsheet that does not utilize macros or other types of custom scripting.  Below is a description of its various tabs and instructions:</w:t>
      </w:r>
    </w:p>
    <w:p w14:paraId="3BD6AD3B" w14:textId="5AF6D871" w:rsidR="00C123A5" w:rsidRDefault="00C123A5" w:rsidP="009B2ABF">
      <w:pPr>
        <w:pStyle w:val="ListParagraph"/>
        <w:numPr>
          <w:ilvl w:val="1"/>
          <w:numId w:val="3"/>
        </w:numPr>
      </w:pPr>
      <w:r>
        <w:t>Primary Tabs:</w:t>
      </w:r>
    </w:p>
    <w:p w14:paraId="2E973988" w14:textId="6487766A" w:rsidR="009B2ABF" w:rsidRDefault="000B5C69" w:rsidP="00C123A5">
      <w:pPr>
        <w:pStyle w:val="ListParagraph"/>
        <w:numPr>
          <w:ilvl w:val="2"/>
          <w:numId w:val="3"/>
        </w:numPr>
      </w:pPr>
      <w:r w:rsidRPr="2F21A31A">
        <w:rPr>
          <w:b/>
          <w:bCs/>
        </w:rPr>
        <w:t xml:space="preserve">Disclaimers and Credits </w:t>
      </w:r>
      <w:r>
        <w:t xml:space="preserve">– this tab outlines </w:t>
      </w:r>
      <w:r w:rsidR="00C123A5">
        <w:t>any salient data permissions, copyright data, credits, and acknowledgements.  It also contains information about the current version and version history of the tool.</w:t>
      </w:r>
    </w:p>
    <w:p w14:paraId="00814A69" w14:textId="3F198435" w:rsidR="009B2ABF" w:rsidRDefault="00C123A5" w:rsidP="00C123A5">
      <w:pPr>
        <w:pStyle w:val="ListParagraph"/>
        <w:numPr>
          <w:ilvl w:val="2"/>
          <w:numId w:val="3"/>
        </w:numPr>
      </w:pPr>
      <w:r w:rsidRPr="00ED2E7F">
        <w:rPr>
          <w:b/>
          <w:bCs/>
        </w:rPr>
        <w:t>Intro + Documentation</w:t>
      </w:r>
      <w:r>
        <w:t xml:space="preserve"> – this tab contains a link to download this </w:t>
      </w:r>
      <w:r w:rsidR="00AF2DEB">
        <w:t>document</w:t>
      </w:r>
      <w:r>
        <w:t xml:space="preserve"> and also links to other types of training materials like videos and tutorials.</w:t>
      </w:r>
    </w:p>
    <w:p w14:paraId="15B09AF5" w14:textId="64C81C52" w:rsidR="00C123A5" w:rsidRDefault="00C123A5" w:rsidP="00C123A5">
      <w:pPr>
        <w:pStyle w:val="ListParagraph"/>
        <w:numPr>
          <w:ilvl w:val="2"/>
          <w:numId w:val="3"/>
        </w:numPr>
      </w:pPr>
      <w:r w:rsidRPr="00ED2E7F">
        <w:rPr>
          <w:b/>
          <w:bCs/>
        </w:rPr>
        <w:t>Inputs and Outputs</w:t>
      </w:r>
      <w:r>
        <w:t xml:space="preserve"> – this is the main tab of the tool </w:t>
      </w:r>
      <w:r w:rsidR="00700B00">
        <w:t>which</w:t>
      </w:r>
      <w:r>
        <w:t xml:space="preserve"> contains all of the inputs required for building LCA wood scenarios along with the tool’s primary outputs.  Cells are color</w:t>
      </w:r>
      <w:r w:rsidR="008873D0">
        <w:t>-</w:t>
      </w:r>
      <w:r>
        <w:t>coded</w:t>
      </w:r>
      <w:r w:rsidR="008873D0">
        <w:t xml:space="preserve">; </w:t>
      </w:r>
      <w:r>
        <w:t xml:space="preserve">green represents a user input, while light blue represents a calculated value.  Various modules can be turned “on” or “off” as the input </w:t>
      </w:r>
      <w:r w:rsidR="00C83EBA">
        <w:t>instructions</w:t>
      </w:r>
      <w:r>
        <w:t xml:space="preserve"> walk the user through a series of drop downs and field inputs while the various charts and tables update in real time.</w:t>
      </w:r>
    </w:p>
    <w:p w14:paraId="5DF07C92" w14:textId="795B603C" w:rsidR="009B2ABF" w:rsidRDefault="00C123A5" w:rsidP="00C123A5">
      <w:pPr>
        <w:pStyle w:val="ListParagraph"/>
        <w:numPr>
          <w:ilvl w:val="2"/>
          <w:numId w:val="3"/>
        </w:numPr>
      </w:pPr>
      <w:r w:rsidRPr="00ED2E7F">
        <w:rPr>
          <w:b/>
          <w:bCs/>
        </w:rPr>
        <w:t>Reference Library</w:t>
      </w:r>
      <w:r>
        <w:t xml:space="preserve"> – this tab contains a link to </w:t>
      </w:r>
      <w:r w:rsidR="000E3405">
        <w:t>all</w:t>
      </w:r>
      <w:r>
        <w:t xml:space="preserve"> the current EPDs used in the tool.</w:t>
      </w:r>
    </w:p>
    <w:p w14:paraId="07DA80AF" w14:textId="4ADA5D83" w:rsidR="00C123A5" w:rsidRDefault="00C123A5" w:rsidP="009B2ABF">
      <w:pPr>
        <w:pStyle w:val="ListParagraph"/>
        <w:numPr>
          <w:ilvl w:val="1"/>
          <w:numId w:val="3"/>
        </w:numPr>
      </w:pPr>
      <w:r>
        <w:t>Background Tabs:</w:t>
      </w:r>
    </w:p>
    <w:p w14:paraId="36424B19" w14:textId="0C56A8A6" w:rsidR="00C123A5" w:rsidRDefault="00C123A5" w:rsidP="00C123A5">
      <w:pPr>
        <w:pStyle w:val="ListParagraph"/>
        <w:numPr>
          <w:ilvl w:val="2"/>
          <w:numId w:val="3"/>
        </w:numPr>
      </w:pPr>
      <w:r w:rsidRPr="00841FE6">
        <w:rPr>
          <w:b/>
          <w:bCs/>
        </w:rPr>
        <w:t>Sorting Tables</w:t>
      </w:r>
      <w:r>
        <w:t xml:space="preserve"> – this tab contains all of the excel sorting tables that use dynamic functions to create cascading, dependent dropdown lists for the “Inputs and Outputs” tab.</w:t>
      </w:r>
    </w:p>
    <w:p w14:paraId="36940F1B" w14:textId="5C7BFBF7" w:rsidR="00C123A5" w:rsidRDefault="00C123A5" w:rsidP="00C123A5">
      <w:pPr>
        <w:pStyle w:val="ListParagraph"/>
        <w:numPr>
          <w:ilvl w:val="2"/>
          <w:numId w:val="3"/>
        </w:numPr>
      </w:pPr>
      <w:r w:rsidRPr="00841FE6">
        <w:rPr>
          <w:b/>
          <w:bCs/>
        </w:rPr>
        <w:t>Calculation Factors</w:t>
      </w:r>
      <w:r>
        <w:t xml:space="preserve"> – this tab contains the table of </w:t>
      </w:r>
      <w:r w:rsidR="00895811">
        <w:t xml:space="preserve">reference </w:t>
      </w:r>
      <w:r>
        <w:t xml:space="preserve">data and the calculation </w:t>
      </w:r>
      <w:r w:rsidR="00895811">
        <w:t xml:space="preserve">equations </w:t>
      </w:r>
      <w:r>
        <w:t>that connect the user inputs to the data fields using</w:t>
      </w:r>
      <w:r w:rsidR="00841FE6">
        <w:t xml:space="preserve"> concatenated ‘keys’ based on user selections and </w:t>
      </w:r>
      <w:r>
        <w:t xml:space="preserve">XLOOKUP functions </w:t>
      </w:r>
      <w:r w:rsidR="00841FE6">
        <w:t xml:space="preserve">that </w:t>
      </w:r>
      <w:r w:rsidR="00D04279">
        <w:t xml:space="preserve">references </w:t>
      </w:r>
      <w:r w:rsidR="00841FE6">
        <w:t>the key’s to the factors in the table</w:t>
      </w:r>
      <w:r>
        <w:t xml:space="preserve">. </w:t>
      </w:r>
    </w:p>
    <w:p w14:paraId="7390903E" w14:textId="1B7E2260" w:rsidR="00C123A5" w:rsidRDefault="00C123A5" w:rsidP="00C123A5">
      <w:pPr>
        <w:pStyle w:val="ListParagraph"/>
        <w:numPr>
          <w:ilvl w:val="2"/>
          <w:numId w:val="3"/>
        </w:numPr>
      </w:pPr>
      <w:r w:rsidRPr="00841FE6">
        <w:rPr>
          <w:b/>
          <w:bCs/>
        </w:rPr>
        <w:t>End of Life Factors</w:t>
      </w:r>
      <w:r>
        <w:t xml:space="preserve"> – contains the custom end of life factors and calculation engines for UpStream’s various data sources and scenarios for modules C and D.  This tab also contains detailed charts that break down the various impact </w:t>
      </w:r>
      <w:r>
        <w:lastRenderedPageBreak/>
        <w:t>sources into biogenic emissions, non-biogenic emissions, and module D reporting categories.</w:t>
      </w:r>
    </w:p>
    <w:p w14:paraId="250ECAC3" w14:textId="3A1B866D" w:rsidR="00C123A5" w:rsidRDefault="00C123A5" w:rsidP="00C123A5">
      <w:pPr>
        <w:pStyle w:val="ListParagraph"/>
        <w:numPr>
          <w:ilvl w:val="2"/>
          <w:numId w:val="3"/>
        </w:numPr>
      </w:pPr>
      <w:r w:rsidRPr="00841FE6">
        <w:rPr>
          <w:b/>
          <w:bCs/>
        </w:rPr>
        <w:t>Tally C-D kg factors</w:t>
      </w:r>
      <w:r>
        <w:t xml:space="preserve"> – given that Tally does not have updated EPD’s for wood products, Tally-based</w:t>
      </w:r>
      <w:r w:rsidR="00841FE6">
        <w:t xml:space="preserve"> end of life factors are applied to updated EPDs or other A1-A3 data sources on a per kilogram basis.</w:t>
      </w:r>
    </w:p>
    <w:p w14:paraId="4D00D80B" w14:textId="5A7CBA66" w:rsidR="00841FE6" w:rsidRDefault="00841FE6" w:rsidP="00C123A5">
      <w:pPr>
        <w:pStyle w:val="ListParagraph"/>
        <w:numPr>
          <w:ilvl w:val="2"/>
          <w:numId w:val="3"/>
        </w:numPr>
      </w:pPr>
      <w:r w:rsidRPr="00841FE6">
        <w:rPr>
          <w:b/>
          <w:bCs/>
        </w:rPr>
        <w:t>Transportation Factors</w:t>
      </w:r>
      <w:r>
        <w:t xml:space="preserve"> – this tab breaks down the Tally transportation factors by source and distance, which allows for both a Tally ‘default’ A4 scenario, or a custom scenario based on the Tally data where a user can custom input a</w:t>
      </w:r>
      <w:r w:rsidR="00A6211D">
        <w:t xml:space="preserve"> custom</w:t>
      </w:r>
      <w:r>
        <w:t xml:space="preserve"> distance and transportation type.</w:t>
      </w:r>
    </w:p>
    <w:p w14:paraId="34988FD7" w14:textId="793B9FE7" w:rsidR="00841FE6" w:rsidRDefault="00841FE6" w:rsidP="00C123A5">
      <w:pPr>
        <w:pStyle w:val="ListParagraph"/>
        <w:numPr>
          <w:ilvl w:val="2"/>
          <w:numId w:val="3"/>
        </w:numPr>
      </w:pPr>
      <w:r w:rsidRPr="00841FE6">
        <w:rPr>
          <w:b/>
          <w:bCs/>
        </w:rPr>
        <w:t>A0 Factors</w:t>
      </w:r>
      <w:r>
        <w:t xml:space="preserve"> – contains all of the A0 factors and calculation references that tie to the “inputs and outputs” tab, which is currently </w:t>
      </w:r>
      <w:r w:rsidR="009C5835">
        <w:t>only has the ability to</w:t>
      </w:r>
      <w:r w:rsidR="000904E7">
        <w:t xml:space="preserve"> define a custom </w:t>
      </w:r>
      <w:r w:rsidR="009C5835">
        <w:t>input while other factors are being evaluated for inclusion in future beta versions of UpStream.</w:t>
      </w:r>
    </w:p>
    <w:p w14:paraId="4C294E46" w14:textId="216ED1AE" w:rsidR="009B2ABF" w:rsidRDefault="009B2ABF" w:rsidP="009B2ABF">
      <w:pPr>
        <w:pStyle w:val="Heading2"/>
      </w:pPr>
      <w:bookmarkStart w:id="24" w:name="_Toc77661164"/>
      <w:r>
        <w:t>2.2 Step 1 – Define Product Information</w:t>
      </w:r>
      <w:bookmarkEnd w:id="24"/>
    </w:p>
    <w:p w14:paraId="47CE67FB" w14:textId="3A8FAABF" w:rsidR="002F323B" w:rsidRDefault="002F323B" w:rsidP="009B2ABF"/>
    <w:p w14:paraId="536EA0D7" w14:textId="4CF1D656" w:rsidR="004C4A40" w:rsidRDefault="00C56524" w:rsidP="00C56524">
      <w:pPr>
        <w:pStyle w:val="Heading3"/>
      </w:pPr>
      <w:bookmarkStart w:id="25" w:name="_Toc77661165"/>
      <w:r>
        <w:t>Step 1 Overview and Inputs</w:t>
      </w:r>
      <w:bookmarkEnd w:id="25"/>
    </w:p>
    <w:p w14:paraId="03C669EC" w14:textId="77777777" w:rsidR="00C56524" w:rsidRPr="00C56524" w:rsidRDefault="00C56524" w:rsidP="00C56524"/>
    <w:p w14:paraId="3496269F" w14:textId="196F0710" w:rsidR="007921C7" w:rsidRDefault="007921C7" w:rsidP="009B2ABF">
      <w:r w:rsidRPr="007921C7">
        <w:rPr>
          <w:b/>
          <w:bCs/>
        </w:rPr>
        <w:t>Overview:</w:t>
      </w:r>
      <w:r>
        <w:t xml:space="preserve"> this section of the tool houses the primary inputs that user needs to start the analysis: net cubic volume of wood and product type.</w:t>
      </w:r>
    </w:p>
    <w:p w14:paraId="62A7A5CD" w14:textId="1FD1FD96" w:rsidR="009B2ABF" w:rsidRDefault="009B2ABF" w:rsidP="009B2ABF">
      <w:r w:rsidRPr="007921C7">
        <w:rPr>
          <w:b/>
          <w:bCs/>
        </w:rPr>
        <w:t>Input:</w:t>
      </w:r>
      <w:r>
        <w:t xml:space="preserve"> What type of product would you like to analyze? </w:t>
      </w:r>
    </w:p>
    <w:p w14:paraId="7509EB8B" w14:textId="77777777" w:rsidR="007921C7" w:rsidRDefault="0026286A" w:rsidP="009B2ABF">
      <w:pPr>
        <w:pStyle w:val="ListParagraph"/>
        <w:numPr>
          <w:ilvl w:val="0"/>
          <w:numId w:val="5"/>
        </w:numPr>
      </w:pPr>
      <w:r w:rsidRPr="007921C7">
        <w:rPr>
          <w:b/>
          <w:bCs/>
        </w:rPr>
        <w:t>Option</w:t>
      </w:r>
      <w:r w:rsidR="007921C7" w:rsidRPr="007921C7">
        <w:rPr>
          <w:b/>
          <w:bCs/>
        </w:rPr>
        <w:t>s:</w:t>
      </w:r>
      <w:r w:rsidR="007921C7">
        <w:t xml:space="preserve"> CLT, Glulam, LSL/OSL, LVL, PSL, heavy timber, wood framing</w:t>
      </w:r>
    </w:p>
    <w:p w14:paraId="692743C0" w14:textId="6AD94ACD" w:rsidR="009B2ABF" w:rsidRDefault="004C20E0" w:rsidP="007921C7">
      <w:pPr>
        <w:pStyle w:val="ListParagraph"/>
        <w:numPr>
          <w:ilvl w:val="1"/>
          <w:numId w:val="5"/>
        </w:numPr>
      </w:pPr>
      <w:r w:rsidRPr="004C20E0">
        <w:rPr>
          <w:b/>
          <w:bCs/>
        </w:rPr>
        <w:t>Description:</w:t>
      </w:r>
      <w:r>
        <w:t xml:space="preserve"> </w:t>
      </w:r>
      <w:r w:rsidR="009B2ABF">
        <w:t>A dropdown is provided that contains all of the different product types available in U</w:t>
      </w:r>
      <w:r w:rsidR="0062338E">
        <w:t>p</w:t>
      </w:r>
      <w:r w:rsidR="009B2ABF">
        <w:t>Stream.  For products to be included in the tool, they either need an accompanying EPD</w:t>
      </w:r>
      <w:r w:rsidR="00A6296F">
        <w:t xml:space="preserve"> or must be </w:t>
      </w:r>
      <w:r>
        <w:t>defined by</w:t>
      </w:r>
      <w:r w:rsidR="00A6296F">
        <w:t xml:space="preserve"> Tally.</w:t>
      </w:r>
    </w:p>
    <w:p w14:paraId="73437DF5" w14:textId="13428968" w:rsidR="00A6296F" w:rsidRDefault="00A6296F" w:rsidP="009B2ABF">
      <w:r w:rsidRPr="007921C7">
        <w:rPr>
          <w:b/>
          <w:bCs/>
        </w:rPr>
        <w:t>Input:</w:t>
      </w:r>
      <w:r>
        <w:t xml:space="preserve"> What is the </w:t>
      </w:r>
      <w:r w:rsidR="007921C7">
        <w:t xml:space="preserve">net installed </w:t>
      </w:r>
      <w:r>
        <w:t xml:space="preserve">volume of product? </w:t>
      </w:r>
    </w:p>
    <w:p w14:paraId="5968E17C" w14:textId="0E20BB7B" w:rsidR="00A6296F" w:rsidRDefault="00A6296F" w:rsidP="007921C7">
      <w:pPr>
        <w:pStyle w:val="ListParagraph"/>
        <w:numPr>
          <w:ilvl w:val="0"/>
          <w:numId w:val="5"/>
        </w:numPr>
      </w:pPr>
      <w:r w:rsidRPr="007921C7">
        <w:rPr>
          <w:b/>
          <w:bCs/>
        </w:rPr>
        <w:t>Sub-Input:</w:t>
      </w:r>
      <w:r>
        <w:t xml:space="preserve"> Choose Volume Units:</w:t>
      </w:r>
    </w:p>
    <w:p w14:paraId="18C510F0" w14:textId="387F6310" w:rsidR="007921C7" w:rsidRDefault="007921C7" w:rsidP="007921C7">
      <w:pPr>
        <w:pStyle w:val="ListParagraph"/>
        <w:numPr>
          <w:ilvl w:val="1"/>
          <w:numId w:val="5"/>
        </w:numPr>
      </w:pPr>
      <w:r w:rsidRPr="007921C7">
        <w:rPr>
          <w:b/>
          <w:bCs/>
        </w:rPr>
        <w:t>Options:</w:t>
      </w:r>
      <w:r>
        <w:t xml:space="preserve"> cubic foot, cubic yards, board feet, meters cubed</w:t>
      </w:r>
    </w:p>
    <w:p w14:paraId="25DA7508" w14:textId="77777777" w:rsidR="007921C7" w:rsidRDefault="00A6296F" w:rsidP="007921C7">
      <w:pPr>
        <w:pStyle w:val="ListParagraph"/>
        <w:numPr>
          <w:ilvl w:val="0"/>
          <w:numId w:val="5"/>
        </w:numPr>
      </w:pPr>
      <w:r w:rsidRPr="007921C7">
        <w:rPr>
          <w:b/>
          <w:bCs/>
        </w:rPr>
        <w:t>Sub-Input:</w:t>
      </w:r>
      <w:r>
        <w:t xml:space="preserve"> Input Volume</w:t>
      </w:r>
      <w:r w:rsidR="007921C7">
        <w:t xml:space="preserve"> (net installed)</w:t>
      </w:r>
      <w:r>
        <w:t>:</w:t>
      </w:r>
    </w:p>
    <w:p w14:paraId="5437B34E" w14:textId="75E9ADA9" w:rsidR="00A6296F" w:rsidRDefault="007921C7" w:rsidP="007921C7">
      <w:pPr>
        <w:pStyle w:val="ListParagraph"/>
        <w:numPr>
          <w:ilvl w:val="1"/>
          <w:numId w:val="5"/>
        </w:numPr>
      </w:pPr>
      <w:r w:rsidRPr="007921C7">
        <w:rPr>
          <w:b/>
          <w:bCs/>
        </w:rPr>
        <w:t>Input field:</w:t>
      </w:r>
      <w:r>
        <w:t xml:space="preserve"> use</w:t>
      </w:r>
      <w:r w:rsidR="00F2412C">
        <w:t>r</w:t>
      </w:r>
      <w:r>
        <w:t xml:space="preserve"> inputs a number here based on the volume units chosen previously.  Important to note this represents the net installed volume, not nominal. </w:t>
      </w:r>
      <w:r w:rsidR="00A6296F">
        <w:t xml:space="preserve"> </w:t>
      </w:r>
    </w:p>
    <w:p w14:paraId="381E17B2" w14:textId="77777777" w:rsidR="003A3A2F" w:rsidRDefault="00A6296F" w:rsidP="003A3A2F">
      <w:r w:rsidRPr="007921C7">
        <w:rPr>
          <w:b/>
          <w:bCs/>
        </w:rPr>
        <w:t>Calculation:</w:t>
      </w:r>
      <w:r>
        <w:t xml:space="preserve"> Final Volume Converted to Meters Cubed:</w:t>
      </w:r>
    </w:p>
    <w:p w14:paraId="55306BD5" w14:textId="15694546" w:rsidR="007921C7" w:rsidRDefault="003A3A2F" w:rsidP="003A3A2F">
      <w:pPr>
        <w:pStyle w:val="ListParagraph"/>
        <w:numPr>
          <w:ilvl w:val="0"/>
          <w:numId w:val="5"/>
        </w:numPr>
      </w:pPr>
      <w:r w:rsidRPr="003A3A2F">
        <w:rPr>
          <w:b/>
          <w:bCs/>
        </w:rPr>
        <w:t>Description:</w:t>
      </w:r>
      <w:r>
        <w:t xml:space="preserve"> </w:t>
      </w:r>
      <w:r w:rsidR="007921C7">
        <w:t xml:space="preserve">The tool applies the appropriate conversion factor and outputs the final volume in </w:t>
      </w:r>
      <w:r w:rsidR="00F2412C">
        <w:t>cubic meters</w:t>
      </w:r>
      <w:r w:rsidR="007921C7">
        <w:t>, which serves as a basis for most of the calculations behind the tool</w:t>
      </w:r>
      <w:r w:rsidR="009C5908">
        <w:t xml:space="preserve"> as a volume input, or this volume gets converted to kilograms </w:t>
      </w:r>
      <w:r w:rsidR="00951845">
        <w:t>based on the EPD or A1-A3 data source</w:t>
      </w:r>
      <w:r w:rsidR="007921C7">
        <w:t>.</w:t>
      </w:r>
      <w:r w:rsidR="00951845">
        <w:t xml:space="preserve">  Future versions of UpStream will explore adding species input options </w:t>
      </w:r>
      <w:r w:rsidR="00E1201D">
        <w:t>that will drive mass calculations.</w:t>
      </w:r>
    </w:p>
    <w:p w14:paraId="7188F899" w14:textId="2EB5E737" w:rsidR="00A6296F" w:rsidRDefault="00A6296F" w:rsidP="009B2ABF"/>
    <w:p w14:paraId="62C5992B" w14:textId="21015C0B" w:rsidR="00A6296F" w:rsidRDefault="00A6296F" w:rsidP="00A6296F">
      <w:pPr>
        <w:pStyle w:val="Heading2"/>
      </w:pPr>
      <w:bookmarkStart w:id="26" w:name="_Toc77661166"/>
      <w:r>
        <w:lastRenderedPageBreak/>
        <w:t>2.3 Step 2 – Compare to a Baseline Case</w:t>
      </w:r>
      <w:bookmarkEnd w:id="26"/>
    </w:p>
    <w:p w14:paraId="1373F689" w14:textId="0DE8627E" w:rsidR="00A6296F" w:rsidRDefault="00A6296F" w:rsidP="009B2ABF"/>
    <w:p w14:paraId="27172549" w14:textId="428BCC0A" w:rsidR="00C56524" w:rsidRDefault="00C56524" w:rsidP="00C56524">
      <w:pPr>
        <w:pStyle w:val="Heading3"/>
      </w:pPr>
      <w:bookmarkStart w:id="27" w:name="_Toc77661167"/>
      <w:r>
        <w:t>Step 2 Overview and Inputs</w:t>
      </w:r>
      <w:bookmarkEnd w:id="27"/>
    </w:p>
    <w:p w14:paraId="7E81DC19" w14:textId="77777777" w:rsidR="00C56524" w:rsidRPr="00C56524" w:rsidRDefault="00C56524" w:rsidP="00C56524"/>
    <w:p w14:paraId="3E06F20E" w14:textId="11087E77" w:rsidR="004C4A40" w:rsidRPr="00380769" w:rsidRDefault="007921C7" w:rsidP="00380769">
      <w:r w:rsidRPr="00784DDA">
        <w:rPr>
          <w:b/>
          <w:bCs/>
        </w:rPr>
        <w:t>Overview:</w:t>
      </w:r>
      <w:r>
        <w:t xml:space="preserve"> this part of </w:t>
      </w:r>
      <w:r w:rsidR="00F87410">
        <w:t>UpStream</w:t>
      </w:r>
      <w:r>
        <w:t xml:space="preserve"> </w:t>
      </w:r>
      <w:r w:rsidR="00E1201D">
        <w:t>allow</w:t>
      </w:r>
      <w:r w:rsidR="00F87410">
        <w:t>s</w:t>
      </w:r>
      <w:r w:rsidR="00E1201D">
        <w:t xml:space="preserve"> the</w:t>
      </w:r>
      <w:r>
        <w:t xml:space="preserve"> user to compare their wood </w:t>
      </w:r>
      <w:r w:rsidR="00E74981">
        <w:t>analysis numbers against a baseline</w:t>
      </w:r>
      <w:r w:rsidR="00104DAB">
        <w:t xml:space="preserve">.  This baseline designation can </w:t>
      </w:r>
      <w:r w:rsidR="003D7B87">
        <w:t xml:space="preserve">be used to compare UpStream wood outputs against a different material (a steel baseline, for example), or even </w:t>
      </w:r>
      <w:r w:rsidR="00E74981">
        <w:t xml:space="preserve">a previous </w:t>
      </w:r>
      <w:r w:rsidR="003D7B87">
        <w:t xml:space="preserve">wood </w:t>
      </w:r>
      <w:r w:rsidR="00E74981">
        <w:t xml:space="preserve">scenario analyzed with the UPStream tool.  </w:t>
      </w:r>
      <w:r w:rsidR="003D7B87">
        <w:t>Furthermore, it c</w:t>
      </w:r>
      <w:r w:rsidR="00E74981">
        <w:t xml:space="preserve">an be used for assembly vs. assembly analysis, or whole building numbers against an isolated wood substitution case. </w:t>
      </w:r>
    </w:p>
    <w:p w14:paraId="50AF8EE7" w14:textId="7F725042" w:rsidR="00A6296F" w:rsidRDefault="002F323B" w:rsidP="009B2ABF">
      <w:r w:rsidRPr="00784DDA">
        <w:rPr>
          <w:b/>
          <w:bCs/>
        </w:rPr>
        <w:t>Input</w:t>
      </w:r>
      <w:r w:rsidR="00784DDA" w:rsidRPr="00784DDA">
        <w:rPr>
          <w:b/>
          <w:bCs/>
        </w:rPr>
        <w:t>:</w:t>
      </w:r>
      <w:r>
        <w:t xml:space="preserve"> </w:t>
      </w:r>
      <w:r w:rsidRPr="002F323B">
        <w:t xml:space="preserve">Would you like to compare </w:t>
      </w:r>
      <w:r>
        <w:t xml:space="preserve">your analysis </w:t>
      </w:r>
      <w:r w:rsidRPr="002F323B">
        <w:t>to a baseline case? (</w:t>
      </w:r>
      <w:r w:rsidR="52F1B384">
        <w:t>Can</w:t>
      </w:r>
      <w:r w:rsidR="007F5EAC">
        <w:t xml:space="preserve"> be data from an external tool or from UpStream</w:t>
      </w:r>
      <w:r w:rsidRPr="002F323B">
        <w:t>).</w:t>
      </w:r>
    </w:p>
    <w:p w14:paraId="4C71551B" w14:textId="6758B49A" w:rsidR="003A3A2F" w:rsidRDefault="00E74981" w:rsidP="00E74981">
      <w:pPr>
        <w:pStyle w:val="ListParagraph"/>
        <w:numPr>
          <w:ilvl w:val="0"/>
          <w:numId w:val="5"/>
        </w:numPr>
      </w:pPr>
      <w:r w:rsidRPr="00784DDA">
        <w:rPr>
          <w:b/>
          <w:bCs/>
        </w:rPr>
        <w:t>Options:</w:t>
      </w:r>
      <w:r>
        <w:t xml:space="preserve"> yes</w:t>
      </w:r>
      <w:r w:rsidR="003A3A2F">
        <w:t xml:space="preserve">, </w:t>
      </w:r>
      <w:r>
        <w:t xml:space="preserve">no </w:t>
      </w:r>
    </w:p>
    <w:p w14:paraId="3DFB888B" w14:textId="30F79AC7" w:rsidR="00E74981" w:rsidRDefault="003A3A2F" w:rsidP="003A3A2F">
      <w:pPr>
        <w:pStyle w:val="ListParagraph"/>
        <w:numPr>
          <w:ilvl w:val="1"/>
          <w:numId w:val="5"/>
        </w:numPr>
      </w:pPr>
      <w:r>
        <w:rPr>
          <w:b/>
          <w:bCs/>
        </w:rPr>
        <w:t>Description:</w:t>
      </w:r>
      <w:r>
        <w:t xml:space="preserve"> </w:t>
      </w:r>
      <w:r w:rsidR="00E74981">
        <w:t xml:space="preserve">a ‘no’ input grays out the module in the tool, while a ‘yes’ input illuminates the next step in the process. </w:t>
      </w:r>
    </w:p>
    <w:p w14:paraId="7B206CDC" w14:textId="7735B235" w:rsidR="002F323B" w:rsidRDefault="002F323B" w:rsidP="009B2ABF">
      <w:r w:rsidRPr="00784DDA">
        <w:rPr>
          <w:b/>
          <w:bCs/>
        </w:rPr>
        <w:t>Input:</w:t>
      </w:r>
      <w:r>
        <w:t xml:space="preserve"> Input Total </w:t>
      </w:r>
      <w:r w:rsidR="000668DD">
        <w:t>Global Warming Potential (</w:t>
      </w:r>
      <w:r>
        <w:t>GWP</w:t>
      </w:r>
      <w:r w:rsidR="000668DD">
        <w:t>)</w:t>
      </w:r>
      <w:r>
        <w:t xml:space="preserve"> for the baseline case:</w:t>
      </w:r>
    </w:p>
    <w:p w14:paraId="35C57853" w14:textId="40528F20" w:rsidR="00E74981" w:rsidRDefault="00E74981" w:rsidP="00E74981">
      <w:pPr>
        <w:pStyle w:val="ListParagraph"/>
        <w:numPr>
          <w:ilvl w:val="0"/>
          <w:numId w:val="5"/>
        </w:numPr>
      </w:pPr>
      <w:r w:rsidRPr="00784DDA">
        <w:rPr>
          <w:b/>
          <w:bCs/>
        </w:rPr>
        <w:t>User field</w:t>
      </w:r>
      <w:r>
        <w:t xml:space="preserve">: the user inputs here </w:t>
      </w:r>
      <w:r w:rsidR="007C1271">
        <w:t>a number that represents the</w:t>
      </w:r>
      <w:r>
        <w:t xml:space="preserve"> kgCO2e </w:t>
      </w:r>
      <w:r w:rsidR="007C1271">
        <w:t xml:space="preserve">GWP impact </w:t>
      </w:r>
      <w:r>
        <w:t>from a previous analysis</w:t>
      </w:r>
      <w:r w:rsidR="007C1271">
        <w:t>.</w:t>
      </w:r>
    </w:p>
    <w:p w14:paraId="6FF7EF0D" w14:textId="0D7628FC" w:rsidR="00A6296F" w:rsidRDefault="002F323B" w:rsidP="009B2ABF">
      <w:r w:rsidRPr="00784DDA">
        <w:rPr>
          <w:b/>
          <w:bCs/>
        </w:rPr>
        <w:t>Input:</w:t>
      </w:r>
      <w:r>
        <w:t xml:space="preserve"> </w:t>
      </w:r>
      <w:r w:rsidRPr="002F323B">
        <w:t>For your wood scenario, enter impacts from non-wood elements (like steel connections, hybrid steel structures, etc.) to be added to GWP totals for comparison.</w:t>
      </w:r>
    </w:p>
    <w:p w14:paraId="3522D6A0" w14:textId="4727F127" w:rsidR="007C1271" w:rsidRDefault="007C1271" w:rsidP="007C1271">
      <w:pPr>
        <w:pStyle w:val="ListParagraph"/>
        <w:numPr>
          <w:ilvl w:val="0"/>
          <w:numId w:val="5"/>
        </w:numPr>
      </w:pPr>
      <w:r w:rsidRPr="00784DDA">
        <w:rPr>
          <w:b/>
          <w:bCs/>
        </w:rPr>
        <w:t>User field:</w:t>
      </w:r>
      <w:r>
        <w:t xml:space="preserve"> this field allows the user to enter the GWP portion of the </w:t>
      </w:r>
      <w:r w:rsidR="006C4A10">
        <w:t xml:space="preserve">wood </w:t>
      </w:r>
      <w:r>
        <w:t xml:space="preserve">assembly or building that is not wood (like steel connections, hybrid steel structures, etc.).  This provides a way to comprehensively analyze a wood scenario while including non-wood impacts when comparing to a baseline scenario.  </w:t>
      </w:r>
    </w:p>
    <w:p w14:paraId="281C54B9" w14:textId="2C138ADD" w:rsidR="00C56524" w:rsidRDefault="00C56524" w:rsidP="00C56524">
      <w:pPr>
        <w:pStyle w:val="Heading3"/>
      </w:pPr>
      <w:bookmarkStart w:id="28" w:name="_Toc77661168"/>
      <w:r>
        <w:t>Step 2 Related Outputs</w:t>
      </w:r>
      <w:bookmarkEnd w:id="28"/>
    </w:p>
    <w:p w14:paraId="6D8F6389" w14:textId="77777777" w:rsidR="00C56524" w:rsidRPr="00C56524" w:rsidRDefault="00C56524" w:rsidP="00C56524"/>
    <w:p w14:paraId="7C9B447A" w14:textId="1D8329F8" w:rsidR="00197C69" w:rsidRDefault="00197C69" w:rsidP="009B2ABF">
      <w:r w:rsidRPr="00784DDA">
        <w:rPr>
          <w:b/>
          <w:bCs/>
        </w:rPr>
        <w:t>Output:</w:t>
      </w:r>
      <w:r w:rsidR="007C1271">
        <w:t xml:space="preserve"> Comparison of Scenarios for Net GWP (kgCO2e)</w:t>
      </w:r>
    </w:p>
    <w:p w14:paraId="065C7020" w14:textId="6DF309C8" w:rsidR="007C1271" w:rsidRDefault="00C56524" w:rsidP="00215E56">
      <w:pPr>
        <w:pStyle w:val="ListParagraph"/>
        <w:numPr>
          <w:ilvl w:val="0"/>
          <w:numId w:val="5"/>
        </w:numPr>
      </w:pPr>
      <w:r w:rsidRPr="00215E56">
        <w:rPr>
          <w:b/>
          <w:bCs/>
        </w:rPr>
        <w:t>Description:</w:t>
      </w:r>
      <w:r>
        <w:t xml:space="preserve"> </w:t>
      </w:r>
      <w:r w:rsidR="002264AE">
        <w:fldChar w:fldCharType="begin"/>
      </w:r>
      <w:r w:rsidR="002264AE">
        <w:instrText xml:space="preserve"> REF _Ref77109016 \h </w:instrText>
      </w:r>
      <w:r w:rsidR="002264AE">
        <w:fldChar w:fldCharType="separate"/>
      </w:r>
      <w:r w:rsidR="002264AE">
        <w:t xml:space="preserve">Figure </w:t>
      </w:r>
      <w:r w:rsidR="002264AE">
        <w:rPr>
          <w:noProof/>
        </w:rPr>
        <w:t>1</w:t>
      </w:r>
      <w:r w:rsidR="002264AE">
        <w:fldChar w:fldCharType="end"/>
      </w:r>
      <w:r w:rsidR="002264AE">
        <w:t xml:space="preserve"> </w:t>
      </w:r>
      <w:r w:rsidR="00FC1362">
        <w:t>below</w:t>
      </w:r>
      <w:r w:rsidR="007C1271">
        <w:t xml:space="preserve"> reports the baseline GWP in kgCO2e versus the analyzed case that gets built up as you move through the spreadsheet.  Thus, the second stacked bar shows both the net impact of the wood and the non-wood impact.  The final bar reports the net GWP in kgCO2e of these two values and the percent savings from the baseline.</w:t>
      </w:r>
    </w:p>
    <w:p w14:paraId="71D4ADFC" w14:textId="710B74A9" w:rsidR="00224F4C" w:rsidRDefault="00224F4C" w:rsidP="00224F4C">
      <w:pPr>
        <w:pStyle w:val="Caption"/>
        <w:keepNext/>
      </w:pPr>
      <w:bookmarkStart w:id="29" w:name="_Ref77109016"/>
      <w:r>
        <w:lastRenderedPageBreak/>
        <w:t xml:space="preserve">Figure </w:t>
      </w:r>
      <w:r>
        <w:fldChar w:fldCharType="begin"/>
      </w:r>
      <w:r>
        <w:instrText>SEQ Figure \* ARABIC</w:instrText>
      </w:r>
      <w:r>
        <w:fldChar w:fldCharType="separate"/>
      </w:r>
      <w:r w:rsidR="00ED1A20">
        <w:rPr>
          <w:noProof/>
        </w:rPr>
        <w:t>1</w:t>
      </w:r>
      <w:r>
        <w:fldChar w:fldCharType="end"/>
      </w:r>
      <w:bookmarkEnd w:id="29"/>
      <w:r>
        <w:t xml:space="preserve"> </w:t>
      </w:r>
      <w:r w:rsidRPr="00E47898">
        <w:t>Comparison of Scenarios for Net GWP (kgCO2e)</w:t>
      </w:r>
    </w:p>
    <w:p w14:paraId="53F18D13" w14:textId="508ECFD9" w:rsidR="002F323B" w:rsidRDefault="00E77C2E" w:rsidP="009B2ABF">
      <w:r>
        <w:rPr>
          <w:noProof/>
        </w:rPr>
        <w:drawing>
          <wp:inline distT="0" distB="0" distL="0" distR="0" wp14:anchorId="11C88623" wp14:editId="12A56A42">
            <wp:extent cx="5943600" cy="418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85920"/>
                    </a:xfrm>
                    <a:prstGeom prst="rect">
                      <a:avLst/>
                    </a:prstGeom>
                  </pic:spPr>
                </pic:pic>
              </a:graphicData>
            </a:graphic>
          </wp:inline>
        </w:drawing>
      </w:r>
    </w:p>
    <w:p w14:paraId="3F5DD8A2" w14:textId="583B114A" w:rsidR="00617E60" w:rsidRDefault="002F323B" w:rsidP="00AD20F4">
      <w:pPr>
        <w:pStyle w:val="Heading2"/>
      </w:pPr>
      <w:bookmarkStart w:id="30" w:name="_Toc77661169"/>
      <w:r>
        <w:t>2.</w:t>
      </w:r>
      <w:r w:rsidR="00142482">
        <w:t>4</w:t>
      </w:r>
      <w:r>
        <w:t xml:space="preserve"> Step 3 – Calculate Modules A1-A3</w:t>
      </w:r>
      <w:bookmarkEnd w:id="30"/>
    </w:p>
    <w:p w14:paraId="2922E037" w14:textId="0E4C8FED" w:rsidR="00AE5CBD" w:rsidRDefault="00645FFE" w:rsidP="00617E60">
      <w:pPr>
        <w:pStyle w:val="Heading3"/>
      </w:pPr>
      <w:bookmarkStart w:id="31" w:name="_Toc77661170"/>
      <w:r>
        <w:t>Step 3 Overview and Inputs</w:t>
      </w:r>
      <w:bookmarkEnd w:id="31"/>
    </w:p>
    <w:p w14:paraId="2A3A3F1B" w14:textId="77777777" w:rsidR="00617E60" w:rsidRPr="00617E60" w:rsidRDefault="00617E60" w:rsidP="00617E60"/>
    <w:p w14:paraId="13BF22F9" w14:textId="744228C4" w:rsidR="00784DDA" w:rsidRDefault="00784DDA" w:rsidP="002F323B">
      <w:r w:rsidRPr="00FC245C">
        <w:rPr>
          <w:b/>
          <w:bCs/>
        </w:rPr>
        <w:t>Overview:</w:t>
      </w:r>
      <w:r>
        <w:t xml:space="preserve"> this module starts the analysis process by first walking the user through the type of EPD data source to include and ends in allowing the user to toggle turning biogenic carbon storage in the product on or off. </w:t>
      </w:r>
    </w:p>
    <w:p w14:paraId="22B6F574" w14:textId="367D6F4D" w:rsidR="002F323B" w:rsidRDefault="002F323B" w:rsidP="002F323B">
      <w:r w:rsidRPr="00FC245C">
        <w:rPr>
          <w:b/>
          <w:bCs/>
        </w:rPr>
        <w:t>Input:</w:t>
      </w:r>
      <w:r>
        <w:t xml:space="preserve"> Would you like to include modules A1-A3 in your analysis?</w:t>
      </w:r>
    </w:p>
    <w:p w14:paraId="3CEBE7AE" w14:textId="77777777" w:rsidR="00617E60" w:rsidRDefault="00617E60" w:rsidP="00617E60">
      <w:pPr>
        <w:pStyle w:val="ListParagraph"/>
        <w:numPr>
          <w:ilvl w:val="0"/>
          <w:numId w:val="5"/>
        </w:numPr>
      </w:pPr>
      <w:r w:rsidRPr="00784DDA">
        <w:rPr>
          <w:b/>
          <w:bCs/>
        </w:rPr>
        <w:t>Options:</w:t>
      </w:r>
      <w:r>
        <w:t xml:space="preserve"> yes, no </w:t>
      </w:r>
    </w:p>
    <w:p w14:paraId="4123CDA3" w14:textId="77777777" w:rsidR="00617E60" w:rsidRDefault="00617E60" w:rsidP="00617E60">
      <w:pPr>
        <w:pStyle w:val="ListParagraph"/>
        <w:numPr>
          <w:ilvl w:val="1"/>
          <w:numId w:val="5"/>
        </w:numPr>
      </w:pPr>
      <w:r>
        <w:rPr>
          <w:b/>
          <w:bCs/>
        </w:rPr>
        <w:t>Description:</w:t>
      </w:r>
      <w:r>
        <w:t xml:space="preserve"> a ‘no’ input grays out the module in the tool, while a ‘yes’ input illuminates the next step in the process. </w:t>
      </w:r>
    </w:p>
    <w:p w14:paraId="2AD55F75" w14:textId="6FCD9835" w:rsidR="002F323B" w:rsidRDefault="002F323B" w:rsidP="002F323B">
      <w:r w:rsidRPr="00FC245C">
        <w:rPr>
          <w:b/>
          <w:bCs/>
        </w:rPr>
        <w:t>Input:</w:t>
      </w:r>
      <w:r>
        <w:t xml:space="preserve"> Choose the type of EPD for Analysis </w:t>
      </w:r>
    </w:p>
    <w:p w14:paraId="3D5529AF" w14:textId="32F53A0E" w:rsidR="00784DDA" w:rsidRDefault="00784DDA" w:rsidP="00784DDA">
      <w:pPr>
        <w:pStyle w:val="ListParagraph"/>
        <w:numPr>
          <w:ilvl w:val="0"/>
          <w:numId w:val="5"/>
        </w:numPr>
      </w:pPr>
      <w:r w:rsidRPr="00617E60">
        <w:rPr>
          <w:b/>
          <w:bCs/>
        </w:rPr>
        <w:t>Options:</w:t>
      </w:r>
      <w:r>
        <w:t xml:space="preserve"> depending on the product, this dropdown includes Industry-Wide EPDs, supplier-specific EPDs, and in some cases the regional LCA studies behind the Industry-Wide EPDs</w:t>
      </w:r>
      <w:r w:rsidR="00772376">
        <w:t>.</w:t>
      </w:r>
      <w:r>
        <w:t xml:space="preserve"> </w:t>
      </w:r>
    </w:p>
    <w:p w14:paraId="2623BAC9" w14:textId="5CFC5512" w:rsidR="002F323B" w:rsidRDefault="002F323B" w:rsidP="002F323B">
      <w:r w:rsidRPr="00FC245C">
        <w:rPr>
          <w:b/>
          <w:bCs/>
        </w:rPr>
        <w:t>Input:</w:t>
      </w:r>
      <w:r>
        <w:t xml:space="preserve"> Choose the Specific EPD for Analysis </w:t>
      </w:r>
    </w:p>
    <w:p w14:paraId="57588188" w14:textId="11254641" w:rsidR="00784DDA" w:rsidRDefault="00784DDA" w:rsidP="00784DDA">
      <w:pPr>
        <w:pStyle w:val="ListParagraph"/>
        <w:numPr>
          <w:ilvl w:val="0"/>
          <w:numId w:val="5"/>
        </w:numPr>
      </w:pPr>
      <w:r w:rsidRPr="00772376">
        <w:rPr>
          <w:b/>
          <w:bCs/>
        </w:rPr>
        <w:lastRenderedPageBreak/>
        <w:t>Options:</w:t>
      </w:r>
      <w:r>
        <w:t xml:space="preserve"> Depending on the input above, different vintages of EPDs or </w:t>
      </w:r>
      <w:r w:rsidR="00772376">
        <w:t xml:space="preserve">regional </w:t>
      </w:r>
      <w:r>
        <w:t xml:space="preserve">studies </w:t>
      </w:r>
      <w:r w:rsidR="00772376">
        <w:t xml:space="preserve">are </w:t>
      </w:r>
      <w:r>
        <w:t xml:space="preserve">available for analysis, usually with their </w:t>
      </w:r>
      <w:r w:rsidR="00682E90">
        <w:t xml:space="preserve">year included in the input option for posterity. </w:t>
      </w:r>
      <w:r>
        <w:t xml:space="preserve"> </w:t>
      </w:r>
    </w:p>
    <w:p w14:paraId="6DE04FA4" w14:textId="3A9DA00C" w:rsidR="00142482" w:rsidRDefault="00142482" w:rsidP="002F323B">
      <w:r w:rsidRPr="00FC245C">
        <w:rPr>
          <w:b/>
          <w:bCs/>
        </w:rPr>
        <w:t>Input:</w:t>
      </w:r>
      <w:r>
        <w:t xml:space="preserve"> Include Biogenic Carbon Storage in the Product? </w:t>
      </w:r>
    </w:p>
    <w:p w14:paraId="7E4AEBDE" w14:textId="77777777" w:rsidR="00772376" w:rsidRDefault="002922C5" w:rsidP="009B2ABF">
      <w:pPr>
        <w:pStyle w:val="ListParagraph"/>
        <w:numPr>
          <w:ilvl w:val="0"/>
          <w:numId w:val="4"/>
        </w:numPr>
      </w:pPr>
      <w:r w:rsidRPr="00FC245C">
        <w:rPr>
          <w:b/>
          <w:bCs/>
        </w:rPr>
        <w:t>Options:</w:t>
      </w:r>
      <w:r>
        <w:t xml:space="preserve"> yes/no – </w:t>
      </w:r>
    </w:p>
    <w:p w14:paraId="520D4347" w14:textId="651345DA" w:rsidR="00BD384E" w:rsidRDefault="00772376" w:rsidP="00772376">
      <w:pPr>
        <w:pStyle w:val="ListParagraph"/>
        <w:numPr>
          <w:ilvl w:val="1"/>
          <w:numId w:val="4"/>
        </w:numPr>
      </w:pPr>
      <w:r>
        <w:rPr>
          <w:b/>
          <w:bCs/>
        </w:rPr>
        <w:t>Description:</w:t>
      </w:r>
      <w:r>
        <w:t xml:space="preserve"> </w:t>
      </w:r>
      <w:r w:rsidR="002922C5">
        <w:t xml:space="preserve">a ‘yes’ input reports the biogenic carbon storage in the product as a negative kgCO2e.  The amount is based on how the EPD reports the biogenic flows from A1, A2, A3, A5, and C3/C4, and takes the difference between the carbon stored in the incoming logs and the net emissions from A1-A5 as the amount of biogenic carbon stored in the </w:t>
      </w:r>
      <w:commentRangeStart w:id="32"/>
      <w:r w:rsidR="002922C5">
        <w:t>product</w:t>
      </w:r>
      <w:commentRangeEnd w:id="32"/>
      <w:r w:rsidR="00033BA2">
        <w:rPr>
          <w:rStyle w:val="CommentReference"/>
        </w:rPr>
        <w:commentReference w:id="32"/>
      </w:r>
      <w:r w:rsidR="00FD2122">
        <w:t xml:space="preserve"> </w:t>
      </w:r>
      <w:sdt>
        <w:sdtPr>
          <w:id w:val="1009949087"/>
          <w:citation/>
        </w:sdtPr>
        <w:sdtContent>
          <w:r w:rsidR="00FD2122">
            <w:fldChar w:fldCharType="begin"/>
          </w:r>
          <w:r w:rsidR="00FD2122">
            <w:instrText xml:space="preserve"> CITATION Ame20 \l 1033 </w:instrText>
          </w:r>
          <w:r w:rsidR="00FD2122">
            <w:fldChar w:fldCharType="separate"/>
          </w:r>
          <w:r w:rsidR="00FD2122">
            <w:rPr>
              <w:noProof/>
            </w:rPr>
            <w:t>(American and Canadian Wood Council, 2020)</w:t>
          </w:r>
          <w:r w:rsidR="00FD2122">
            <w:fldChar w:fldCharType="end"/>
          </w:r>
        </w:sdtContent>
      </w:sdt>
      <w:r w:rsidR="002922C5">
        <w:t xml:space="preserve">.  For example, </w:t>
      </w:r>
      <w:r w:rsidR="00BD384E">
        <w:fldChar w:fldCharType="begin"/>
      </w:r>
      <w:r w:rsidR="00BD384E">
        <w:instrText xml:space="preserve"> REF _Ref77110241 \h </w:instrText>
      </w:r>
      <w:r w:rsidR="00BD384E">
        <w:fldChar w:fldCharType="separate"/>
      </w:r>
      <w:r w:rsidR="00BD384E">
        <w:t xml:space="preserve">Table </w:t>
      </w:r>
      <w:r w:rsidR="00BD384E">
        <w:rPr>
          <w:noProof/>
        </w:rPr>
        <w:t>1</w:t>
      </w:r>
      <w:r w:rsidR="00BD384E">
        <w:fldChar w:fldCharType="end"/>
      </w:r>
      <w:r w:rsidR="00BD384E">
        <w:t xml:space="preserve"> shows </w:t>
      </w:r>
      <w:r w:rsidR="002922C5">
        <w:t>the net positive emissions in C3/C4 represents the amount of biogenic carbon stored in the final product.  It is important to note that if the user selects ‘yes’ it is highly recommended to include End of Life LCA modules later in the tool to fully account for end of life biogenic and fossil-based emissions.</w:t>
      </w:r>
      <w:r w:rsidR="00BD384E" w:rsidRPr="00BD384E">
        <w:rPr>
          <w:noProof/>
        </w:rPr>
        <w:t xml:space="preserve"> </w:t>
      </w:r>
    </w:p>
    <w:p w14:paraId="05DE3217" w14:textId="05E3E181" w:rsidR="002922C5" w:rsidRDefault="00BD384E" w:rsidP="000C701A">
      <w:pPr>
        <w:pStyle w:val="Caption"/>
        <w:keepNext/>
      </w:pPr>
      <w:r>
        <w:t xml:space="preserve">Table </w:t>
      </w:r>
      <w:r>
        <w:fldChar w:fldCharType="begin"/>
      </w:r>
      <w:r>
        <w:instrText>SEQ Table \* ARABIC</w:instrText>
      </w:r>
      <w:r>
        <w:fldChar w:fldCharType="separate"/>
      </w:r>
      <w:r w:rsidR="004C5D4E">
        <w:rPr>
          <w:noProof/>
        </w:rPr>
        <w:t>2</w:t>
      </w:r>
      <w:r>
        <w:fldChar w:fldCharType="end"/>
      </w:r>
      <w:r>
        <w:t xml:space="preserve"> </w:t>
      </w:r>
      <w:r w:rsidRPr="00FF473E">
        <w:t xml:space="preserve">Carbon Emissions and Removals for 1M3 of North American Glulam </w:t>
      </w:r>
      <w:r w:rsidR="00565390">
        <w:t xml:space="preserve">- </w:t>
      </w:r>
      <w:r w:rsidRPr="00FF473E">
        <w:t xml:space="preserve">table 11 </w:t>
      </w:r>
      <w:sdt>
        <w:sdtPr>
          <w:id w:val="1205982104"/>
          <w:citation/>
        </w:sdtPr>
        <w:sdtContent>
          <w:r w:rsidR="00565390">
            <w:fldChar w:fldCharType="begin"/>
          </w:r>
          <w:r w:rsidR="00565390">
            <w:instrText xml:space="preserve"> CITATION Ame20 \l 1033 </w:instrText>
          </w:r>
          <w:r w:rsidR="00565390">
            <w:fldChar w:fldCharType="separate"/>
          </w:r>
          <w:r w:rsidR="00565390">
            <w:rPr>
              <w:noProof/>
            </w:rPr>
            <w:t>(American and Canadian Wood Council, 2020)</w:t>
          </w:r>
          <w:r w:rsidR="00565390">
            <w:fldChar w:fldCharType="end"/>
          </w:r>
        </w:sdtContent>
      </w:sdt>
      <w:r>
        <w:rPr>
          <w:noProof/>
        </w:rPr>
        <w:drawing>
          <wp:inline distT="0" distB="0" distL="0" distR="0" wp14:anchorId="227AD95D" wp14:editId="28F75E32">
            <wp:extent cx="6146523" cy="118924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4" cstate="print">
                      <a:extLst>
                        <a:ext uri="{28A0092B-C50C-407E-A947-70E740481C1C}">
                          <a14:useLocalDpi xmlns:a14="http://schemas.microsoft.com/office/drawing/2010/main" val="0"/>
                        </a:ext>
                      </a:extLst>
                    </a:blip>
                    <a:srcRect t="11549"/>
                    <a:stretch/>
                  </pic:blipFill>
                  <pic:spPr bwMode="auto">
                    <a:xfrm>
                      <a:off x="0" y="0"/>
                      <a:ext cx="6243531" cy="1208017"/>
                    </a:xfrm>
                    <a:prstGeom prst="rect">
                      <a:avLst/>
                    </a:prstGeom>
                    <a:ln>
                      <a:noFill/>
                    </a:ln>
                    <a:extLst>
                      <a:ext uri="{53640926-AAD7-44D8-BBD7-CCE9431645EC}">
                        <a14:shadowObscured xmlns:a14="http://schemas.microsoft.com/office/drawing/2010/main"/>
                      </a:ext>
                    </a:extLst>
                  </pic:spPr>
                </pic:pic>
              </a:graphicData>
            </a:graphic>
          </wp:inline>
        </w:drawing>
      </w:r>
    </w:p>
    <w:p w14:paraId="1F93A3F2" w14:textId="7F4076D2" w:rsidR="00BD384E" w:rsidRDefault="00BD384E" w:rsidP="00BD384E">
      <w:pPr>
        <w:pStyle w:val="Heading3"/>
      </w:pPr>
      <w:bookmarkStart w:id="33" w:name="_Toc77661171"/>
      <w:r>
        <w:t xml:space="preserve">Step 3 </w:t>
      </w:r>
      <w:r w:rsidR="00AF79CC">
        <w:t xml:space="preserve">Related </w:t>
      </w:r>
      <w:r w:rsidR="00573998">
        <w:t>Outputs</w:t>
      </w:r>
      <w:bookmarkEnd w:id="33"/>
    </w:p>
    <w:p w14:paraId="0A595161" w14:textId="77777777" w:rsidR="00BD384E" w:rsidRDefault="00BD384E" w:rsidP="00197C69">
      <w:pPr>
        <w:rPr>
          <w:b/>
          <w:bCs/>
        </w:rPr>
      </w:pPr>
    </w:p>
    <w:p w14:paraId="1C12F32A" w14:textId="48876490" w:rsidR="00197C69" w:rsidRDefault="00197C69" w:rsidP="00197C69">
      <w:r w:rsidRPr="00FC245C">
        <w:rPr>
          <w:b/>
          <w:bCs/>
        </w:rPr>
        <w:t>Output:</w:t>
      </w:r>
      <w:r w:rsidR="002922C5">
        <w:t xml:space="preserve"> Scenario 1 – kgCO2e By Life Cycle Stage </w:t>
      </w:r>
    </w:p>
    <w:p w14:paraId="149C5DAC" w14:textId="054169BB" w:rsidR="002922C5" w:rsidRDefault="00BD384E" w:rsidP="00215E56">
      <w:pPr>
        <w:pStyle w:val="ListParagraph"/>
        <w:numPr>
          <w:ilvl w:val="0"/>
          <w:numId w:val="4"/>
        </w:numPr>
      </w:pPr>
      <w:r w:rsidRPr="00215E56">
        <w:rPr>
          <w:b/>
          <w:bCs/>
        </w:rPr>
        <w:t>Description:</w:t>
      </w:r>
      <w:r>
        <w:t xml:space="preserve"> </w:t>
      </w:r>
      <w:r w:rsidR="0038545F">
        <w:fldChar w:fldCharType="begin"/>
      </w:r>
      <w:r w:rsidR="0038545F">
        <w:instrText xml:space="preserve"> REF _Ref77110388 \h </w:instrText>
      </w:r>
      <w:r w:rsidR="0038545F">
        <w:fldChar w:fldCharType="separate"/>
      </w:r>
      <w:r w:rsidR="0038545F">
        <w:t xml:space="preserve">Figure </w:t>
      </w:r>
      <w:r w:rsidR="0038545F">
        <w:rPr>
          <w:noProof/>
        </w:rPr>
        <w:t>2</w:t>
      </w:r>
      <w:r w:rsidR="0038545F">
        <w:fldChar w:fldCharType="end"/>
      </w:r>
      <w:r w:rsidR="0038545F">
        <w:t xml:space="preserve"> </w:t>
      </w:r>
      <w:r w:rsidR="002922C5">
        <w:t>represents the main output of UPStream, and as the user completes each calculation section of the spreadsheet, the chart updates with 3 main pieces of information</w:t>
      </w:r>
      <w:r w:rsidR="00054698">
        <w:t>:</w:t>
      </w:r>
      <w:r w:rsidR="002922C5">
        <w:t xml:space="preserve">  1) The kgCO2e values </w:t>
      </w:r>
      <w:r w:rsidR="00054698">
        <w:t xml:space="preserve">disaggregated for </w:t>
      </w:r>
      <w:r w:rsidR="002922C5">
        <w:t xml:space="preserve">each </w:t>
      </w:r>
      <w:r w:rsidR="00054698">
        <w:t xml:space="preserve">LCA </w:t>
      </w:r>
      <w:r w:rsidR="002922C5">
        <w:t>module and sub-module, 2) the overall net kgCO2e</w:t>
      </w:r>
      <w:r w:rsidR="00054698">
        <w:t xml:space="preserve"> of all declared modules</w:t>
      </w:r>
      <w:r w:rsidR="002922C5">
        <w:t xml:space="preserve">, and </w:t>
      </w:r>
      <w:r w:rsidR="00054698">
        <w:t xml:space="preserve">3) </w:t>
      </w:r>
      <w:r w:rsidR="002922C5">
        <w:t>the underlying datasource/assumption which is referenced in the table below the chart.</w:t>
      </w:r>
    </w:p>
    <w:p w14:paraId="647B49F0" w14:textId="68D0721F" w:rsidR="002922C5" w:rsidRDefault="002922C5" w:rsidP="00197C69"/>
    <w:p w14:paraId="6DB9D896" w14:textId="04B5D132" w:rsidR="00703748" w:rsidRDefault="00703748" w:rsidP="00703748">
      <w:pPr>
        <w:pStyle w:val="Caption"/>
        <w:keepNext/>
      </w:pPr>
      <w:bookmarkStart w:id="34" w:name="_Ref77110388"/>
      <w:r>
        <w:lastRenderedPageBreak/>
        <w:t xml:space="preserve">Figure </w:t>
      </w:r>
      <w:r>
        <w:fldChar w:fldCharType="begin"/>
      </w:r>
      <w:r>
        <w:instrText>SEQ Figure \* ARABIC</w:instrText>
      </w:r>
      <w:r>
        <w:fldChar w:fldCharType="separate"/>
      </w:r>
      <w:r w:rsidR="00ED1A20">
        <w:rPr>
          <w:noProof/>
        </w:rPr>
        <w:t>2</w:t>
      </w:r>
      <w:r>
        <w:fldChar w:fldCharType="end"/>
      </w:r>
      <w:bookmarkEnd w:id="34"/>
      <w:r>
        <w:t xml:space="preserve"> </w:t>
      </w:r>
      <w:r w:rsidRPr="00810F7F">
        <w:t>Scenario 1 – kgCO2e By Life Cycle Stage</w:t>
      </w:r>
    </w:p>
    <w:p w14:paraId="1FB70BB8" w14:textId="1304E9E4" w:rsidR="002922C5" w:rsidRDefault="00D023B1" w:rsidP="00197C69">
      <w:r>
        <w:rPr>
          <w:noProof/>
        </w:rPr>
        <w:drawing>
          <wp:inline distT="0" distB="0" distL="0" distR="0" wp14:anchorId="6FBBBD2E" wp14:editId="7CEF637A">
            <wp:extent cx="5943600" cy="4258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58945"/>
                    </a:xfrm>
                    <a:prstGeom prst="rect">
                      <a:avLst/>
                    </a:prstGeom>
                  </pic:spPr>
                </pic:pic>
              </a:graphicData>
            </a:graphic>
          </wp:inline>
        </w:drawing>
      </w:r>
    </w:p>
    <w:p w14:paraId="3A3CC880" w14:textId="02BB56C3" w:rsidR="00142482" w:rsidRDefault="00142482" w:rsidP="00142482"/>
    <w:p w14:paraId="3E13DC93" w14:textId="30DAEDA4" w:rsidR="00573998" w:rsidRDefault="00142482" w:rsidP="00AD20F4">
      <w:pPr>
        <w:pStyle w:val="Heading2"/>
      </w:pPr>
      <w:bookmarkStart w:id="35" w:name="_Toc77661172"/>
      <w:r>
        <w:t>2.5 Step 4 – Calculate Modules A4 - Transportation</w:t>
      </w:r>
      <w:bookmarkEnd w:id="35"/>
    </w:p>
    <w:p w14:paraId="698E3364" w14:textId="6A3CEB18" w:rsidR="00573998" w:rsidRDefault="00573998" w:rsidP="00573998">
      <w:pPr>
        <w:pStyle w:val="Heading3"/>
      </w:pPr>
      <w:bookmarkStart w:id="36" w:name="_Toc77661173"/>
      <w:r>
        <w:t>Step 4 Overview and Inputs</w:t>
      </w:r>
      <w:bookmarkEnd w:id="36"/>
    </w:p>
    <w:p w14:paraId="45ABC415" w14:textId="77777777" w:rsidR="00573998" w:rsidRDefault="00573998" w:rsidP="00142482">
      <w:pPr>
        <w:rPr>
          <w:b/>
          <w:bCs/>
        </w:rPr>
      </w:pPr>
    </w:p>
    <w:p w14:paraId="67FC29CA" w14:textId="025E1C96" w:rsidR="00142482" w:rsidRDefault="00364FE2" w:rsidP="00142482">
      <w:r w:rsidRPr="00DB3359">
        <w:rPr>
          <w:b/>
          <w:bCs/>
        </w:rPr>
        <w:t>Overview:</w:t>
      </w:r>
      <w:r>
        <w:t xml:space="preserve"> this module allows the user to include GWP impacts of transportation from fabricator to project site, either using the Tally default values for distance and transportation type, or the user can input a custom distance and </w:t>
      </w:r>
      <w:r w:rsidR="00D91758">
        <w:t>transportation type</w:t>
      </w:r>
      <w:r>
        <w:t>.</w:t>
      </w:r>
    </w:p>
    <w:p w14:paraId="576079DA" w14:textId="5A8E6BBF" w:rsidR="00142482" w:rsidRDefault="00142482" w:rsidP="00142482">
      <w:r w:rsidRPr="00DB3359">
        <w:rPr>
          <w:b/>
          <w:bCs/>
        </w:rPr>
        <w:t>Input:</w:t>
      </w:r>
      <w:r>
        <w:t xml:space="preserve"> Would you like to go beyond cradle-to-gate analysis and include A4 Transportation as part of </w:t>
      </w:r>
      <w:r w:rsidR="56F60021">
        <w:t>a</w:t>
      </w:r>
      <w:r>
        <w:t xml:space="preserve"> cradle-to-grave analysis? </w:t>
      </w:r>
    </w:p>
    <w:p w14:paraId="5C35EF8C" w14:textId="77777777" w:rsidR="00D91758" w:rsidRDefault="00D91758" w:rsidP="00D91758">
      <w:pPr>
        <w:pStyle w:val="ListParagraph"/>
        <w:numPr>
          <w:ilvl w:val="0"/>
          <w:numId w:val="5"/>
        </w:numPr>
      </w:pPr>
      <w:r w:rsidRPr="00784DDA">
        <w:rPr>
          <w:b/>
          <w:bCs/>
        </w:rPr>
        <w:t>Options:</w:t>
      </w:r>
      <w:r>
        <w:t xml:space="preserve"> yes, no </w:t>
      </w:r>
    </w:p>
    <w:p w14:paraId="06A640AD" w14:textId="39A40DD0" w:rsidR="00364FE2" w:rsidRDefault="00D91758" w:rsidP="00142482">
      <w:pPr>
        <w:pStyle w:val="ListParagraph"/>
        <w:numPr>
          <w:ilvl w:val="1"/>
          <w:numId w:val="5"/>
        </w:numPr>
      </w:pPr>
      <w:r>
        <w:rPr>
          <w:b/>
          <w:bCs/>
        </w:rPr>
        <w:t>Description:</w:t>
      </w:r>
      <w:r>
        <w:t xml:space="preserve"> a ‘no’ input grays out the module in the tool, while a ‘yes’ input illuminates the next step in the process. </w:t>
      </w:r>
    </w:p>
    <w:p w14:paraId="5F937C7E" w14:textId="44908F41" w:rsidR="00142482" w:rsidRDefault="00142482" w:rsidP="00142482">
      <w:r w:rsidRPr="00DB3359">
        <w:rPr>
          <w:b/>
          <w:bCs/>
        </w:rPr>
        <w:t>Input:</w:t>
      </w:r>
      <w:r>
        <w:t xml:space="preserve"> Use Default Values (select if you don’t know transportation distances yet)</w:t>
      </w:r>
    </w:p>
    <w:p w14:paraId="78D48F8B" w14:textId="01A63371" w:rsidR="00142482" w:rsidRDefault="00364FE2" w:rsidP="00142482">
      <w:pPr>
        <w:pStyle w:val="ListParagraph"/>
        <w:numPr>
          <w:ilvl w:val="0"/>
          <w:numId w:val="4"/>
        </w:numPr>
      </w:pPr>
      <w:r w:rsidRPr="00DB3359">
        <w:rPr>
          <w:b/>
          <w:bCs/>
        </w:rPr>
        <w:t>Option 1</w:t>
      </w:r>
      <w:r w:rsidR="00DB3359">
        <w:t>: Y</w:t>
      </w:r>
      <w:r>
        <w:t>es</w:t>
      </w:r>
    </w:p>
    <w:p w14:paraId="31AF5B67" w14:textId="65048D42" w:rsidR="00364FE2" w:rsidRDefault="005D1F9D" w:rsidP="00364FE2">
      <w:pPr>
        <w:pStyle w:val="ListParagraph"/>
        <w:numPr>
          <w:ilvl w:val="1"/>
          <w:numId w:val="4"/>
        </w:numPr>
      </w:pPr>
      <w:r w:rsidRPr="005D1F9D">
        <w:rPr>
          <w:b/>
          <w:bCs/>
        </w:rPr>
        <w:lastRenderedPageBreak/>
        <w:t>Description:</w:t>
      </w:r>
      <w:r>
        <w:t xml:space="preserve"> </w:t>
      </w:r>
      <w:r w:rsidR="00364FE2">
        <w:t>This defaults to Tally’s transportation distances included for wood, which typically range from 383-468 kilometers depending on the product.  It also uses the ‘by truck’ transportation type and applies the kgCO2e/kg ODW impact from Tally (based on GaBi) to the mass of whatever was modeled in UPStream according to the EPD.</w:t>
      </w:r>
    </w:p>
    <w:p w14:paraId="7AAC00ED" w14:textId="77777777" w:rsidR="005D1F9D" w:rsidRDefault="005D1F9D" w:rsidP="005D1F9D">
      <w:pPr>
        <w:pStyle w:val="ListParagraph"/>
        <w:ind w:left="1440"/>
      </w:pPr>
    </w:p>
    <w:p w14:paraId="391FA267" w14:textId="648C4EF1" w:rsidR="00142482" w:rsidRDefault="00364FE2" w:rsidP="00142482">
      <w:pPr>
        <w:pStyle w:val="ListParagraph"/>
        <w:numPr>
          <w:ilvl w:val="0"/>
          <w:numId w:val="4"/>
        </w:numPr>
      </w:pPr>
      <w:r w:rsidRPr="00DB3359">
        <w:rPr>
          <w:b/>
          <w:bCs/>
        </w:rPr>
        <w:t>Option 2</w:t>
      </w:r>
      <w:r w:rsidR="00DB3359">
        <w:t>:</w:t>
      </w:r>
      <w:r>
        <w:t xml:space="preserve"> No (custom)</w:t>
      </w:r>
    </w:p>
    <w:p w14:paraId="3D27C383" w14:textId="42758E8A" w:rsidR="00364FE2" w:rsidRDefault="00BA47BA" w:rsidP="00364FE2">
      <w:pPr>
        <w:pStyle w:val="ListParagraph"/>
        <w:numPr>
          <w:ilvl w:val="1"/>
          <w:numId w:val="4"/>
        </w:numPr>
      </w:pPr>
      <w:r w:rsidRPr="00BA47BA">
        <w:rPr>
          <w:b/>
          <w:bCs/>
        </w:rPr>
        <w:t>Description:</w:t>
      </w:r>
      <w:r>
        <w:t xml:space="preserve"> </w:t>
      </w:r>
      <w:r w:rsidR="00364FE2">
        <w:t>This allows the user to input a custom distance by transportation type (truck, barge, rail, etc.).  This option still uses the Tally data (based on GaBi), but broken down into a kgCO2e/kg ODW/kilometer traveled for each transportation type to allow for the custom distance input.</w:t>
      </w:r>
    </w:p>
    <w:p w14:paraId="5193F90B" w14:textId="7E1F9BC3" w:rsidR="00BA47BA" w:rsidRDefault="00142482" w:rsidP="00AD20F4">
      <w:pPr>
        <w:pStyle w:val="Heading2"/>
      </w:pPr>
      <w:bookmarkStart w:id="37" w:name="_Toc77661174"/>
      <w:r>
        <w:t>2.6 Step 5 – Calculate Module C2-4 – End of Life Emissions</w:t>
      </w:r>
      <w:bookmarkEnd w:id="37"/>
    </w:p>
    <w:p w14:paraId="39F024D0" w14:textId="08585315" w:rsidR="00BA47BA" w:rsidRDefault="00BA47BA" w:rsidP="00BA47BA">
      <w:pPr>
        <w:pStyle w:val="Heading3"/>
      </w:pPr>
      <w:bookmarkStart w:id="38" w:name="_Toc77661175"/>
      <w:r>
        <w:t>Step 5 Overview and Inputs</w:t>
      </w:r>
      <w:r w:rsidR="007263E5">
        <w:t xml:space="preserve"> – Base Options</w:t>
      </w:r>
      <w:bookmarkEnd w:id="38"/>
    </w:p>
    <w:p w14:paraId="7C0A6F57" w14:textId="77777777" w:rsidR="00BA47BA" w:rsidRDefault="00BA47BA" w:rsidP="00142482"/>
    <w:p w14:paraId="456EFDF1" w14:textId="0C2E5D3D" w:rsidR="004D0493" w:rsidRDefault="004D0493" w:rsidP="00142482">
      <w:r w:rsidRPr="00BA47BA">
        <w:rPr>
          <w:b/>
          <w:bCs/>
        </w:rPr>
        <w:t>Overview</w:t>
      </w:r>
      <w:r>
        <w:t xml:space="preserve">: </w:t>
      </w:r>
      <w:r w:rsidR="0013076B">
        <w:t xml:space="preserve">This section calculates the emissions </w:t>
      </w:r>
      <w:r w:rsidR="001A38C1">
        <w:t>for LCA</w:t>
      </w:r>
      <w:r w:rsidR="00891CE4">
        <w:t xml:space="preserve"> modules</w:t>
      </w:r>
      <w:r w:rsidR="0013076B">
        <w:t xml:space="preserve"> C2-4 and breaks them down into biogenic emissions and non-biogenic emissions.</w:t>
      </w:r>
      <w:r w:rsidR="00F228D1">
        <w:t xml:space="preserve">  The user currently </w:t>
      </w:r>
      <w:r w:rsidR="00891CE4">
        <w:t>can</w:t>
      </w:r>
      <w:r w:rsidR="00F228D1">
        <w:t xml:space="preserve"> select between 3 base options that contain various end of life scenario distributions</w:t>
      </w:r>
      <w:r w:rsidR="00F66D0C">
        <w:t xml:space="preserve">, </w:t>
      </w:r>
      <w:r w:rsidR="00F228D1">
        <w:t>assumptions</w:t>
      </w:r>
      <w:r w:rsidR="00F66D0C">
        <w:t>, and datasets</w:t>
      </w:r>
      <w:r w:rsidR="00F228D1">
        <w:t xml:space="preserve">.  The </w:t>
      </w:r>
      <w:r w:rsidR="0049608C">
        <w:t>user can also</w:t>
      </w:r>
      <w:r w:rsidR="00F228D1">
        <w:t xml:space="preserve"> select between 2 custom pathway</w:t>
      </w:r>
      <w:r w:rsidR="004A0589">
        <w:t xml:space="preserve"> datasets</w:t>
      </w:r>
      <w:r w:rsidR="00F228D1">
        <w:t xml:space="preserve"> </w:t>
      </w:r>
      <w:r w:rsidR="00466F9B">
        <w:t>with</w:t>
      </w:r>
      <w:r w:rsidR="00F228D1">
        <w:t xml:space="preserve"> </w:t>
      </w:r>
      <w:r w:rsidR="00466F9B">
        <w:t>flexible</w:t>
      </w:r>
      <w:r w:rsidR="0049608C">
        <w:t xml:space="preserve"> distribution</w:t>
      </w:r>
      <w:r w:rsidR="008F4DFC">
        <w:t xml:space="preserve">s </w:t>
      </w:r>
      <w:r w:rsidR="00466F9B">
        <w:t>for</w:t>
      </w:r>
      <w:r w:rsidR="008F4DFC">
        <w:t xml:space="preserve"> </w:t>
      </w:r>
      <w:r w:rsidR="00892D27">
        <w:t xml:space="preserve">their constituent </w:t>
      </w:r>
      <w:r w:rsidR="00F228D1">
        <w:t>end of life scenario</w:t>
      </w:r>
      <w:r w:rsidR="00892D27">
        <w:t>s</w:t>
      </w:r>
      <w:r w:rsidR="00F228D1">
        <w:t xml:space="preserve">.  Either the EPA WARM model can be used for the custom pathway, or the Tally </w:t>
      </w:r>
      <w:r w:rsidR="008F4DFC">
        <w:t xml:space="preserve">factors which </w:t>
      </w:r>
      <w:r w:rsidR="00F228D1">
        <w:t xml:space="preserve">which use a blend between EPA WARM and GaBI data.  </w:t>
      </w:r>
    </w:p>
    <w:p w14:paraId="0BC4BE40" w14:textId="292C91E5" w:rsidR="00142482" w:rsidRDefault="00142482" w:rsidP="00142482">
      <w:r w:rsidRPr="00A730DF">
        <w:rPr>
          <w:b/>
          <w:bCs/>
        </w:rPr>
        <w:t>Input:</w:t>
      </w:r>
      <w:r>
        <w:t xml:space="preserve"> </w:t>
      </w:r>
      <w:r w:rsidRPr="00142482">
        <w:t>Would you like to go beyond cradle-to-gate analysis and include C2-4 End of Life (fossil and biogenic emissions) as part of a cradle to grave analysis?</w:t>
      </w:r>
    </w:p>
    <w:p w14:paraId="7BECB8F5" w14:textId="77777777" w:rsidR="00551C59" w:rsidRDefault="00551C59" w:rsidP="00551C59">
      <w:pPr>
        <w:pStyle w:val="ListParagraph"/>
        <w:numPr>
          <w:ilvl w:val="0"/>
          <w:numId w:val="5"/>
        </w:numPr>
      </w:pPr>
      <w:r w:rsidRPr="00784DDA">
        <w:rPr>
          <w:b/>
          <w:bCs/>
        </w:rPr>
        <w:t>Options:</w:t>
      </w:r>
      <w:r>
        <w:t xml:space="preserve"> yes, no </w:t>
      </w:r>
    </w:p>
    <w:p w14:paraId="43808FCE" w14:textId="77777777" w:rsidR="00551C59" w:rsidRDefault="00551C59" w:rsidP="00551C59">
      <w:pPr>
        <w:pStyle w:val="ListParagraph"/>
        <w:numPr>
          <w:ilvl w:val="1"/>
          <w:numId w:val="5"/>
        </w:numPr>
      </w:pPr>
      <w:r>
        <w:rPr>
          <w:b/>
          <w:bCs/>
        </w:rPr>
        <w:t>Description:</w:t>
      </w:r>
      <w:r>
        <w:t xml:space="preserve"> a ‘no’ input grays out the module in the tool, while a ‘yes’ input illuminates the next step in the process. </w:t>
      </w:r>
    </w:p>
    <w:p w14:paraId="73ACE122" w14:textId="77777777" w:rsidR="00142482" w:rsidRDefault="00142482" w:rsidP="00142482">
      <w:r w:rsidRPr="00551C59">
        <w:rPr>
          <w:b/>
          <w:bCs/>
        </w:rPr>
        <w:t>Input:</w:t>
      </w:r>
      <w:r>
        <w:t xml:space="preserve"> End of Life Data Source</w:t>
      </w:r>
    </w:p>
    <w:p w14:paraId="23352423" w14:textId="4067CDF2" w:rsidR="00142482" w:rsidRDefault="00142482" w:rsidP="00142482">
      <w:pPr>
        <w:pStyle w:val="ListParagraph"/>
        <w:numPr>
          <w:ilvl w:val="0"/>
          <w:numId w:val="4"/>
        </w:numPr>
      </w:pPr>
      <w:r w:rsidRPr="00877289">
        <w:rPr>
          <w:b/>
          <w:bCs/>
        </w:rPr>
        <w:t>Option 1</w:t>
      </w:r>
      <w:r w:rsidR="00877289" w:rsidRPr="00877289">
        <w:rPr>
          <w:b/>
          <w:bCs/>
        </w:rPr>
        <w:t>:</w:t>
      </w:r>
      <w:r>
        <w:t xml:space="preserve"> </w:t>
      </w:r>
      <w:r w:rsidR="00197C69">
        <w:t>EPD V1 –</w:t>
      </w:r>
      <w:commentRangeStart w:id="39"/>
      <w:r w:rsidR="00197C69">
        <w:t xml:space="preserve"> Biogenic Carbon Net Neutral</w:t>
      </w:r>
    </w:p>
    <w:p w14:paraId="4F7EAD22" w14:textId="34130492" w:rsidR="0003173D" w:rsidRDefault="0003173D" w:rsidP="0003173D">
      <w:pPr>
        <w:pStyle w:val="ListParagraph"/>
        <w:numPr>
          <w:ilvl w:val="1"/>
          <w:numId w:val="4"/>
        </w:numPr>
      </w:pPr>
      <w:r w:rsidRPr="0003173D">
        <w:rPr>
          <w:b/>
          <w:bCs/>
        </w:rPr>
        <w:t>Description:</w:t>
      </w:r>
      <w:r>
        <w:t xml:space="preserve"> </w:t>
      </w:r>
      <w:r w:rsidR="00AF0D61">
        <w:t xml:space="preserve">This option represents one of the more common LCA boundaries and scopes, </w:t>
      </w:r>
      <w:r w:rsidR="6F861E4B">
        <w:t>i.e.,</w:t>
      </w:r>
      <w:r w:rsidR="00AF0D61">
        <w:t xml:space="preserve"> cradle</w:t>
      </w:r>
      <w:r w:rsidR="00497F95">
        <w:t>-</w:t>
      </w:r>
      <w:r w:rsidR="00AF0D61">
        <w:t>to</w:t>
      </w:r>
      <w:r w:rsidR="00497F95">
        <w:t>-</w:t>
      </w:r>
      <w:r w:rsidR="00AF322E">
        <w:t xml:space="preserve">manufacturing </w:t>
      </w:r>
      <w:r w:rsidR="00AF0D61">
        <w:t xml:space="preserve">gate where biogenic carbon storage and emissions follow the ‘net neutrality’ principle as per ISO 21930 7.2.7 and 7.2.12.  Based on these accounting rules, all carbon removed from the atmosphere in module A1 is emitted in modules A1-5 and C3-4.  Even though this approach represents a cradle-to-gate boundary, </w:t>
      </w:r>
      <w:r w:rsidR="463D1933">
        <w:t>it's</w:t>
      </w:r>
      <w:r w:rsidR="00AF0D61">
        <w:t xml:space="preserve"> important to note that </w:t>
      </w:r>
      <w:r w:rsidR="000419AE">
        <w:t xml:space="preserve">for biogenic emissions and removals </w:t>
      </w:r>
      <w:r w:rsidR="00AF0D61">
        <w:t xml:space="preserve">modules A5 and C3/C4 are reported to ensure a net neutral biogenic </w:t>
      </w:r>
      <w:commentRangeStart w:id="40"/>
      <w:r w:rsidR="00AF0D61">
        <w:t>carbon balance</w:t>
      </w:r>
      <w:commentRangeEnd w:id="40"/>
      <w:r w:rsidR="000419AE">
        <w:rPr>
          <w:rStyle w:val="CommentReference"/>
        </w:rPr>
        <w:commentReference w:id="40"/>
      </w:r>
      <w:r w:rsidR="00AF0D61">
        <w:t>.  As per ISO 21930, this type of net neutral accounting can only be used if the forest can demonstrate carbon removals with a factor of -1 kgCO2e/kgCO2</w:t>
      </w:r>
      <w:r w:rsidR="00F67CBD">
        <w:t xml:space="preserve"> </w:t>
      </w:r>
      <w:sdt>
        <w:sdtPr>
          <w:id w:val="1911887744"/>
          <w:placeholder>
            <w:docPart w:val="8F77EC42395344A6A195D5DBF2021974"/>
          </w:placeholder>
          <w:citation/>
        </w:sdtPr>
        <w:sdtContent>
          <w:r w:rsidR="00F67CBD">
            <w:fldChar w:fldCharType="begin"/>
          </w:r>
          <w:r w:rsidR="00F67CBD">
            <w:instrText xml:space="preserve"> CITATION Ame20 \l 1033 </w:instrText>
          </w:r>
          <w:r w:rsidR="00F67CBD">
            <w:fldChar w:fldCharType="separate"/>
          </w:r>
          <w:r w:rsidR="00F67CBD">
            <w:rPr>
              <w:noProof/>
            </w:rPr>
            <w:t>(American and Canadian Wood Council, 2020)</w:t>
          </w:r>
          <w:r w:rsidR="00F67CBD">
            <w:fldChar w:fldCharType="end"/>
          </w:r>
        </w:sdtContent>
      </w:sdt>
      <w:r w:rsidR="00AF0D61">
        <w:t xml:space="preserve">. This standard points to the United Nations Framework Convention on Climate Change (UNFCC) annual report to demonstrate that all North American forests meet </w:t>
      </w:r>
      <w:r w:rsidR="003C3EA5">
        <w:t>these criteria</w:t>
      </w:r>
      <w:commentRangeStart w:id="41"/>
      <w:commentRangeEnd w:id="41"/>
      <w:r w:rsidR="000419AE">
        <w:rPr>
          <w:rStyle w:val="CommentReference"/>
        </w:rPr>
        <w:commentReference w:id="41"/>
      </w:r>
      <w:r w:rsidR="00487E70">
        <w:t xml:space="preserve"> </w:t>
      </w:r>
      <w:sdt>
        <w:sdtPr>
          <w:id w:val="-986780734"/>
          <w:placeholder>
            <w:docPart w:val="8F77EC42395344A6A195D5DBF2021974"/>
          </w:placeholder>
          <w:citation/>
        </w:sdtPr>
        <w:sdtContent>
          <w:r w:rsidR="008F7BC9">
            <w:fldChar w:fldCharType="begin"/>
          </w:r>
          <w:r w:rsidR="008F7BC9">
            <w:instrText xml:space="preserve"> CITATION UNF20 \l 1033 </w:instrText>
          </w:r>
          <w:r w:rsidR="008F7BC9">
            <w:fldChar w:fldCharType="separate"/>
          </w:r>
          <w:r w:rsidR="008F7BC9">
            <w:rPr>
              <w:noProof/>
            </w:rPr>
            <w:t>(UNFCCC, 2020)</w:t>
          </w:r>
          <w:r w:rsidR="008F7BC9">
            <w:fldChar w:fldCharType="end"/>
          </w:r>
        </w:sdtContent>
      </w:sdt>
      <w:r w:rsidR="00AF0D61">
        <w:t>.</w:t>
      </w:r>
    </w:p>
    <w:p w14:paraId="45C6E77A" w14:textId="77777777" w:rsidR="00533419" w:rsidRDefault="00533419" w:rsidP="00533419">
      <w:pPr>
        <w:pStyle w:val="ListParagraph"/>
        <w:ind w:left="1440"/>
      </w:pPr>
    </w:p>
    <w:p w14:paraId="0FA329E1" w14:textId="37B497EA" w:rsidR="00533419" w:rsidRDefault="00497F95" w:rsidP="00533419">
      <w:pPr>
        <w:pStyle w:val="ListParagraph"/>
        <w:ind w:left="1440"/>
      </w:pPr>
      <w:r>
        <w:t xml:space="preserve">This option represents a conservative approach to carbon accounting for wood products in that it eliminates any benefit of biogenic carbon storage in the product by assuming it </w:t>
      </w:r>
      <w:r w:rsidR="00CA21A3">
        <w:lastRenderedPageBreak/>
        <w:t xml:space="preserve">all is emitted back into the atmosphere.  This does not account for any biogenic carbon still stored in the built environment </w:t>
      </w:r>
      <w:r w:rsidR="003C3026">
        <w:t>across</w:t>
      </w:r>
      <w:r w:rsidR="00CA21A3">
        <w:t xml:space="preserve"> harvest cycles, or </w:t>
      </w:r>
      <w:r w:rsidR="00A637F9">
        <w:t>long-term</w:t>
      </w:r>
      <w:r w:rsidR="00CA21A3">
        <w:t xml:space="preserve"> carbon storage in landfills, or substitution benefits of incineration or landfill gas recovery.  </w:t>
      </w:r>
      <w:r w:rsidR="003C3026">
        <w:t xml:space="preserve">It also ignores any benefit or penalty of </w:t>
      </w:r>
      <w:r w:rsidR="00A637F9">
        <w:t>carbon dynamics at the forest or landscape level.</w:t>
      </w:r>
    </w:p>
    <w:p w14:paraId="3431D579" w14:textId="77777777" w:rsidR="00533419" w:rsidRDefault="00533419" w:rsidP="00533419">
      <w:pPr>
        <w:pStyle w:val="ListParagraph"/>
        <w:ind w:left="1440"/>
      </w:pPr>
    </w:p>
    <w:p w14:paraId="1555E0EE" w14:textId="25CD98F2" w:rsidR="00142482" w:rsidRDefault="00142482" w:rsidP="00142482">
      <w:pPr>
        <w:pStyle w:val="ListParagraph"/>
        <w:numPr>
          <w:ilvl w:val="0"/>
          <w:numId w:val="4"/>
        </w:numPr>
      </w:pPr>
      <w:r w:rsidRPr="00533419">
        <w:rPr>
          <w:b/>
          <w:bCs/>
        </w:rPr>
        <w:t>Option 2</w:t>
      </w:r>
      <w:r w:rsidR="00533419">
        <w:t>:</w:t>
      </w:r>
      <w:r>
        <w:t xml:space="preserve"> </w:t>
      </w:r>
      <w:r w:rsidR="00197C69">
        <w:t>EPD V2 – w/Long Term Biogenic Carbon Sequestration</w:t>
      </w:r>
      <w:commentRangeEnd w:id="39"/>
      <w:r w:rsidR="00197C69">
        <w:rPr>
          <w:rStyle w:val="CommentReference"/>
        </w:rPr>
        <w:commentReference w:id="39"/>
      </w:r>
    </w:p>
    <w:p w14:paraId="7F113992" w14:textId="3EB05DD0" w:rsidR="00533419" w:rsidRDefault="00533419" w:rsidP="00533419">
      <w:pPr>
        <w:pStyle w:val="ListParagraph"/>
        <w:numPr>
          <w:ilvl w:val="1"/>
          <w:numId w:val="4"/>
        </w:numPr>
      </w:pPr>
      <w:r w:rsidRPr="00533419">
        <w:rPr>
          <w:b/>
          <w:bCs/>
        </w:rPr>
        <w:t>Description:</w:t>
      </w:r>
      <w:r>
        <w:t xml:space="preserve"> </w:t>
      </w:r>
      <w:r w:rsidR="00CA21A3">
        <w:t xml:space="preserve">In the post-2020 American Wood Council EPDs, there is now a section called “Cradle-to-Grave Carbon Sequestration.”  This section acknowledges the “conservative assumption” of the ISO 21930 net neutral accounting methodology, and attempts </w:t>
      </w:r>
      <w:r w:rsidR="0042678F">
        <w:t xml:space="preserve">define an </w:t>
      </w:r>
      <w:r w:rsidR="1218E7F5">
        <w:t>end-</w:t>
      </w:r>
      <w:r w:rsidR="0042678F">
        <w:t>of</w:t>
      </w:r>
      <w:r w:rsidR="1218E7F5">
        <w:t>-life</w:t>
      </w:r>
      <w:r w:rsidR="1CA16AE3">
        <w:t xml:space="preserve"> scenario that includes the permanent sequestration of biogenic carbon from landfilling.</w:t>
      </w:r>
      <w:r w:rsidR="0042678F">
        <w:t xml:space="preserve">  This section references the ‘UL PCR Part A: Life Cycle Assessment Calculation Rules and Report Requirements’ Section 2.8.5 to define a 100% landfill default disposal pathway due to the end-of-life fate of wood generally being unknown.  While the UL PCR Part A defines the disposal pathway, the ‘UL PCR Part B: Structural and Architectural Wood Products EPD Requirements’ outlines how to calculate the landfilling emissions based on the United States EPA WARM model</w:t>
      </w:r>
      <w:r w:rsidR="00053DDC">
        <w:t xml:space="preserve">.  It uses the EPA WARM model’s assumptions around decomposition rate (12%) to determine the methane and CO2 emitted from fugitive landfill gas.  Appendix A of the UL PCR Part B defines guidance on the landfill modeling for biogenic carbon since the WARM model does not directly report the factors required to calculate landfill greenhouse gas emissions for LCA or EPD purposes; the WARM model adheres to the net neutrality principle and thus does not report CO2 landfill gas leakage </w:t>
      </w:r>
      <w:r w:rsidR="00754641">
        <w:t xml:space="preserve">from </w:t>
      </w:r>
      <w:r w:rsidR="00B8579B">
        <w:t xml:space="preserve">wood </w:t>
      </w:r>
      <w:r w:rsidR="00053DDC">
        <w:t>decay.  The appendix outlines a derivation methodology of both CO2 and methane emissions based on the 12% decomposition rate for lumber</w:t>
      </w:r>
      <w:r w:rsidR="00AA7BD3">
        <w:t>.  These two factors are reported as 3.53E-03 MT CH4/MT Dry Wood for methane, and 2.06E-01 MTCO2/MT Dry Wood for carbon dioxide.  Calculations for medium-density fiberboard and flooring are also included in the addendum but not used in U</w:t>
      </w:r>
      <w:r w:rsidR="00A637F9">
        <w:t>p</w:t>
      </w:r>
      <w:r w:rsidR="00AA7BD3">
        <w:t xml:space="preserve">Stream. It is important to note that these factors are based on a landfill model </w:t>
      </w:r>
      <w:commentRangeStart w:id="42"/>
      <w:r w:rsidR="00AA7BD3">
        <w:t xml:space="preserve">without gas </w:t>
      </w:r>
      <w:commentRangeEnd w:id="42"/>
      <w:r w:rsidR="005A0D17">
        <w:rPr>
          <w:rStyle w:val="CommentReference"/>
        </w:rPr>
        <w:commentReference w:id="42"/>
      </w:r>
      <w:r w:rsidR="7715D634">
        <w:t>recovery</w:t>
      </w:r>
      <w:r w:rsidR="00AA7BD3">
        <w:t xml:space="preserve"> and does not include any fossil emissions from transport or heavy landfill equipment. </w:t>
      </w:r>
    </w:p>
    <w:p w14:paraId="23EB5B11" w14:textId="77777777" w:rsidR="00533419" w:rsidRDefault="00533419" w:rsidP="00533419">
      <w:pPr>
        <w:pStyle w:val="ListParagraph"/>
        <w:ind w:left="1440"/>
      </w:pPr>
    </w:p>
    <w:p w14:paraId="110E2B4C" w14:textId="4FF1FA02" w:rsidR="00533419" w:rsidRDefault="00AA7BD3" w:rsidP="00533419">
      <w:pPr>
        <w:pStyle w:val="ListParagraph"/>
        <w:ind w:left="1440"/>
      </w:pPr>
      <w:r>
        <w:t xml:space="preserve">Using this methodology, the 2020 American Wood Council’s Glued Laminated Timbers EPD reports in their cradle-to-grave carbon sequestration section a net -820.60 kg CO2e </w:t>
      </w:r>
      <w:r w:rsidR="00873188">
        <w:t xml:space="preserve">for 1 cubic meter of glulam </w:t>
      </w:r>
      <w:r>
        <w:t>when considering the carbon sequestered in the product at manufacturing gate (</w:t>
      </w:r>
      <w:r w:rsidR="006137DE">
        <w:t>-</w:t>
      </w:r>
      <w:r>
        <w:t xml:space="preserve">977.38 kgCO2e) and 47.01 and 109.77 kgCO2e emissions from methane and CO2 fugitive landfill gas, respectively.  This represents an 84% factor of permanent carbon storage when considering this disposal pathway and the PCR’s assumptions.  This is likely overpredicting the </w:t>
      </w:r>
      <w:r w:rsidR="57BF13A3">
        <w:t>long-</w:t>
      </w:r>
      <w:r>
        <w:t>term storage benefit due to a relatively low decomposition rate, not including the fossil emissions associated with C modules, and not factoring in other common wood disposal pathways like incineration</w:t>
      </w:r>
      <w:r w:rsidR="009008F4">
        <w:t>,</w:t>
      </w:r>
      <w:r>
        <w:t xml:space="preserve"> which are not a</w:t>
      </w:r>
      <w:r w:rsidR="006137DE">
        <w:t>s</w:t>
      </w:r>
      <w:r>
        <w:t xml:space="preserve"> carbon-optimal as this particular landfill model.  </w:t>
      </w:r>
    </w:p>
    <w:p w14:paraId="718CDE2A" w14:textId="77777777" w:rsidR="00533419" w:rsidRDefault="00533419" w:rsidP="00533419">
      <w:pPr>
        <w:pStyle w:val="ListParagraph"/>
        <w:ind w:left="1440"/>
      </w:pPr>
    </w:p>
    <w:p w14:paraId="4567E79F" w14:textId="4433DE94" w:rsidR="00142482" w:rsidRDefault="00142482" w:rsidP="00142482">
      <w:pPr>
        <w:pStyle w:val="ListParagraph"/>
        <w:numPr>
          <w:ilvl w:val="0"/>
          <w:numId w:val="4"/>
        </w:numPr>
      </w:pPr>
      <w:r w:rsidRPr="00533419">
        <w:rPr>
          <w:b/>
          <w:bCs/>
        </w:rPr>
        <w:t>Option 3</w:t>
      </w:r>
      <w:r w:rsidR="00533419">
        <w:rPr>
          <w:b/>
          <w:bCs/>
        </w:rPr>
        <w:t>:</w:t>
      </w:r>
      <w:r>
        <w:t xml:space="preserve"> –</w:t>
      </w:r>
      <w:r w:rsidR="00931465">
        <w:t xml:space="preserve"> Tally W/Biogenic Carbon</w:t>
      </w:r>
    </w:p>
    <w:p w14:paraId="45E1186F" w14:textId="1E96EFD8" w:rsidR="00C47F05" w:rsidRDefault="00533419" w:rsidP="00C47F05">
      <w:pPr>
        <w:pStyle w:val="ListParagraph"/>
        <w:numPr>
          <w:ilvl w:val="1"/>
          <w:numId w:val="4"/>
        </w:numPr>
      </w:pPr>
      <w:r w:rsidRPr="00533419">
        <w:rPr>
          <w:b/>
          <w:bCs/>
        </w:rPr>
        <w:t>Description:</w:t>
      </w:r>
      <w:r>
        <w:t xml:space="preserve"> </w:t>
      </w:r>
      <w:r w:rsidR="00C47F05">
        <w:t xml:space="preserve">This option utilizes a wood end of life scenario whose distribution between landfill (63.5%), recycling (14.5%), and incineration (22%) is determined by the </w:t>
      </w:r>
      <w:r w:rsidR="00C47F05" w:rsidRPr="00C47F05">
        <w:t xml:space="preserve">2014 </w:t>
      </w:r>
      <w:r w:rsidR="00C47F05" w:rsidRPr="00C47F05">
        <w:lastRenderedPageBreak/>
        <w:t>Municipal Solid Waste and Construction Demolition Wood Waste Generation and Recovery in the United States report</w:t>
      </w:r>
      <w:r w:rsidR="00C47F05">
        <w:t xml:space="preserve">.  Tally uses the EPA WARM model to determine landfill emissions and various GABI LCIs for </w:t>
      </w:r>
      <w:commentRangeStart w:id="43"/>
      <w:r w:rsidR="00C47F05">
        <w:t>incineration</w:t>
      </w:r>
      <w:commentRangeEnd w:id="43"/>
      <w:r w:rsidR="004E35C0">
        <w:rPr>
          <w:rStyle w:val="CommentReference"/>
        </w:rPr>
        <w:commentReference w:id="43"/>
      </w:r>
      <w:r w:rsidR="00C47F05">
        <w:t>.  For the landfill model, Tally assumes a</w:t>
      </w:r>
      <w:r w:rsidR="0013076B">
        <w:t>n average</w:t>
      </w:r>
      <w:r w:rsidR="00C47F05">
        <w:t xml:space="preserve"> 50% decomposition rate as per the 2006 IPCC Guidelines for National Greenhouse Gas Inventories, Section 3.2.3.  Furthermore, 80% of the fugitive landfill gas is recovered as methane, while 20% is released as CO2.  Of the 80% methane, 31% is flared, 36% is released as an emission, and 33% is used for energy </w:t>
      </w:r>
      <w:commentRangeStart w:id="44"/>
      <w:r w:rsidR="00C47F05">
        <w:t>recovery</w:t>
      </w:r>
      <w:sdt>
        <w:sdtPr>
          <w:id w:val="1206215003"/>
          <w:citation/>
        </w:sdtPr>
        <w:sdtContent>
          <w:r w:rsidR="00E22C15">
            <w:fldChar w:fldCharType="begin"/>
          </w:r>
          <w:r w:rsidR="00E22C15">
            <w:instrText xml:space="preserve"> CITATION Ali19 \l 1033 </w:instrText>
          </w:r>
          <w:r w:rsidR="00E22C15">
            <w:fldChar w:fldCharType="separate"/>
          </w:r>
          <w:r w:rsidR="00E22C15">
            <w:rPr>
              <w:noProof/>
            </w:rPr>
            <w:t xml:space="preserve"> (Alison G. Kwok, 2019)</w:t>
          </w:r>
          <w:r w:rsidR="00E22C15">
            <w:fldChar w:fldCharType="end"/>
          </w:r>
        </w:sdtContent>
      </w:sdt>
      <w:r w:rsidR="00C47F05">
        <w:t xml:space="preserve">.  </w:t>
      </w:r>
      <w:commentRangeEnd w:id="44"/>
      <w:r w:rsidR="00C66BB6">
        <w:rPr>
          <w:rStyle w:val="CommentReference"/>
        </w:rPr>
        <w:commentReference w:id="44"/>
      </w:r>
      <w:r w:rsidR="0013076B">
        <w:t>Transportation and heavy equipment fossil emissions is included from the warm model as well.  For incineration, Tally uses GaBi LCI data to calculate CH4 emissions from burning wood and transportation emissions, while any biogenic carbon content of any incinerated wood is counted as a biogenic emission.  For recycling, no process energy is included so that</w:t>
      </w:r>
      <w:r w:rsidR="00BA6473">
        <w:t xml:space="preserve"> particular</w:t>
      </w:r>
      <w:r w:rsidR="0013076B">
        <w:t xml:space="preserve"> impact is captured in the next product, thus there is no emission accounted for</w:t>
      </w:r>
      <w:r w:rsidR="000B51CD">
        <w:t xml:space="preserve"> recycling</w:t>
      </w:r>
      <w:r w:rsidR="0013076B">
        <w:t xml:space="preserve"> in module C. </w:t>
      </w:r>
      <w:r w:rsidR="00416433">
        <w:t xml:space="preserve">There are, however, module D emissions associated with biogenic carbon leaving the LCA scope boundary; refer to the Module D section later in this document for more </w:t>
      </w:r>
      <w:r w:rsidR="00D94946">
        <w:t>documentation on that subject.</w:t>
      </w:r>
    </w:p>
    <w:p w14:paraId="2CB1349C" w14:textId="77777777" w:rsidR="00533419" w:rsidRDefault="00533419" w:rsidP="00533419">
      <w:pPr>
        <w:pStyle w:val="ListParagraph"/>
        <w:ind w:left="1440"/>
      </w:pPr>
    </w:p>
    <w:p w14:paraId="25C82976" w14:textId="0C465FFF" w:rsidR="00142482" w:rsidRDefault="00142482" w:rsidP="00142482">
      <w:pPr>
        <w:pStyle w:val="ListParagraph"/>
        <w:numPr>
          <w:ilvl w:val="0"/>
          <w:numId w:val="4"/>
        </w:numPr>
      </w:pPr>
      <w:r w:rsidRPr="00533419">
        <w:rPr>
          <w:b/>
          <w:bCs/>
        </w:rPr>
        <w:t>Option 4</w:t>
      </w:r>
      <w:r w:rsidR="00533419" w:rsidRPr="00533419">
        <w:rPr>
          <w:b/>
          <w:bCs/>
        </w:rPr>
        <w:t>:</w:t>
      </w:r>
      <w:r>
        <w:t xml:space="preserve"> </w:t>
      </w:r>
      <w:r w:rsidR="00931465">
        <w:t>Tally w/o Biogenic Carbon</w:t>
      </w:r>
    </w:p>
    <w:p w14:paraId="66813D3B" w14:textId="26F5B39E" w:rsidR="00F228D1" w:rsidRDefault="00533419" w:rsidP="00512189">
      <w:pPr>
        <w:pStyle w:val="ListParagraph"/>
        <w:numPr>
          <w:ilvl w:val="1"/>
          <w:numId w:val="4"/>
        </w:numPr>
      </w:pPr>
      <w:r w:rsidRPr="00533419">
        <w:rPr>
          <w:b/>
          <w:bCs/>
        </w:rPr>
        <w:t>Description:</w:t>
      </w:r>
      <w:r>
        <w:t xml:space="preserve"> </w:t>
      </w:r>
      <w:r w:rsidR="00F228D1">
        <w:t xml:space="preserve">This selection utilizes the same </w:t>
      </w:r>
      <w:r w:rsidR="00D94946">
        <w:t xml:space="preserve">end of life scenario </w:t>
      </w:r>
      <w:r w:rsidR="00F228D1">
        <w:t>distribution as “w/ Biogenic carbon”</w:t>
      </w:r>
      <w:r w:rsidR="00512189">
        <w:t xml:space="preserve"> (63.5% landfill, 14.5% recycling, 22% incineration)</w:t>
      </w:r>
      <w:r w:rsidR="00F228D1">
        <w:t>, but the emissions profiles differ slightly without factoring in biogenic carbon.  For instance, the Landfill module C3-4 includes transportation, heavy landfill equipment emissions, and the biogenic methane emissions from the landfill scenarios---but biogenic CO2 from decay is excluded.  For incineration, the biogenic carbon stored in the wood that is emitted during burning is not included, but the biogenic methane is included.</w:t>
      </w:r>
      <w:r w:rsidR="00512189">
        <w:t xml:space="preserve">  And for recycling, there is no impact on C3-4, but in module D there is now a credit for the </w:t>
      </w:r>
      <w:r w:rsidR="00F228D1">
        <w:t>avoided burden of production and well as the emissions associated with processing</w:t>
      </w:r>
      <w:r w:rsidR="00512189">
        <w:t>.  It appears that most of the impact in C3-4 without biogenic carbon comes down to the methane emissions associated with landfilling.</w:t>
      </w:r>
      <w:r w:rsidR="004E28E4">
        <w:t xml:space="preserve">  For instance, </w:t>
      </w:r>
      <w:r w:rsidR="00330468">
        <w:fldChar w:fldCharType="begin"/>
      </w:r>
      <w:r w:rsidR="00330468">
        <w:instrText xml:space="preserve"> REF _Ref77169687 \h </w:instrText>
      </w:r>
      <w:r w:rsidR="00330468">
        <w:fldChar w:fldCharType="separate"/>
      </w:r>
      <w:r w:rsidR="00330468">
        <w:t xml:space="preserve">Figure </w:t>
      </w:r>
      <w:r w:rsidR="00330468">
        <w:rPr>
          <w:noProof/>
        </w:rPr>
        <w:t>3</w:t>
      </w:r>
      <w:r w:rsidR="00330468">
        <w:fldChar w:fldCharType="end"/>
      </w:r>
      <w:r w:rsidR="000F0BB4">
        <w:t xml:space="preserve"> shows that </w:t>
      </w:r>
      <w:r w:rsidR="00622799">
        <w:t xml:space="preserve">the net impact of 1 cubic meter of Tally’s landfill end of life scenario is 369.2 kgCO2e, while the methane emissions from the wood decay accounts for 282.3 kgCO2e of these emissions, or </w:t>
      </w:r>
      <w:r w:rsidR="00330468">
        <w:t>76.5%.</w:t>
      </w:r>
    </w:p>
    <w:p w14:paraId="042B6971" w14:textId="0F5A6F2F" w:rsidR="00330468" w:rsidRDefault="00330468" w:rsidP="00330468">
      <w:pPr>
        <w:pStyle w:val="Caption"/>
        <w:keepNext/>
      </w:pPr>
      <w:bookmarkStart w:id="45" w:name="_Ref77169687"/>
      <w:r>
        <w:lastRenderedPageBreak/>
        <w:t xml:space="preserve">Figure </w:t>
      </w:r>
      <w:r>
        <w:fldChar w:fldCharType="begin"/>
      </w:r>
      <w:r>
        <w:instrText>SEQ Figure \* ARABIC</w:instrText>
      </w:r>
      <w:r>
        <w:fldChar w:fldCharType="separate"/>
      </w:r>
      <w:r w:rsidR="00ED1A20">
        <w:rPr>
          <w:noProof/>
        </w:rPr>
        <w:t>3</w:t>
      </w:r>
      <w:r>
        <w:fldChar w:fldCharType="end"/>
      </w:r>
      <w:bookmarkEnd w:id="45"/>
      <w:r>
        <w:t xml:space="preserve"> 1 Cubic Meter of Glulam, Tally 100% Landfill Blend End of Life Scenario Impacts</w:t>
      </w:r>
    </w:p>
    <w:p w14:paraId="1F8F304E" w14:textId="79B6B2F8" w:rsidR="000F0BB4" w:rsidRDefault="000F0BB4" w:rsidP="000F0BB4">
      <w:r>
        <w:rPr>
          <w:noProof/>
        </w:rPr>
        <w:drawing>
          <wp:inline distT="0" distB="0" distL="0" distR="0" wp14:anchorId="70FCCCF3" wp14:editId="31F86AFB">
            <wp:extent cx="6066460" cy="2525678"/>
            <wp:effectExtent l="0" t="0" r="10795" b="8255"/>
            <wp:docPr id="13" name="Chart 13">
              <a:extLst xmlns:a="http://schemas.openxmlformats.org/drawingml/2006/main">
                <a:ext uri="{FF2B5EF4-FFF2-40B4-BE49-F238E27FC236}">
                  <a16:creationId xmlns:a16="http://schemas.microsoft.com/office/drawing/2014/main" id="{D37C71EA-5C30-4D06-A6AE-A88301370EF8}"/>
                </a:ext>
                <a:ext uri="{147F2762-F138-4A5C-976F-8EAC2B608ADB}">
                  <a16:predDERef xmlns:a16="http://schemas.microsoft.com/office/drawing/2014/main" pred="{3B55E945-9168-4F4D-8EBF-B66E0FC1B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C094BE0" w14:textId="77777777" w:rsidR="00533419" w:rsidRDefault="00533419" w:rsidP="00533419">
      <w:pPr>
        <w:pStyle w:val="ListParagraph"/>
        <w:ind w:left="1440"/>
      </w:pPr>
    </w:p>
    <w:p w14:paraId="337F929D" w14:textId="124E8C4E" w:rsidR="00006BD4" w:rsidRDefault="00006BD4" w:rsidP="00006BD4">
      <w:pPr>
        <w:pStyle w:val="ListParagraph"/>
        <w:numPr>
          <w:ilvl w:val="0"/>
          <w:numId w:val="4"/>
        </w:numPr>
      </w:pPr>
      <w:r w:rsidRPr="00533419">
        <w:rPr>
          <w:b/>
          <w:bCs/>
        </w:rPr>
        <w:t>Option 5</w:t>
      </w:r>
      <w:r w:rsidR="00533419" w:rsidRPr="00533419">
        <w:rPr>
          <w:b/>
          <w:bCs/>
        </w:rPr>
        <w:t>:</w:t>
      </w:r>
      <w:r>
        <w:t xml:space="preserve">  Custom</w:t>
      </w:r>
    </w:p>
    <w:p w14:paraId="6A694EA5" w14:textId="63194065" w:rsidR="00756D61" w:rsidRDefault="00756D61" w:rsidP="00756D61">
      <w:pPr>
        <w:pStyle w:val="ListParagraph"/>
        <w:numPr>
          <w:ilvl w:val="1"/>
          <w:numId w:val="4"/>
        </w:numPr>
      </w:pPr>
      <w:r>
        <w:rPr>
          <w:b/>
          <w:bCs/>
        </w:rPr>
        <w:t>Description:</w:t>
      </w:r>
      <w:r>
        <w:t xml:space="preserve"> </w:t>
      </w:r>
      <w:r w:rsidR="0005098B">
        <w:t>see next section below for guidance on custom inputs for modules C2-4.</w:t>
      </w:r>
    </w:p>
    <w:p w14:paraId="39BDB7E6" w14:textId="0A03722A" w:rsidR="00006BD4" w:rsidRDefault="00006BD4" w:rsidP="00A96AD2"/>
    <w:p w14:paraId="5A7A3191" w14:textId="7693E853" w:rsidR="007263E5" w:rsidRDefault="007263E5" w:rsidP="007263E5">
      <w:pPr>
        <w:pStyle w:val="Heading3"/>
      </w:pPr>
      <w:bookmarkStart w:id="46" w:name="_Toc77661176"/>
      <w:r>
        <w:t>Step 5 Overview and Inputs – Custom Options</w:t>
      </w:r>
      <w:bookmarkEnd w:id="46"/>
    </w:p>
    <w:p w14:paraId="0CABCEF2" w14:textId="0B518D8E" w:rsidR="007263E5" w:rsidRDefault="007263E5" w:rsidP="007263E5"/>
    <w:p w14:paraId="52B02A3F" w14:textId="1110F845" w:rsidR="0005098B" w:rsidRPr="007263E5" w:rsidRDefault="0005098B" w:rsidP="007263E5">
      <w:r w:rsidRPr="0005098B">
        <w:rPr>
          <w:b/>
          <w:bCs/>
        </w:rPr>
        <w:t>Overview:</w:t>
      </w:r>
      <w:r>
        <w:t xml:space="preserve"> Choosing the ‘custom’ option for the ‘End of Life Data Source’ input allows the user to designate what percentage of their wood goes to a variety of </w:t>
      </w:r>
      <w:r w:rsidR="4EEA5565">
        <w:t>end-of-life</w:t>
      </w:r>
      <w:r>
        <w:t xml:space="preserve"> scenarios based on two different data sources: EPA WARM, and Tally</w:t>
      </w:r>
      <w:r w:rsidR="002A0A9A">
        <w:t xml:space="preserve"> factors (which subsequently use EPA WARM and GaBi data)</w:t>
      </w:r>
      <w:r>
        <w:t xml:space="preserve">.  </w:t>
      </w:r>
    </w:p>
    <w:p w14:paraId="4741185A" w14:textId="00783CE2" w:rsidR="00006BD4" w:rsidRDefault="00006BD4" w:rsidP="00D50EB3">
      <w:r w:rsidRPr="0005098B">
        <w:rPr>
          <w:b/>
          <w:bCs/>
        </w:rPr>
        <w:t>Sub input:</w:t>
      </w:r>
      <w:r w:rsidR="00EC6F78">
        <w:rPr>
          <w:b/>
          <w:bCs/>
        </w:rPr>
        <w:t xml:space="preserve"> </w:t>
      </w:r>
      <w:r>
        <w:t>Pick a Custom Data Source</w:t>
      </w:r>
    </w:p>
    <w:p w14:paraId="74A989E8" w14:textId="6562F391" w:rsidR="00006BD4" w:rsidRDefault="001D42DC" w:rsidP="00D50EB3">
      <w:pPr>
        <w:pStyle w:val="ListParagraph"/>
        <w:numPr>
          <w:ilvl w:val="0"/>
          <w:numId w:val="4"/>
        </w:numPr>
      </w:pPr>
      <w:r>
        <w:rPr>
          <w:b/>
          <w:bCs/>
        </w:rPr>
        <w:t xml:space="preserve">Custom Data Source </w:t>
      </w:r>
      <w:r w:rsidR="00006BD4" w:rsidRPr="00B01EF9">
        <w:rPr>
          <w:b/>
          <w:bCs/>
        </w:rPr>
        <w:t>Option 1:</w:t>
      </w:r>
      <w:r w:rsidR="00006BD4">
        <w:t xml:space="preserve"> EPA Warm</w:t>
      </w:r>
    </w:p>
    <w:p w14:paraId="70618122" w14:textId="1795D7A2" w:rsidR="00006BD4" w:rsidRDefault="008A7727" w:rsidP="00D50EB3">
      <w:pPr>
        <w:pStyle w:val="ListParagraph"/>
        <w:numPr>
          <w:ilvl w:val="1"/>
          <w:numId w:val="4"/>
        </w:numPr>
      </w:pPr>
      <w:r w:rsidRPr="008A7727">
        <w:rPr>
          <w:b/>
          <w:bCs/>
        </w:rPr>
        <w:t>Description:</w:t>
      </w:r>
      <w:r>
        <w:t xml:space="preserve"> </w:t>
      </w:r>
      <w:r w:rsidR="00CA1338">
        <w:t>Selecting the EPA WARM data source utilizes factors extracted from EPA WARM Softwar</w:t>
      </w:r>
      <w:r w:rsidR="000C68E7">
        <w:t>e Version 15</w:t>
      </w:r>
      <w:r w:rsidR="00BB29A9">
        <w:t xml:space="preserve"> outputs</w:t>
      </w:r>
      <w:r w:rsidR="00CA1338">
        <w:t xml:space="preserve">.  To arrive at these factors, </w:t>
      </w:r>
      <w:r w:rsidR="008C57D4">
        <w:t>one</w:t>
      </w:r>
      <w:r w:rsidR="00CA1338">
        <w:t xml:space="preserve"> short ton of wood was input into the tool.  Any output emissions were then converted to </w:t>
      </w:r>
      <w:r w:rsidR="00890168">
        <w:t>kilogram</w:t>
      </w:r>
      <w:r w:rsidR="00CA1338">
        <w:t xml:space="preserve"> of CO2e</w:t>
      </w:r>
      <w:r w:rsidR="00017B69">
        <w:t xml:space="preserve">, </w:t>
      </w:r>
      <w:r w:rsidR="007F3B3B">
        <w:t xml:space="preserve">while </w:t>
      </w:r>
      <w:r w:rsidR="00CA1338">
        <w:t xml:space="preserve">the short ton input was converted </w:t>
      </w:r>
      <w:r w:rsidR="00017B69">
        <w:t xml:space="preserve">first </w:t>
      </w:r>
      <w:r w:rsidR="00CA1338">
        <w:t>to a metric ton</w:t>
      </w:r>
      <w:r w:rsidR="00017B69">
        <w:t xml:space="preserve"> </w:t>
      </w:r>
      <w:r w:rsidR="00CA1338">
        <w:t xml:space="preserve">and then to kilograms to ultimately come up with a kgCO2e/kg of wood factor that can be applied to the wood volume and mass inputs </w:t>
      </w:r>
      <w:r w:rsidR="007F3B3B">
        <w:t>defined in</w:t>
      </w:r>
      <w:r w:rsidR="00CA1338">
        <w:t xml:space="preserve"> UpStream.</w:t>
      </w:r>
      <w:r w:rsidR="00FA4CDD">
        <w:t xml:space="preserve">  EPA WARM currently has data for dimensional lumber, MDF, and hardwoods, but </w:t>
      </w:r>
      <w:r w:rsidR="007F3B3B">
        <w:t xml:space="preserve">UpStream only utilizes </w:t>
      </w:r>
      <w:r w:rsidR="00FA4CDD">
        <w:t xml:space="preserve">factors </w:t>
      </w:r>
      <w:r w:rsidR="007F3B3B">
        <w:t xml:space="preserve">for the </w:t>
      </w:r>
      <w:r w:rsidR="00FA4CDD">
        <w:t xml:space="preserve">dimensional lumber outputs. </w:t>
      </w:r>
    </w:p>
    <w:p w14:paraId="666E8350" w14:textId="77777777" w:rsidR="008A7727" w:rsidRDefault="008A7727" w:rsidP="008A7727">
      <w:pPr>
        <w:pStyle w:val="ListParagraph"/>
        <w:ind w:left="1440"/>
      </w:pPr>
    </w:p>
    <w:p w14:paraId="672C7DC8" w14:textId="73B7E0AB" w:rsidR="008A7727" w:rsidRDefault="00CA1338" w:rsidP="008A7727">
      <w:pPr>
        <w:pStyle w:val="ListParagraph"/>
        <w:ind w:left="1440"/>
      </w:pPr>
      <w:r>
        <w:t>UpStream pulls</w:t>
      </w:r>
      <w:r w:rsidR="00261A44">
        <w:t xml:space="preserve"> outputs from EPA WARM for 5 different end of life scenarios, </w:t>
      </w:r>
      <w:r>
        <w:t>which include 3 different landfill options</w:t>
      </w:r>
      <w:r w:rsidR="00261A44">
        <w:t xml:space="preserve">, one </w:t>
      </w:r>
      <w:r>
        <w:t>incineration</w:t>
      </w:r>
      <w:r w:rsidR="00261A44">
        <w:t xml:space="preserve"> scenario</w:t>
      </w:r>
      <w:r>
        <w:t xml:space="preserve">, and </w:t>
      </w:r>
      <w:r w:rsidR="00261A44">
        <w:t xml:space="preserve">one </w:t>
      </w:r>
      <w:r>
        <w:t>recycling</w:t>
      </w:r>
      <w:r w:rsidR="00261A44">
        <w:t xml:space="preserve"> scenario</w:t>
      </w:r>
      <w:r>
        <w:t xml:space="preserve">.  The user inputs the </w:t>
      </w:r>
      <w:r w:rsidR="004353C4">
        <w:t>“</w:t>
      </w:r>
      <w:r>
        <w:t>% of Wood Package Volume</w:t>
      </w:r>
      <w:r w:rsidR="004353C4">
        <w:t>”</w:t>
      </w:r>
      <w:r>
        <w:t xml:space="preserve"> for each scenario and the resultant volume based on earlier total wood volume is calculated and applied to the analysis modules.</w:t>
      </w:r>
    </w:p>
    <w:p w14:paraId="5C75FCB5" w14:textId="38B086B4" w:rsidR="00261A44" w:rsidRDefault="00CA1338" w:rsidP="008A7727">
      <w:pPr>
        <w:pStyle w:val="ListParagraph"/>
        <w:ind w:left="1440"/>
      </w:pPr>
      <w:r>
        <w:lastRenderedPageBreak/>
        <w:t xml:space="preserve"> </w:t>
      </w:r>
    </w:p>
    <w:p w14:paraId="5F79BDC4" w14:textId="67A96750" w:rsidR="00522C93" w:rsidRDefault="00261A44" w:rsidP="00522C93">
      <w:pPr>
        <w:pStyle w:val="ListParagraph"/>
        <w:ind w:left="1440"/>
      </w:pPr>
      <w:r>
        <w:t xml:space="preserve">It is important to note that the EPA WARM model is consistent with IPCC guidance </w:t>
      </w:r>
      <w:r w:rsidR="0061025C">
        <w:t>and thus</w:t>
      </w:r>
      <w:r>
        <w:t xml:space="preserve"> does not report the biogenic CO2e emissions from wood end of life scenarios. For processes with CO2 end of life emissions, if the emissions are from biogenic materials </w:t>
      </w:r>
      <w:r w:rsidR="00686DBE">
        <w:t>that</w:t>
      </w:r>
      <w:r>
        <w:t xml:space="preserve"> are grown on a sustainable basis (according to the same UNFCCC protocols that govern the carbon neutrality principles of ISO 29307), those emissions are considered to net neutral from the carbon sequestered by the regenerated forest over time. In other words, they return to the atmosphere CO2 that was originally removed by photosynthesis and thus for EPA WARM the CO2 emissions are not counted.  However, the methane emitted from biogenic sources is counted and reported in EPA WARM, since although they are considered biogenic, they are anthropocentric in origin meaning they would not have occurred if not for the landfilling </w:t>
      </w:r>
      <w:commentRangeStart w:id="47"/>
      <w:r>
        <w:t>of wood</w:t>
      </w:r>
      <w:r w:rsidR="00431508">
        <w:t xml:space="preserve"> </w:t>
      </w:r>
      <w:sdt>
        <w:sdtPr>
          <w:id w:val="1479350948"/>
          <w:citation/>
        </w:sdtPr>
        <w:sdtContent>
          <w:r w:rsidR="00431508">
            <w:fldChar w:fldCharType="begin"/>
          </w:r>
          <w:r w:rsidR="00565AA5">
            <w:instrText xml:space="preserve">CITATION USE20 \l 1033 </w:instrText>
          </w:r>
          <w:r w:rsidR="00431508">
            <w:fldChar w:fldCharType="separate"/>
          </w:r>
          <w:r w:rsidR="00565AA5">
            <w:rPr>
              <w:noProof/>
            </w:rPr>
            <w:t>(US Environmental Protection Agency - Office of Resource Conservation and Recovery, 2020)</w:t>
          </w:r>
          <w:r w:rsidR="00431508">
            <w:fldChar w:fldCharType="end"/>
          </w:r>
        </w:sdtContent>
      </w:sdt>
      <w:r>
        <w:t xml:space="preserve">.  </w:t>
      </w:r>
      <w:r w:rsidR="00CA1338">
        <w:t xml:space="preserve"> </w:t>
      </w:r>
      <w:commentRangeEnd w:id="47"/>
      <w:r w:rsidR="00492479">
        <w:rPr>
          <w:rStyle w:val="CommentReference"/>
        </w:rPr>
        <w:commentReference w:id="47"/>
      </w:r>
    </w:p>
    <w:p w14:paraId="7CBF780C" w14:textId="77777777" w:rsidR="00522C93" w:rsidRDefault="00522C93" w:rsidP="00522C93">
      <w:pPr>
        <w:pStyle w:val="ListParagraph"/>
        <w:ind w:left="1440"/>
      </w:pPr>
    </w:p>
    <w:p w14:paraId="2E4BAA20" w14:textId="17451F29" w:rsidR="00CA1338" w:rsidRPr="00B01EF9" w:rsidRDefault="00117235" w:rsidP="00522C93">
      <w:pPr>
        <w:pStyle w:val="ListParagraph"/>
        <w:numPr>
          <w:ilvl w:val="1"/>
          <w:numId w:val="4"/>
        </w:numPr>
        <w:rPr>
          <w:b/>
          <w:bCs/>
        </w:rPr>
      </w:pPr>
      <w:r w:rsidRPr="00B01EF9">
        <w:rPr>
          <w:b/>
          <w:bCs/>
        </w:rPr>
        <w:t>Opt</w:t>
      </w:r>
      <w:r w:rsidR="00522C93" w:rsidRPr="00B01EF9">
        <w:rPr>
          <w:b/>
          <w:bCs/>
        </w:rPr>
        <w:t>ion</w:t>
      </w:r>
      <w:r w:rsidRPr="00B01EF9">
        <w:rPr>
          <w:b/>
          <w:bCs/>
        </w:rPr>
        <w:t xml:space="preserve"> 1 – EPA WARM </w:t>
      </w:r>
      <w:r w:rsidR="00CA1338" w:rsidRPr="00B01EF9">
        <w:rPr>
          <w:b/>
          <w:bCs/>
        </w:rPr>
        <w:t>Scenarios</w:t>
      </w:r>
    </w:p>
    <w:p w14:paraId="25F5849B" w14:textId="77777777" w:rsidR="00AC6026" w:rsidRDefault="00B01EF9" w:rsidP="00AC6026">
      <w:pPr>
        <w:pStyle w:val="ListParagraph"/>
        <w:ind w:left="2160"/>
      </w:pPr>
      <w:r>
        <w:rPr>
          <w:b/>
          <w:bCs/>
        </w:rPr>
        <w:t xml:space="preserve">Scenario 1 – </w:t>
      </w:r>
      <w:r w:rsidR="00CA1338" w:rsidRPr="00522C93">
        <w:rPr>
          <w:b/>
          <w:bCs/>
        </w:rPr>
        <w:t>Landfill</w:t>
      </w:r>
      <w:r>
        <w:rPr>
          <w:b/>
          <w:bCs/>
        </w:rPr>
        <w:t>:</w:t>
      </w:r>
      <w:r w:rsidR="00522C93" w:rsidRPr="00522C93">
        <w:rPr>
          <w:b/>
          <w:bCs/>
        </w:rPr>
        <w:t xml:space="preserve"> </w:t>
      </w:r>
      <w:r w:rsidR="00FA4CDD">
        <w:t xml:space="preserve">The EPA WARM landfill model captures anthropocentric emissions from methane, </w:t>
      </w:r>
      <w:r w:rsidR="00782F4E">
        <w:t>landfill equipment</w:t>
      </w:r>
      <w:r w:rsidR="00FA4CDD">
        <w:t xml:space="preserve">, and transportation to the landfill based on </w:t>
      </w:r>
      <w:r w:rsidR="008C57D4">
        <w:t>an</w:t>
      </w:r>
      <w:r w:rsidR="00FA4CDD">
        <w:t xml:space="preserve"> average 20 km travel distance.</w:t>
      </w:r>
      <w:r w:rsidR="00261A44">
        <w:t xml:space="preserve"> </w:t>
      </w:r>
      <w:r w:rsidR="00AC6026">
        <w:t xml:space="preserve"> For emissions associated with landfill heavy equipment usage and transportation, WARM relies on assumptions from </w:t>
      </w:r>
      <w:commentRangeStart w:id="48"/>
      <w:r w:rsidR="00AC6026">
        <w:t xml:space="preserve">FAL (1994) </w:t>
      </w:r>
      <w:commentRangeEnd w:id="48"/>
      <w:r w:rsidR="00AC6026">
        <w:rPr>
          <w:rStyle w:val="CommentReference"/>
        </w:rPr>
        <w:commentReference w:id="48"/>
      </w:r>
      <w:r w:rsidR="00AC6026">
        <w:t xml:space="preserve">for the equipment emissions and NREL USLCI, respectively.  </w:t>
      </w:r>
      <w:commentRangeStart w:id="49"/>
      <w:r w:rsidR="00AC6026">
        <w:t>The NREL emission factor assumes a diesel, short-haul truck.</w:t>
      </w:r>
      <w:commentRangeEnd w:id="49"/>
      <w:r w:rsidR="00AC6026">
        <w:rPr>
          <w:rStyle w:val="CommentReference"/>
        </w:rPr>
        <w:commentReference w:id="49"/>
      </w:r>
    </w:p>
    <w:p w14:paraId="7A50CAC0" w14:textId="77777777" w:rsidR="00CD3702" w:rsidRDefault="00CD3702" w:rsidP="00CD3702">
      <w:pPr>
        <w:pStyle w:val="ListParagraph"/>
        <w:ind w:left="2160"/>
      </w:pPr>
    </w:p>
    <w:p w14:paraId="3B588D1C" w14:textId="3B4E369A" w:rsidR="00CA1338" w:rsidRDefault="00CD3702" w:rsidP="00CD3702">
      <w:pPr>
        <w:pStyle w:val="ListParagraph"/>
        <w:ind w:left="2160"/>
      </w:pPr>
      <w:r>
        <w:t xml:space="preserve">EPA WARM </w:t>
      </w:r>
      <w:r w:rsidR="00A6609E">
        <w:t>also calculates l</w:t>
      </w:r>
      <w:r w:rsidR="005D2360">
        <w:t>andfill carbon storage</w:t>
      </w:r>
      <w:r w:rsidR="00A6609E">
        <w:t>, but these</w:t>
      </w:r>
      <w:r w:rsidR="005D2360">
        <w:t xml:space="preserve"> numbers are not</w:t>
      </w:r>
      <w:r w:rsidR="00A6609E">
        <w:t xml:space="preserve"> used in UpStream</w:t>
      </w:r>
      <w:r w:rsidR="005D2360">
        <w:t xml:space="preserve">, </w:t>
      </w:r>
      <w:r w:rsidR="00782F4E">
        <w:t>as</w:t>
      </w:r>
      <w:r w:rsidR="005D2360">
        <w:t xml:space="preserve"> the net carbon storage </w:t>
      </w:r>
      <w:r w:rsidR="00E72256">
        <w:t>calculated by</w:t>
      </w:r>
      <w:r w:rsidR="005D2360">
        <w:t xml:space="preserve"> UpStream </w:t>
      </w:r>
      <w:r w:rsidR="00E72256">
        <w:t xml:space="preserve">is the </w:t>
      </w:r>
      <w:r w:rsidR="005D2360">
        <w:t xml:space="preserve">net of the of </w:t>
      </w:r>
      <w:r w:rsidR="3683FFD0">
        <w:t>end-of-life</w:t>
      </w:r>
      <w:r w:rsidR="005D2360">
        <w:t xml:space="preserve"> emissions/credits and the biogenic carbon credit in the wood.  </w:t>
      </w:r>
      <w:r w:rsidR="008C57D4">
        <w:t xml:space="preserve">Selecting </w:t>
      </w:r>
      <w:r w:rsidR="005D2360">
        <w:t>the “landfill”</w:t>
      </w:r>
      <w:r w:rsidR="008C57D4">
        <w:t xml:space="preserve"> option in UpStream </w:t>
      </w:r>
      <w:r w:rsidR="00FA4CDD">
        <w:t xml:space="preserve">actually represents the no-landfill gas recovery option in EPA WARM, as when selecting the “National Average” option, the values were very close to the no landfill gas recovery option.  Future version of UpStream will break these two versions out separately.  </w:t>
      </w:r>
      <w:r w:rsidR="00B01EF9">
        <w:fldChar w:fldCharType="begin"/>
      </w:r>
      <w:r w:rsidR="00B01EF9">
        <w:instrText xml:space="preserve"> REF _Ref77112245 \h </w:instrText>
      </w:r>
      <w:r w:rsidR="00B01EF9">
        <w:fldChar w:fldCharType="separate"/>
      </w:r>
      <w:r w:rsidR="00B01EF9">
        <w:t xml:space="preserve">Table </w:t>
      </w:r>
      <w:r w:rsidR="00B01EF9">
        <w:rPr>
          <w:noProof/>
        </w:rPr>
        <w:t>2</w:t>
      </w:r>
      <w:r w:rsidR="00B01EF9">
        <w:fldChar w:fldCharType="end"/>
      </w:r>
      <w:r w:rsidR="00B01EF9">
        <w:t xml:space="preserve"> </w:t>
      </w:r>
      <w:r w:rsidR="00FA4CDD">
        <w:t>shows the factors extracted from EPA WARM and used in UpStream, broken down by source and then organized into which LCA module the</w:t>
      </w:r>
      <w:r w:rsidR="008C57D4">
        <w:t>y</w:t>
      </w:r>
      <w:r w:rsidR="00FA4CDD">
        <w:t xml:space="preserve"> impact</w:t>
      </w:r>
      <w:r w:rsidR="008831AC">
        <w:t xml:space="preserve">, </w:t>
      </w:r>
      <w:r w:rsidR="0BB68F45">
        <w:t>i.e.,</w:t>
      </w:r>
      <w:r w:rsidR="008831AC">
        <w:t xml:space="preserve"> </w:t>
      </w:r>
      <w:r w:rsidR="00FA4CDD">
        <w:t xml:space="preserve">C2-4 Biogenic </w:t>
      </w:r>
      <w:r w:rsidR="008831AC">
        <w:t xml:space="preserve">Emissions, C2-4 </w:t>
      </w:r>
      <w:r w:rsidR="00FA4CDD">
        <w:t>Non-Biogenic Emissions</w:t>
      </w:r>
      <w:r w:rsidR="008831AC">
        <w:t>,</w:t>
      </w:r>
      <w:r w:rsidR="00FA4CDD">
        <w:t xml:space="preserve"> and Module D.</w:t>
      </w:r>
      <w:r w:rsidR="00AC722E">
        <w:t xml:space="preserve">  Given that EPA WARM does not directly </w:t>
      </w:r>
      <w:r w:rsidR="00F451B3">
        <w:t xml:space="preserve">report carbon dioxide landfill </w:t>
      </w:r>
      <w:r w:rsidR="5C11E36D">
        <w:t>gas</w:t>
      </w:r>
      <w:r w:rsidR="00F451B3">
        <w:t xml:space="preserve"> (since it’s a biogenic emission),</w:t>
      </w:r>
      <w:r w:rsidR="00AC722E">
        <w:t xml:space="preserve"> the “landfill gas CO2 emissions” </w:t>
      </w:r>
      <w:r w:rsidR="00F451B3">
        <w:t xml:space="preserve">factors </w:t>
      </w:r>
      <w:r w:rsidR="00AC722E">
        <w:t xml:space="preserve">were calculated according to the </w:t>
      </w:r>
      <w:r w:rsidR="00573B24">
        <w:t>“</w:t>
      </w:r>
      <w:r w:rsidR="00AC722E">
        <w:t>PCR Part B: Structural and Architectural Wood Products EPD Requirements, Appendix A: Guidance on Landfill Modeling for Biogenic Carbon</w:t>
      </w:r>
      <w:r w:rsidR="00573B24">
        <w:t>.”</w:t>
      </w:r>
      <w:r w:rsidR="00AC722E">
        <w:t xml:space="preserve">  This reference calculates the amount of methane and carbon dioxide emissions based on the average 12% decomposition rate in EPA WARM.  </w:t>
      </w:r>
      <w:r w:rsidR="006421D6">
        <w:t xml:space="preserve">Thus, everything but the “landfill gas CO2 emissions” </w:t>
      </w:r>
      <w:r w:rsidR="00AF04D0">
        <w:t xml:space="preserve">factor </w:t>
      </w:r>
      <w:r w:rsidR="006421D6">
        <w:t>were taken directly from the EPA WARM model</w:t>
      </w:r>
      <w:r w:rsidR="00261A44">
        <w:t xml:space="preserve">, which is </w:t>
      </w:r>
      <w:r w:rsidR="00B16822">
        <w:t>typical for all three EPA WARM landfill scenarios</w:t>
      </w:r>
      <w:r w:rsidR="00261A44">
        <w:t>.</w:t>
      </w:r>
      <w:r w:rsidR="00B16822">
        <w:t xml:space="preserve"> </w:t>
      </w:r>
    </w:p>
    <w:p w14:paraId="2A9663E9" w14:textId="77777777" w:rsidR="00522C93" w:rsidRDefault="00522C93" w:rsidP="00522C93">
      <w:pPr>
        <w:pStyle w:val="ListParagraph"/>
        <w:ind w:left="2160"/>
      </w:pPr>
    </w:p>
    <w:p w14:paraId="2F185ABA" w14:textId="77777777" w:rsidR="00AF04D0" w:rsidRDefault="00AF04D0" w:rsidP="00CA1338">
      <w:pPr>
        <w:pStyle w:val="ListParagraph"/>
        <w:numPr>
          <w:ilvl w:val="7"/>
          <w:numId w:val="4"/>
        </w:numPr>
      </w:pPr>
    </w:p>
    <w:p w14:paraId="24A847A0" w14:textId="2FABD47C" w:rsidR="00B01EF9" w:rsidRDefault="00B01EF9" w:rsidP="00B01EF9">
      <w:pPr>
        <w:pStyle w:val="Caption"/>
        <w:keepNext/>
      </w:pPr>
      <w:bookmarkStart w:id="50" w:name="_Ref77112245"/>
      <w:r>
        <w:lastRenderedPageBreak/>
        <w:t xml:space="preserve">Table </w:t>
      </w:r>
      <w:r>
        <w:fldChar w:fldCharType="begin"/>
      </w:r>
      <w:r>
        <w:instrText>SEQ Table \* ARABIC</w:instrText>
      </w:r>
      <w:r>
        <w:fldChar w:fldCharType="separate"/>
      </w:r>
      <w:r w:rsidR="004C5D4E">
        <w:rPr>
          <w:noProof/>
        </w:rPr>
        <w:t>3</w:t>
      </w:r>
      <w:r>
        <w:fldChar w:fldCharType="end"/>
      </w:r>
      <w:bookmarkEnd w:id="50"/>
      <w:r>
        <w:t xml:space="preserve"> </w:t>
      </w:r>
      <w:r w:rsidRPr="00A5284B">
        <w:t>EPA WARM Factors for Landfill (No Landfill Gas Recovery) Scenario</w:t>
      </w:r>
    </w:p>
    <w:tbl>
      <w:tblPr>
        <w:tblW w:w="910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20"/>
        <w:gridCol w:w="2220"/>
        <w:gridCol w:w="1920"/>
        <w:gridCol w:w="1020"/>
        <w:gridCol w:w="1920"/>
      </w:tblGrid>
      <w:tr w:rsidR="00FA4CDD" w:rsidRPr="00FA4CDD" w14:paraId="2CD466D8" w14:textId="77777777" w:rsidTr="00927427">
        <w:trPr>
          <w:trHeight w:val="285"/>
        </w:trPr>
        <w:tc>
          <w:tcPr>
            <w:tcW w:w="2020" w:type="dxa"/>
            <w:vMerge w:val="restart"/>
            <w:shd w:val="clear" w:color="auto" w:fill="BFBFBF" w:themeFill="background1" w:themeFillShade="BF"/>
            <w:vAlign w:val="center"/>
            <w:hideMark/>
          </w:tcPr>
          <w:p w14:paraId="73CDE3D9" w14:textId="77777777" w:rsidR="00FA4CDD" w:rsidRPr="00B01EF9" w:rsidRDefault="00FA4CDD" w:rsidP="00FA4CDD">
            <w:pPr>
              <w:spacing w:after="0" w:line="240" w:lineRule="auto"/>
              <w:jc w:val="center"/>
              <w:rPr>
                <w:rFonts w:ascii="Calibri" w:eastAsia="Times New Roman" w:hAnsi="Calibri" w:cs="Calibri"/>
                <w:b/>
                <w:bCs/>
                <w:color w:val="000000"/>
              </w:rPr>
            </w:pPr>
            <w:r w:rsidRPr="00B01EF9">
              <w:rPr>
                <w:rFonts w:ascii="Calibri" w:eastAsia="Times New Roman" w:hAnsi="Calibri" w:cs="Calibri"/>
                <w:b/>
                <w:bCs/>
                <w:color w:val="000000"/>
              </w:rPr>
              <w:t>Source</w:t>
            </w:r>
          </w:p>
        </w:tc>
        <w:tc>
          <w:tcPr>
            <w:tcW w:w="5160" w:type="dxa"/>
            <w:gridSpan w:val="3"/>
            <w:shd w:val="clear" w:color="auto" w:fill="BFBFBF" w:themeFill="background1" w:themeFillShade="BF"/>
            <w:noWrap/>
            <w:vAlign w:val="bottom"/>
            <w:hideMark/>
          </w:tcPr>
          <w:p w14:paraId="3CAAFD62" w14:textId="77777777" w:rsidR="00FA4CDD" w:rsidRPr="00B01EF9" w:rsidRDefault="00FA4CDD" w:rsidP="00FA4CDD">
            <w:pPr>
              <w:spacing w:after="0" w:line="240" w:lineRule="auto"/>
              <w:jc w:val="center"/>
              <w:rPr>
                <w:rFonts w:ascii="Calibri" w:eastAsia="Times New Roman" w:hAnsi="Calibri" w:cs="Calibri"/>
                <w:b/>
                <w:bCs/>
                <w:color w:val="000000"/>
              </w:rPr>
            </w:pPr>
            <w:r w:rsidRPr="00B01EF9">
              <w:rPr>
                <w:rFonts w:ascii="Calibri" w:eastAsia="Times New Roman" w:hAnsi="Calibri" w:cs="Calibri"/>
                <w:b/>
                <w:bCs/>
                <w:color w:val="000000"/>
              </w:rPr>
              <w:t>Landfill - No Landfill Gas Recovery</w:t>
            </w:r>
          </w:p>
        </w:tc>
        <w:tc>
          <w:tcPr>
            <w:tcW w:w="1920" w:type="dxa"/>
            <w:vMerge w:val="restart"/>
            <w:shd w:val="clear" w:color="auto" w:fill="BFBFBF" w:themeFill="background1" w:themeFillShade="BF"/>
            <w:noWrap/>
            <w:vAlign w:val="center"/>
            <w:hideMark/>
          </w:tcPr>
          <w:p w14:paraId="06C774B1" w14:textId="77777777" w:rsidR="00FA4CDD" w:rsidRPr="00B01EF9" w:rsidRDefault="00FA4CDD" w:rsidP="00FA4CDD">
            <w:pPr>
              <w:spacing w:after="0" w:line="240" w:lineRule="auto"/>
              <w:jc w:val="center"/>
              <w:rPr>
                <w:rFonts w:ascii="Calibri" w:eastAsia="Times New Roman" w:hAnsi="Calibri" w:cs="Calibri"/>
                <w:b/>
                <w:bCs/>
                <w:color w:val="000000"/>
              </w:rPr>
            </w:pPr>
            <w:r w:rsidRPr="00B01EF9">
              <w:rPr>
                <w:rFonts w:ascii="Calibri" w:eastAsia="Times New Roman" w:hAnsi="Calibri" w:cs="Calibri"/>
                <w:b/>
                <w:bCs/>
                <w:color w:val="000000"/>
              </w:rPr>
              <w:t>Unit</w:t>
            </w:r>
          </w:p>
        </w:tc>
      </w:tr>
      <w:tr w:rsidR="00FA4CDD" w:rsidRPr="00FA4CDD" w14:paraId="188C53C7" w14:textId="77777777" w:rsidTr="00927427">
        <w:trPr>
          <w:trHeight w:val="570"/>
        </w:trPr>
        <w:tc>
          <w:tcPr>
            <w:tcW w:w="2020" w:type="dxa"/>
            <w:vMerge/>
            <w:vAlign w:val="center"/>
            <w:hideMark/>
          </w:tcPr>
          <w:p w14:paraId="6B7A3D50" w14:textId="77777777" w:rsidR="00FA4CDD" w:rsidRPr="00FA4CDD" w:rsidRDefault="00FA4CDD" w:rsidP="00FA4CDD">
            <w:pPr>
              <w:spacing w:after="0" w:line="240" w:lineRule="auto"/>
              <w:rPr>
                <w:rFonts w:ascii="Calibri" w:eastAsia="Times New Roman" w:hAnsi="Calibri" w:cs="Calibri"/>
                <w:color w:val="000000"/>
              </w:rPr>
            </w:pPr>
          </w:p>
        </w:tc>
        <w:tc>
          <w:tcPr>
            <w:tcW w:w="2220" w:type="dxa"/>
            <w:shd w:val="clear" w:color="auto" w:fill="BFBFBF" w:themeFill="background1" w:themeFillShade="BF"/>
            <w:vAlign w:val="bottom"/>
            <w:hideMark/>
          </w:tcPr>
          <w:p w14:paraId="4B8F25E4" w14:textId="4291839E" w:rsidR="00FA4CDD" w:rsidRPr="00B01EF9" w:rsidRDefault="00FA4CDD" w:rsidP="00FA4CDD">
            <w:pPr>
              <w:spacing w:after="0" w:line="240" w:lineRule="auto"/>
              <w:rPr>
                <w:rFonts w:ascii="Calibri" w:eastAsia="Times New Roman" w:hAnsi="Calibri" w:cs="Calibri"/>
                <w:b/>
                <w:bCs/>
                <w:color w:val="000000"/>
              </w:rPr>
            </w:pPr>
            <w:r w:rsidRPr="4D1BA196">
              <w:rPr>
                <w:rFonts w:ascii="Calibri" w:eastAsia="Times New Roman" w:hAnsi="Calibri" w:cs="Calibri"/>
                <w:b/>
                <w:color w:val="000000" w:themeColor="text1"/>
              </w:rPr>
              <w:t xml:space="preserve">C2-4 - </w:t>
            </w:r>
            <w:r w:rsidR="1236CE0A" w:rsidRPr="4D1BA196">
              <w:rPr>
                <w:rFonts w:ascii="Calibri" w:eastAsia="Times New Roman" w:hAnsi="Calibri" w:cs="Calibri"/>
                <w:b/>
                <w:bCs/>
                <w:color w:val="000000" w:themeColor="text1"/>
              </w:rPr>
              <w:t>Non-Biogenic</w:t>
            </w:r>
            <w:r w:rsidRPr="4D1BA196">
              <w:rPr>
                <w:rFonts w:ascii="Calibri" w:eastAsia="Times New Roman" w:hAnsi="Calibri" w:cs="Calibri"/>
                <w:b/>
                <w:color w:val="000000" w:themeColor="text1"/>
              </w:rPr>
              <w:t xml:space="preserve"> Emissions</w:t>
            </w:r>
          </w:p>
        </w:tc>
        <w:tc>
          <w:tcPr>
            <w:tcW w:w="1920" w:type="dxa"/>
            <w:shd w:val="clear" w:color="auto" w:fill="BFBFBF" w:themeFill="background1" w:themeFillShade="BF"/>
            <w:vAlign w:val="bottom"/>
            <w:hideMark/>
          </w:tcPr>
          <w:p w14:paraId="4DAD712C" w14:textId="77777777" w:rsidR="00FA4CDD" w:rsidRPr="00B01EF9" w:rsidRDefault="00FA4CDD" w:rsidP="00FA4CDD">
            <w:pPr>
              <w:spacing w:after="0" w:line="240" w:lineRule="auto"/>
              <w:rPr>
                <w:rFonts w:ascii="Calibri" w:eastAsia="Times New Roman" w:hAnsi="Calibri" w:cs="Calibri"/>
                <w:b/>
                <w:bCs/>
                <w:color w:val="000000"/>
              </w:rPr>
            </w:pPr>
            <w:r w:rsidRPr="00B01EF9">
              <w:rPr>
                <w:rFonts w:ascii="Calibri" w:eastAsia="Times New Roman" w:hAnsi="Calibri" w:cs="Calibri"/>
                <w:b/>
                <w:bCs/>
                <w:color w:val="000000"/>
              </w:rPr>
              <w:t>C2-5 biogenic emissions</w:t>
            </w:r>
          </w:p>
        </w:tc>
        <w:tc>
          <w:tcPr>
            <w:tcW w:w="1020" w:type="dxa"/>
            <w:shd w:val="clear" w:color="auto" w:fill="BFBFBF" w:themeFill="background1" w:themeFillShade="BF"/>
            <w:vAlign w:val="bottom"/>
            <w:hideMark/>
          </w:tcPr>
          <w:p w14:paraId="11DB7A8E" w14:textId="77777777" w:rsidR="00FA4CDD" w:rsidRPr="00B01EF9" w:rsidRDefault="00FA4CDD" w:rsidP="00FA4CDD">
            <w:pPr>
              <w:spacing w:after="0" w:line="240" w:lineRule="auto"/>
              <w:rPr>
                <w:rFonts w:ascii="Calibri" w:eastAsia="Times New Roman" w:hAnsi="Calibri" w:cs="Calibri"/>
                <w:b/>
                <w:bCs/>
                <w:color w:val="000000"/>
              </w:rPr>
            </w:pPr>
            <w:r w:rsidRPr="00B01EF9">
              <w:rPr>
                <w:rFonts w:ascii="Calibri" w:eastAsia="Times New Roman" w:hAnsi="Calibri" w:cs="Calibri"/>
                <w:b/>
                <w:bCs/>
                <w:color w:val="000000"/>
              </w:rPr>
              <w:t>Module D</w:t>
            </w:r>
          </w:p>
        </w:tc>
        <w:tc>
          <w:tcPr>
            <w:tcW w:w="1920" w:type="dxa"/>
            <w:vMerge/>
            <w:vAlign w:val="center"/>
            <w:hideMark/>
          </w:tcPr>
          <w:p w14:paraId="2BF95DB3" w14:textId="77777777" w:rsidR="00FA4CDD" w:rsidRPr="00B01EF9" w:rsidRDefault="00FA4CDD" w:rsidP="00FA4CDD">
            <w:pPr>
              <w:spacing w:after="0" w:line="240" w:lineRule="auto"/>
              <w:rPr>
                <w:rFonts w:ascii="Calibri" w:eastAsia="Times New Roman" w:hAnsi="Calibri" w:cs="Calibri"/>
                <w:b/>
                <w:bCs/>
                <w:color w:val="000000"/>
              </w:rPr>
            </w:pPr>
          </w:p>
        </w:tc>
      </w:tr>
      <w:tr w:rsidR="00FA4CDD" w:rsidRPr="00FA4CDD" w14:paraId="13C364A6" w14:textId="77777777" w:rsidTr="00927427">
        <w:trPr>
          <w:trHeight w:val="585"/>
        </w:trPr>
        <w:tc>
          <w:tcPr>
            <w:tcW w:w="2020" w:type="dxa"/>
            <w:shd w:val="clear" w:color="auto" w:fill="auto"/>
            <w:vAlign w:val="bottom"/>
            <w:hideMark/>
          </w:tcPr>
          <w:p w14:paraId="5A76B22A" w14:textId="25313CD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landfill gas CO2</w:t>
            </w:r>
            <w:r w:rsidR="00D62FE8">
              <w:rPr>
                <w:rFonts w:ascii="Calibri" w:eastAsia="Times New Roman" w:hAnsi="Calibri" w:cs="Calibri"/>
                <w:color w:val="000000"/>
              </w:rPr>
              <w:t>e</w:t>
            </w:r>
            <w:r w:rsidRPr="00FA4CDD">
              <w:rPr>
                <w:rFonts w:ascii="Calibri" w:eastAsia="Times New Roman" w:hAnsi="Calibri" w:cs="Calibri"/>
                <w:color w:val="000000"/>
              </w:rPr>
              <w:t xml:space="preserve"> emissions</w:t>
            </w:r>
          </w:p>
        </w:tc>
        <w:tc>
          <w:tcPr>
            <w:tcW w:w="2220" w:type="dxa"/>
            <w:shd w:val="clear" w:color="auto" w:fill="auto"/>
            <w:noWrap/>
            <w:vAlign w:val="bottom"/>
            <w:hideMark/>
          </w:tcPr>
          <w:p w14:paraId="169DC9EE"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3E586CAE" w14:textId="77777777" w:rsidR="00FA4CDD" w:rsidRPr="00FA4CDD" w:rsidRDefault="00FA4CDD" w:rsidP="00FA4CDD">
            <w:pPr>
              <w:spacing w:after="0" w:line="240" w:lineRule="auto"/>
              <w:jc w:val="right"/>
              <w:rPr>
                <w:rFonts w:ascii="Calibri" w:eastAsia="Times New Roman" w:hAnsi="Calibri" w:cs="Calibri"/>
                <w:color w:val="000000"/>
              </w:rPr>
            </w:pPr>
            <w:r w:rsidRPr="00FA4CDD">
              <w:rPr>
                <w:rFonts w:ascii="Calibri" w:eastAsia="Times New Roman" w:hAnsi="Calibri" w:cs="Calibri"/>
                <w:color w:val="000000"/>
              </w:rPr>
              <w:t>0.206</w:t>
            </w:r>
          </w:p>
        </w:tc>
        <w:tc>
          <w:tcPr>
            <w:tcW w:w="1020" w:type="dxa"/>
            <w:shd w:val="clear" w:color="auto" w:fill="auto"/>
            <w:noWrap/>
            <w:vAlign w:val="bottom"/>
            <w:hideMark/>
          </w:tcPr>
          <w:p w14:paraId="614E120C"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0B17311A"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kgCO2/kg ODW</w:t>
            </w:r>
          </w:p>
        </w:tc>
      </w:tr>
      <w:tr w:rsidR="00FA4CDD" w:rsidRPr="00FA4CDD" w14:paraId="2239638F" w14:textId="77777777" w:rsidTr="00927427">
        <w:trPr>
          <w:trHeight w:val="735"/>
        </w:trPr>
        <w:tc>
          <w:tcPr>
            <w:tcW w:w="2020" w:type="dxa"/>
            <w:shd w:val="clear" w:color="auto" w:fill="auto"/>
            <w:vAlign w:val="bottom"/>
            <w:hideMark/>
          </w:tcPr>
          <w:p w14:paraId="49F9029B"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landfill gas CH4 emissions</w:t>
            </w:r>
          </w:p>
        </w:tc>
        <w:tc>
          <w:tcPr>
            <w:tcW w:w="2220" w:type="dxa"/>
            <w:shd w:val="clear" w:color="auto" w:fill="auto"/>
            <w:noWrap/>
            <w:vAlign w:val="bottom"/>
            <w:hideMark/>
          </w:tcPr>
          <w:p w14:paraId="70E5C707" w14:textId="77777777" w:rsidR="00FA4CDD" w:rsidRPr="00FA4CDD" w:rsidRDefault="00FA4CDD" w:rsidP="00FA4CDD">
            <w:pPr>
              <w:spacing w:after="0" w:line="240" w:lineRule="auto"/>
              <w:jc w:val="right"/>
              <w:rPr>
                <w:rFonts w:ascii="Calibri" w:eastAsia="Times New Roman" w:hAnsi="Calibri" w:cs="Calibri"/>
                <w:color w:val="000000"/>
              </w:rPr>
            </w:pPr>
            <w:r w:rsidRPr="00FA4CDD">
              <w:rPr>
                <w:rFonts w:ascii="Calibri" w:eastAsia="Times New Roman" w:hAnsi="Calibri" w:cs="Calibri"/>
                <w:color w:val="000000"/>
              </w:rPr>
              <w:t>0.098</w:t>
            </w:r>
          </w:p>
        </w:tc>
        <w:tc>
          <w:tcPr>
            <w:tcW w:w="1920" w:type="dxa"/>
            <w:shd w:val="clear" w:color="auto" w:fill="auto"/>
            <w:noWrap/>
            <w:vAlign w:val="bottom"/>
            <w:hideMark/>
          </w:tcPr>
          <w:p w14:paraId="3A1145C3"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020" w:type="dxa"/>
            <w:shd w:val="clear" w:color="auto" w:fill="auto"/>
            <w:noWrap/>
            <w:vAlign w:val="bottom"/>
            <w:hideMark/>
          </w:tcPr>
          <w:p w14:paraId="43AE2B2C"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0BBB0EF4"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kgCO2/kg ODW</w:t>
            </w:r>
          </w:p>
        </w:tc>
      </w:tr>
      <w:tr w:rsidR="00FA4CDD" w:rsidRPr="00FA4CDD" w14:paraId="6A71C8A2" w14:textId="77777777" w:rsidTr="00927427">
        <w:trPr>
          <w:trHeight w:val="900"/>
        </w:trPr>
        <w:tc>
          <w:tcPr>
            <w:tcW w:w="2020" w:type="dxa"/>
            <w:shd w:val="clear" w:color="auto" w:fill="auto"/>
            <w:vAlign w:val="bottom"/>
            <w:hideMark/>
          </w:tcPr>
          <w:p w14:paraId="0EAD3247" w14:textId="774D5529"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CO2</w:t>
            </w:r>
            <w:r w:rsidR="00D62FE8">
              <w:rPr>
                <w:rFonts w:ascii="Calibri" w:eastAsia="Times New Roman" w:hAnsi="Calibri" w:cs="Calibri"/>
                <w:color w:val="000000"/>
              </w:rPr>
              <w:t>e</w:t>
            </w:r>
            <w:r w:rsidRPr="00FA4CDD">
              <w:rPr>
                <w:rFonts w:ascii="Calibri" w:eastAsia="Times New Roman" w:hAnsi="Calibri" w:cs="Calibri"/>
                <w:color w:val="000000"/>
              </w:rPr>
              <w:t xml:space="preserve"> emissions from CH4 converted to CO2</w:t>
            </w:r>
            <w:r w:rsidR="00D62FE8">
              <w:rPr>
                <w:rFonts w:ascii="Calibri" w:eastAsia="Times New Roman" w:hAnsi="Calibri" w:cs="Calibri"/>
                <w:color w:val="000000"/>
              </w:rPr>
              <w:t>e</w:t>
            </w:r>
            <w:r w:rsidRPr="00FA4CDD">
              <w:rPr>
                <w:rFonts w:ascii="Calibri" w:eastAsia="Times New Roman" w:hAnsi="Calibri" w:cs="Calibri"/>
                <w:color w:val="000000"/>
              </w:rPr>
              <w:t xml:space="preserve"> through soil</w:t>
            </w:r>
          </w:p>
        </w:tc>
        <w:tc>
          <w:tcPr>
            <w:tcW w:w="2220" w:type="dxa"/>
            <w:shd w:val="clear" w:color="auto" w:fill="auto"/>
            <w:noWrap/>
            <w:vAlign w:val="bottom"/>
            <w:hideMark/>
          </w:tcPr>
          <w:p w14:paraId="256E92A7"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1DFCE7BD" w14:textId="77777777" w:rsidR="00FA4CDD" w:rsidRPr="00FA4CDD" w:rsidRDefault="00FA4CDD" w:rsidP="00FA4CDD">
            <w:pPr>
              <w:spacing w:after="0" w:line="240" w:lineRule="auto"/>
              <w:jc w:val="right"/>
              <w:rPr>
                <w:rFonts w:ascii="Calibri" w:eastAsia="Times New Roman" w:hAnsi="Calibri" w:cs="Calibri"/>
                <w:color w:val="000000"/>
              </w:rPr>
            </w:pPr>
            <w:r w:rsidRPr="00FA4CDD">
              <w:rPr>
                <w:rFonts w:ascii="Calibri" w:eastAsia="Times New Roman" w:hAnsi="Calibri" w:cs="Calibri"/>
                <w:color w:val="000000"/>
              </w:rPr>
              <w:t>0.022</w:t>
            </w:r>
          </w:p>
        </w:tc>
        <w:tc>
          <w:tcPr>
            <w:tcW w:w="1020" w:type="dxa"/>
            <w:shd w:val="clear" w:color="auto" w:fill="auto"/>
            <w:noWrap/>
            <w:vAlign w:val="bottom"/>
            <w:hideMark/>
          </w:tcPr>
          <w:p w14:paraId="0A52F3B0"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2B5B58FE"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r>
      <w:tr w:rsidR="00FA4CDD" w:rsidRPr="00FA4CDD" w14:paraId="362B7890" w14:textId="77777777" w:rsidTr="00927427">
        <w:trPr>
          <w:trHeight w:val="360"/>
        </w:trPr>
        <w:tc>
          <w:tcPr>
            <w:tcW w:w="2020" w:type="dxa"/>
            <w:shd w:val="clear" w:color="auto" w:fill="auto"/>
            <w:vAlign w:val="bottom"/>
            <w:hideMark/>
          </w:tcPr>
          <w:p w14:paraId="2A2AF02E"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heavy equipment</w:t>
            </w:r>
          </w:p>
        </w:tc>
        <w:tc>
          <w:tcPr>
            <w:tcW w:w="2220" w:type="dxa"/>
            <w:shd w:val="clear" w:color="auto" w:fill="auto"/>
            <w:noWrap/>
            <w:vAlign w:val="bottom"/>
            <w:hideMark/>
          </w:tcPr>
          <w:p w14:paraId="4C4CDBD1" w14:textId="77777777" w:rsidR="00FA4CDD" w:rsidRPr="00FA4CDD" w:rsidRDefault="00FA4CDD" w:rsidP="00FA4CDD">
            <w:pPr>
              <w:spacing w:after="0" w:line="240" w:lineRule="auto"/>
              <w:jc w:val="right"/>
              <w:rPr>
                <w:rFonts w:ascii="Calibri" w:eastAsia="Times New Roman" w:hAnsi="Calibri" w:cs="Calibri"/>
                <w:color w:val="000000"/>
              </w:rPr>
            </w:pPr>
            <w:r w:rsidRPr="00FA4CDD">
              <w:rPr>
                <w:rFonts w:ascii="Calibri" w:eastAsia="Times New Roman" w:hAnsi="Calibri" w:cs="Calibri"/>
                <w:color w:val="000000"/>
              </w:rPr>
              <w:t>0.022</w:t>
            </w:r>
          </w:p>
        </w:tc>
        <w:tc>
          <w:tcPr>
            <w:tcW w:w="1920" w:type="dxa"/>
            <w:shd w:val="clear" w:color="auto" w:fill="auto"/>
            <w:noWrap/>
            <w:vAlign w:val="bottom"/>
            <w:hideMark/>
          </w:tcPr>
          <w:p w14:paraId="3B99C93A"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020" w:type="dxa"/>
            <w:shd w:val="clear" w:color="auto" w:fill="auto"/>
            <w:noWrap/>
            <w:vAlign w:val="bottom"/>
            <w:hideMark/>
          </w:tcPr>
          <w:p w14:paraId="15C989EB"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6FBCB9A9"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kgCO2/kg ODW</w:t>
            </w:r>
          </w:p>
        </w:tc>
      </w:tr>
      <w:tr w:rsidR="00FA4CDD" w:rsidRPr="00FA4CDD" w14:paraId="1D9A510B" w14:textId="77777777" w:rsidTr="00927427">
        <w:trPr>
          <w:trHeight w:val="285"/>
        </w:trPr>
        <w:tc>
          <w:tcPr>
            <w:tcW w:w="2020" w:type="dxa"/>
            <w:shd w:val="clear" w:color="auto" w:fill="auto"/>
            <w:vAlign w:val="bottom"/>
            <w:hideMark/>
          </w:tcPr>
          <w:p w14:paraId="3CBD0301"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transport</w:t>
            </w:r>
          </w:p>
        </w:tc>
        <w:tc>
          <w:tcPr>
            <w:tcW w:w="2220" w:type="dxa"/>
            <w:shd w:val="clear" w:color="auto" w:fill="auto"/>
            <w:noWrap/>
            <w:vAlign w:val="bottom"/>
            <w:hideMark/>
          </w:tcPr>
          <w:p w14:paraId="3A291D46" w14:textId="77777777" w:rsidR="00FA4CDD" w:rsidRPr="00FA4CDD" w:rsidRDefault="00FA4CDD" w:rsidP="00FA4CDD">
            <w:pPr>
              <w:spacing w:after="0" w:line="240" w:lineRule="auto"/>
              <w:jc w:val="right"/>
              <w:rPr>
                <w:rFonts w:ascii="Calibri" w:eastAsia="Times New Roman" w:hAnsi="Calibri" w:cs="Calibri"/>
                <w:color w:val="000000"/>
              </w:rPr>
            </w:pPr>
            <w:r w:rsidRPr="00FA4CDD">
              <w:rPr>
                <w:rFonts w:ascii="Calibri" w:eastAsia="Times New Roman" w:hAnsi="Calibri" w:cs="Calibri"/>
                <w:color w:val="000000"/>
              </w:rPr>
              <w:t>0.004</w:t>
            </w:r>
          </w:p>
        </w:tc>
        <w:tc>
          <w:tcPr>
            <w:tcW w:w="1920" w:type="dxa"/>
            <w:shd w:val="clear" w:color="auto" w:fill="auto"/>
            <w:noWrap/>
            <w:vAlign w:val="bottom"/>
            <w:hideMark/>
          </w:tcPr>
          <w:p w14:paraId="5654CD16" w14:textId="77777777" w:rsidR="00FA4CDD" w:rsidRPr="00FA4CDD" w:rsidRDefault="00FA4CDD" w:rsidP="00FA4CDD">
            <w:pPr>
              <w:spacing w:after="0" w:line="240" w:lineRule="auto"/>
              <w:rPr>
                <w:rFonts w:ascii="Calibri" w:eastAsia="Times New Roman" w:hAnsi="Calibri" w:cs="Calibri"/>
                <w:b/>
                <w:bCs/>
                <w:color w:val="000000"/>
              </w:rPr>
            </w:pPr>
            <w:r w:rsidRPr="00FA4CDD">
              <w:rPr>
                <w:rFonts w:ascii="Calibri" w:eastAsia="Times New Roman" w:hAnsi="Calibri" w:cs="Calibri"/>
                <w:b/>
                <w:bCs/>
                <w:color w:val="000000"/>
              </w:rPr>
              <w:t> </w:t>
            </w:r>
          </w:p>
        </w:tc>
        <w:tc>
          <w:tcPr>
            <w:tcW w:w="1020" w:type="dxa"/>
            <w:shd w:val="clear" w:color="auto" w:fill="auto"/>
            <w:noWrap/>
            <w:vAlign w:val="bottom"/>
            <w:hideMark/>
          </w:tcPr>
          <w:p w14:paraId="0E4CA9D9"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 </w:t>
            </w:r>
          </w:p>
        </w:tc>
        <w:tc>
          <w:tcPr>
            <w:tcW w:w="1920" w:type="dxa"/>
            <w:shd w:val="clear" w:color="auto" w:fill="auto"/>
            <w:noWrap/>
            <w:vAlign w:val="bottom"/>
            <w:hideMark/>
          </w:tcPr>
          <w:p w14:paraId="2E1CB00B" w14:textId="77777777" w:rsidR="00FA4CDD" w:rsidRPr="00FA4CDD" w:rsidRDefault="00FA4CDD" w:rsidP="00FA4CDD">
            <w:pPr>
              <w:spacing w:after="0" w:line="240" w:lineRule="auto"/>
              <w:rPr>
                <w:rFonts w:ascii="Calibri" w:eastAsia="Times New Roman" w:hAnsi="Calibri" w:cs="Calibri"/>
                <w:color w:val="000000"/>
              </w:rPr>
            </w:pPr>
            <w:r w:rsidRPr="00FA4CDD">
              <w:rPr>
                <w:rFonts w:ascii="Calibri" w:eastAsia="Times New Roman" w:hAnsi="Calibri" w:cs="Calibri"/>
                <w:color w:val="000000"/>
              </w:rPr>
              <w:t>kgCO2/kg ODW</w:t>
            </w:r>
          </w:p>
        </w:tc>
      </w:tr>
    </w:tbl>
    <w:p w14:paraId="7458065F" w14:textId="77777777" w:rsidR="00FA4CDD" w:rsidRDefault="00FA4CDD" w:rsidP="00FA4CDD"/>
    <w:p w14:paraId="0892B975" w14:textId="58D6C6D7" w:rsidR="004C6103" w:rsidRDefault="00B01EF9" w:rsidP="004C6103">
      <w:pPr>
        <w:pStyle w:val="ListParagraph"/>
        <w:numPr>
          <w:ilvl w:val="2"/>
          <w:numId w:val="4"/>
        </w:numPr>
      </w:pPr>
      <w:r>
        <w:rPr>
          <w:b/>
          <w:bCs/>
        </w:rPr>
        <w:t xml:space="preserve">Scenario 2 – </w:t>
      </w:r>
      <w:r w:rsidR="00CA1338" w:rsidRPr="00B01EF9">
        <w:rPr>
          <w:b/>
          <w:bCs/>
        </w:rPr>
        <w:t xml:space="preserve">Landfill with </w:t>
      </w:r>
      <w:r w:rsidRPr="00B01EF9">
        <w:rPr>
          <w:b/>
          <w:bCs/>
        </w:rPr>
        <w:t>L</w:t>
      </w:r>
      <w:r w:rsidR="00CA1338" w:rsidRPr="00B01EF9">
        <w:rPr>
          <w:b/>
          <w:bCs/>
        </w:rPr>
        <w:t xml:space="preserve">andfill </w:t>
      </w:r>
      <w:r w:rsidRPr="00B01EF9">
        <w:rPr>
          <w:b/>
          <w:bCs/>
        </w:rPr>
        <w:t>G</w:t>
      </w:r>
      <w:r w:rsidR="00CA1338" w:rsidRPr="00B01EF9">
        <w:rPr>
          <w:b/>
          <w:bCs/>
        </w:rPr>
        <w:t xml:space="preserve">as </w:t>
      </w:r>
      <w:r w:rsidRPr="00B01EF9">
        <w:rPr>
          <w:b/>
          <w:bCs/>
        </w:rPr>
        <w:t>E</w:t>
      </w:r>
      <w:r w:rsidR="00CA1338" w:rsidRPr="00B01EF9">
        <w:rPr>
          <w:b/>
          <w:bCs/>
        </w:rPr>
        <w:t>nergy</w:t>
      </w:r>
      <w:r w:rsidR="00CA1338">
        <w:t xml:space="preserve"> </w:t>
      </w:r>
      <w:r w:rsidRPr="00B01EF9">
        <w:rPr>
          <w:b/>
          <w:bCs/>
        </w:rPr>
        <w:t>R</w:t>
      </w:r>
      <w:r w:rsidR="00CA1338" w:rsidRPr="00B01EF9">
        <w:rPr>
          <w:b/>
          <w:bCs/>
        </w:rPr>
        <w:t>ecovery</w:t>
      </w:r>
      <w:r>
        <w:rPr>
          <w:b/>
          <w:bCs/>
        </w:rPr>
        <w:t>:</w:t>
      </w:r>
      <w:r>
        <w:t xml:space="preserve">  </w:t>
      </w:r>
      <w:r w:rsidR="00B16822">
        <w:t xml:space="preserve">This option pulls the factors from EPA WARM for landfills with methane gas energy recovery systems and </w:t>
      </w:r>
      <w:commentRangeStart w:id="51"/>
      <w:r w:rsidR="00B16822">
        <w:t xml:space="preserve">uses the national average efficiency factor of </w:t>
      </w:r>
      <w:r w:rsidR="000C68E7">
        <w:t>75%.</w:t>
      </w:r>
      <w:r w:rsidR="002F7447">
        <w:t xml:space="preserve">  Future versions of UpStream will allow users to modify this efficiency as it’s a flexible input in the Excel spreadsheet version of EPA WARM.</w:t>
      </w:r>
      <w:r w:rsidR="00CA1943">
        <w:t xml:space="preserve">  This would allow users to </w:t>
      </w:r>
      <w:r w:rsidR="00726C12">
        <w:t>fine tune this input based on available research for their state or even local municipal waste facility</w:t>
      </w:r>
      <w:r w:rsidR="004F3755">
        <w:t xml:space="preserve"> </w:t>
      </w:r>
      <w:sdt>
        <w:sdtPr>
          <w:id w:val="-374072711"/>
          <w:citation/>
        </w:sdtPr>
        <w:sdtContent>
          <w:r w:rsidR="004F3755">
            <w:fldChar w:fldCharType="begin"/>
          </w:r>
          <w:r w:rsidR="004F3755">
            <w:instrText xml:space="preserve"> CITATION DrM09 \l 1033 </w:instrText>
          </w:r>
          <w:r w:rsidR="004F3755">
            <w:fldChar w:fldCharType="separate"/>
          </w:r>
          <w:r w:rsidR="004F3755">
            <w:rPr>
              <w:noProof/>
            </w:rPr>
            <w:t>(Dr. Morton Barlaz &amp; Christopher Evans, 2009)</w:t>
          </w:r>
          <w:r w:rsidR="004F3755">
            <w:fldChar w:fldCharType="end"/>
          </w:r>
        </w:sdtContent>
      </w:sdt>
      <w:r w:rsidR="00726C12">
        <w:t>.</w:t>
      </w:r>
      <w:r w:rsidR="00B16822">
        <w:t xml:space="preserve">  </w:t>
      </w:r>
      <w:commentRangeEnd w:id="51"/>
      <w:r w:rsidR="000C68E7">
        <w:rPr>
          <w:rStyle w:val="CommentReference"/>
        </w:rPr>
        <w:commentReference w:id="51"/>
      </w:r>
      <w:r>
        <w:fldChar w:fldCharType="begin"/>
      </w:r>
      <w:r>
        <w:instrText xml:space="preserve"> REF _Ref77112339 \h </w:instrText>
      </w:r>
      <w:r>
        <w:fldChar w:fldCharType="separate"/>
      </w:r>
      <w:r>
        <w:t xml:space="preserve">Table </w:t>
      </w:r>
      <w:r>
        <w:rPr>
          <w:noProof/>
        </w:rPr>
        <w:t>3</w:t>
      </w:r>
      <w:r>
        <w:fldChar w:fldCharType="end"/>
      </w:r>
      <w:r>
        <w:t xml:space="preserve"> </w:t>
      </w:r>
      <w:r w:rsidR="004C6103">
        <w:t xml:space="preserve"> shows that c</w:t>
      </w:r>
      <w:r w:rsidR="00B16822">
        <w:t xml:space="preserve">ompared to the </w:t>
      </w:r>
      <w:r w:rsidR="00206CD6">
        <w:t>“</w:t>
      </w:r>
      <w:r w:rsidR="00B16822">
        <w:t>no landfill gas recovery option</w:t>
      </w:r>
      <w:r w:rsidR="00206CD6">
        <w:t>”</w:t>
      </w:r>
      <w:r w:rsidR="00B16822">
        <w:t xml:space="preserve">, the landfill gas CH4 emissions is </w:t>
      </w:r>
      <w:r w:rsidR="00206CD6">
        <w:t xml:space="preserve">indeed </w:t>
      </w:r>
      <w:r w:rsidR="00B16822">
        <w:t>lower</w:t>
      </w:r>
      <w:r w:rsidR="002F7447">
        <w:t xml:space="preserve"> due to the landfill gas capture </w:t>
      </w:r>
      <w:r w:rsidR="00206CD6">
        <w:t>(.050 kgCO2e</w:t>
      </w:r>
      <w:r w:rsidR="00E07587">
        <w:t xml:space="preserve">/kgODW vs. .098 kgCO2e/kgODW) </w:t>
      </w:r>
      <w:r w:rsidR="002F7447">
        <w:t>and thus the CO2 emissions from converted CH4 through the soil is also reduced.  Finally, a Module D impact shows up as a credit from the exported energy from the gas recovery.  This is also the national average value, and future versions of UpStream will allow a state-level or grid region level input.</w:t>
      </w:r>
    </w:p>
    <w:p w14:paraId="38145CC3" w14:textId="7AA269C6" w:rsidR="00B01EF9" w:rsidRDefault="00B01EF9" w:rsidP="00B01EF9">
      <w:pPr>
        <w:pStyle w:val="Caption"/>
        <w:keepNext/>
      </w:pPr>
      <w:bookmarkStart w:id="52" w:name="_Ref77112339"/>
      <w:r>
        <w:t xml:space="preserve">Table </w:t>
      </w:r>
      <w:r>
        <w:fldChar w:fldCharType="begin"/>
      </w:r>
      <w:r>
        <w:instrText>SEQ Table \* ARABIC</w:instrText>
      </w:r>
      <w:r>
        <w:fldChar w:fldCharType="separate"/>
      </w:r>
      <w:r w:rsidR="004C5D4E">
        <w:rPr>
          <w:noProof/>
        </w:rPr>
        <w:t>4</w:t>
      </w:r>
      <w:r>
        <w:fldChar w:fldCharType="end"/>
      </w:r>
      <w:bookmarkEnd w:id="52"/>
      <w:r>
        <w:t xml:space="preserve"> </w:t>
      </w:r>
      <w:r w:rsidRPr="0089489F">
        <w:t>EPA WARM Model Factors for Landfill with Landfill Gas Recovery Scenario</w:t>
      </w:r>
    </w:p>
    <w:tbl>
      <w:tblPr>
        <w:tblW w:w="9100" w:type="dxa"/>
        <w:tblLook w:val="04A0" w:firstRow="1" w:lastRow="0" w:firstColumn="1" w:lastColumn="0" w:noHBand="0" w:noVBand="1"/>
      </w:tblPr>
      <w:tblGrid>
        <w:gridCol w:w="2020"/>
        <w:gridCol w:w="2220"/>
        <w:gridCol w:w="1920"/>
        <w:gridCol w:w="1020"/>
        <w:gridCol w:w="1920"/>
      </w:tblGrid>
      <w:tr w:rsidR="00B16822" w:rsidRPr="00B16822" w14:paraId="0AB10A4F" w14:textId="77777777" w:rsidTr="00927427">
        <w:trPr>
          <w:trHeight w:val="285"/>
        </w:trPr>
        <w:tc>
          <w:tcPr>
            <w:tcW w:w="2020" w:type="dxa"/>
            <w:vMerge w:val="restart"/>
            <w:tcBorders>
              <w:top w:val="single" w:sz="12"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3B08A6DA" w14:textId="77777777" w:rsidR="00B16822" w:rsidRPr="00B16822" w:rsidRDefault="00B16822" w:rsidP="00B16822">
            <w:pPr>
              <w:spacing w:after="0" w:line="240" w:lineRule="auto"/>
              <w:jc w:val="center"/>
              <w:rPr>
                <w:rFonts w:ascii="Calibri" w:eastAsia="Times New Roman" w:hAnsi="Calibri" w:cs="Calibri"/>
                <w:b/>
                <w:bCs/>
                <w:color w:val="000000"/>
              </w:rPr>
            </w:pPr>
            <w:r w:rsidRPr="00B16822">
              <w:rPr>
                <w:rFonts w:ascii="Calibri" w:eastAsia="Times New Roman" w:hAnsi="Calibri" w:cs="Calibri"/>
                <w:b/>
                <w:bCs/>
                <w:color w:val="000000"/>
              </w:rPr>
              <w:t>Source</w:t>
            </w:r>
          </w:p>
        </w:tc>
        <w:tc>
          <w:tcPr>
            <w:tcW w:w="5160" w:type="dxa"/>
            <w:gridSpan w:val="3"/>
            <w:tcBorders>
              <w:top w:val="single" w:sz="12"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55F5DDC0" w14:textId="77777777" w:rsidR="00B16822" w:rsidRPr="00B16822" w:rsidRDefault="00B16822" w:rsidP="00B16822">
            <w:pPr>
              <w:spacing w:after="0" w:line="240" w:lineRule="auto"/>
              <w:jc w:val="center"/>
              <w:rPr>
                <w:rFonts w:ascii="Calibri" w:eastAsia="Times New Roman" w:hAnsi="Calibri" w:cs="Calibri"/>
                <w:b/>
                <w:bCs/>
                <w:color w:val="000000"/>
              </w:rPr>
            </w:pPr>
            <w:r w:rsidRPr="00B16822">
              <w:rPr>
                <w:rFonts w:ascii="Calibri" w:eastAsia="Times New Roman" w:hAnsi="Calibri" w:cs="Calibri"/>
                <w:b/>
                <w:bCs/>
                <w:color w:val="000000"/>
              </w:rPr>
              <w:t>Landfill - w/Landfill Gas Recovery</w:t>
            </w:r>
          </w:p>
        </w:tc>
        <w:tc>
          <w:tcPr>
            <w:tcW w:w="1920" w:type="dxa"/>
            <w:vMerge w:val="restart"/>
            <w:tcBorders>
              <w:top w:val="single" w:sz="12" w:space="0" w:color="auto"/>
              <w:left w:val="single" w:sz="4" w:space="0" w:color="auto"/>
              <w:bottom w:val="single" w:sz="4" w:space="0" w:color="auto"/>
              <w:right w:val="single" w:sz="12" w:space="0" w:color="auto"/>
            </w:tcBorders>
            <w:shd w:val="clear" w:color="auto" w:fill="BFBFBF" w:themeFill="background1" w:themeFillShade="BF"/>
            <w:noWrap/>
            <w:vAlign w:val="center"/>
            <w:hideMark/>
          </w:tcPr>
          <w:p w14:paraId="5448DF72" w14:textId="77777777" w:rsidR="00B16822" w:rsidRPr="00B16822" w:rsidRDefault="00B16822" w:rsidP="00B16822">
            <w:pPr>
              <w:spacing w:after="0" w:line="240" w:lineRule="auto"/>
              <w:jc w:val="center"/>
              <w:rPr>
                <w:rFonts w:ascii="Calibri" w:eastAsia="Times New Roman" w:hAnsi="Calibri" w:cs="Calibri"/>
                <w:b/>
                <w:bCs/>
                <w:color w:val="000000"/>
              </w:rPr>
            </w:pPr>
            <w:r w:rsidRPr="00B16822">
              <w:rPr>
                <w:rFonts w:ascii="Calibri" w:eastAsia="Times New Roman" w:hAnsi="Calibri" w:cs="Calibri"/>
                <w:b/>
                <w:bCs/>
                <w:color w:val="000000"/>
              </w:rPr>
              <w:t>unit</w:t>
            </w:r>
          </w:p>
        </w:tc>
      </w:tr>
      <w:tr w:rsidR="00B16822" w:rsidRPr="00B16822" w14:paraId="78B9722C" w14:textId="77777777" w:rsidTr="00927427">
        <w:trPr>
          <w:trHeight w:val="570"/>
        </w:trPr>
        <w:tc>
          <w:tcPr>
            <w:tcW w:w="2020" w:type="dxa"/>
            <w:vMerge/>
            <w:tcBorders>
              <w:top w:val="single" w:sz="4" w:space="0" w:color="auto"/>
              <w:left w:val="single" w:sz="12" w:space="0" w:color="auto"/>
              <w:bottom w:val="single" w:sz="4" w:space="0" w:color="auto"/>
              <w:right w:val="single" w:sz="4" w:space="0" w:color="auto"/>
            </w:tcBorders>
            <w:vAlign w:val="center"/>
            <w:hideMark/>
          </w:tcPr>
          <w:p w14:paraId="44E52FC6" w14:textId="77777777" w:rsidR="00B16822" w:rsidRPr="00B16822" w:rsidRDefault="00B16822" w:rsidP="00B16822">
            <w:pPr>
              <w:spacing w:after="0" w:line="240" w:lineRule="auto"/>
              <w:rPr>
                <w:rFonts w:ascii="Calibri" w:eastAsia="Times New Roman" w:hAnsi="Calibri" w:cs="Calibri"/>
                <w:b/>
                <w:bCs/>
                <w:color w:val="000000"/>
              </w:rPr>
            </w:pPr>
          </w:p>
        </w:tc>
        <w:tc>
          <w:tcPr>
            <w:tcW w:w="2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276685D0" w14:textId="63731DC9" w:rsidR="00B16822" w:rsidRPr="00B16822" w:rsidRDefault="00B16822" w:rsidP="00B16822">
            <w:pPr>
              <w:spacing w:after="0" w:line="240" w:lineRule="auto"/>
              <w:rPr>
                <w:rFonts w:ascii="Calibri" w:eastAsia="Times New Roman" w:hAnsi="Calibri" w:cs="Calibri"/>
                <w:b/>
                <w:bCs/>
                <w:color w:val="000000"/>
              </w:rPr>
            </w:pPr>
            <w:r w:rsidRPr="4D1BA196">
              <w:rPr>
                <w:rFonts w:ascii="Calibri" w:eastAsia="Times New Roman" w:hAnsi="Calibri" w:cs="Calibri"/>
                <w:b/>
                <w:color w:val="000000" w:themeColor="text1"/>
              </w:rPr>
              <w:t xml:space="preserve">C2-4 - </w:t>
            </w:r>
            <w:r w:rsidR="6112027D" w:rsidRPr="4D1BA196">
              <w:rPr>
                <w:rFonts w:ascii="Calibri" w:eastAsia="Times New Roman" w:hAnsi="Calibri" w:cs="Calibri"/>
                <w:b/>
                <w:bCs/>
                <w:color w:val="000000" w:themeColor="text1"/>
              </w:rPr>
              <w:t>Non-Biogenic</w:t>
            </w:r>
            <w:r w:rsidRPr="4D1BA196">
              <w:rPr>
                <w:rFonts w:ascii="Calibri" w:eastAsia="Times New Roman" w:hAnsi="Calibri" w:cs="Calibri"/>
                <w:b/>
                <w:color w:val="000000" w:themeColor="text1"/>
              </w:rPr>
              <w:t xml:space="preserve"> Emissions</w:t>
            </w:r>
          </w:p>
        </w:tc>
        <w:tc>
          <w:tcPr>
            <w:tcW w:w="19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23284FF6" w14:textId="77777777" w:rsidR="00B16822" w:rsidRPr="00B16822" w:rsidRDefault="00B16822" w:rsidP="00B16822">
            <w:pPr>
              <w:spacing w:after="0" w:line="240" w:lineRule="auto"/>
              <w:rPr>
                <w:rFonts w:ascii="Calibri" w:eastAsia="Times New Roman" w:hAnsi="Calibri" w:cs="Calibri"/>
                <w:b/>
                <w:bCs/>
                <w:color w:val="000000"/>
              </w:rPr>
            </w:pPr>
            <w:r w:rsidRPr="00B16822">
              <w:rPr>
                <w:rFonts w:ascii="Calibri" w:eastAsia="Times New Roman" w:hAnsi="Calibri" w:cs="Calibri"/>
                <w:b/>
                <w:bCs/>
                <w:color w:val="000000"/>
              </w:rPr>
              <w:t>C4-5 biogenic emissions</w:t>
            </w:r>
          </w:p>
        </w:tc>
        <w:tc>
          <w:tcPr>
            <w:tcW w:w="1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5C904A36" w14:textId="77777777" w:rsidR="00B16822" w:rsidRPr="00B16822" w:rsidRDefault="00B16822" w:rsidP="00B16822">
            <w:pPr>
              <w:spacing w:after="0" w:line="240" w:lineRule="auto"/>
              <w:rPr>
                <w:rFonts w:ascii="Calibri" w:eastAsia="Times New Roman" w:hAnsi="Calibri" w:cs="Calibri"/>
                <w:b/>
                <w:bCs/>
                <w:color w:val="000000"/>
              </w:rPr>
            </w:pPr>
            <w:r w:rsidRPr="00B16822">
              <w:rPr>
                <w:rFonts w:ascii="Calibri" w:eastAsia="Times New Roman" w:hAnsi="Calibri" w:cs="Calibri"/>
                <w:b/>
                <w:bCs/>
                <w:color w:val="000000"/>
              </w:rPr>
              <w:t>Module D</w:t>
            </w:r>
          </w:p>
        </w:tc>
        <w:tc>
          <w:tcPr>
            <w:tcW w:w="1920" w:type="dxa"/>
            <w:vMerge/>
            <w:tcBorders>
              <w:top w:val="single" w:sz="4" w:space="0" w:color="auto"/>
              <w:left w:val="single" w:sz="4" w:space="0" w:color="auto"/>
              <w:bottom w:val="single" w:sz="4" w:space="0" w:color="auto"/>
              <w:right w:val="single" w:sz="12" w:space="0" w:color="auto"/>
            </w:tcBorders>
            <w:vAlign w:val="center"/>
            <w:hideMark/>
          </w:tcPr>
          <w:p w14:paraId="267BDC26" w14:textId="77777777" w:rsidR="00B16822" w:rsidRPr="00B16822" w:rsidRDefault="00B16822" w:rsidP="00B16822">
            <w:pPr>
              <w:spacing w:after="0" w:line="240" w:lineRule="auto"/>
              <w:rPr>
                <w:rFonts w:ascii="Calibri" w:eastAsia="Times New Roman" w:hAnsi="Calibri" w:cs="Calibri"/>
                <w:b/>
                <w:bCs/>
                <w:color w:val="000000"/>
              </w:rPr>
            </w:pPr>
          </w:p>
        </w:tc>
      </w:tr>
      <w:tr w:rsidR="00B16822" w:rsidRPr="00B16822" w14:paraId="3CE123A8" w14:textId="77777777" w:rsidTr="00927427">
        <w:trPr>
          <w:trHeight w:val="690"/>
        </w:trPr>
        <w:tc>
          <w:tcPr>
            <w:tcW w:w="2020" w:type="dxa"/>
            <w:tcBorders>
              <w:top w:val="single" w:sz="4" w:space="0" w:color="auto"/>
              <w:left w:val="single" w:sz="12" w:space="0" w:color="auto"/>
              <w:bottom w:val="single" w:sz="4" w:space="0" w:color="auto"/>
              <w:right w:val="single" w:sz="4" w:space="0" w:color="auto"/>
            </w:tcBorders>
            <w:shd w:val="clear" w:color="auto" w:fill="auto"/>
            <w:vAlign w:val="bottom"/>
            <w:hideMark/>
          </w:tcPr>
          <w:p w14:paraId="7D5DF00D" w14:textId="23022AD0"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landfill gas CO2</w:t>
            </w:r>
            <w:r w:rsidR="00D62FE8">
              <w:rPr>
                <w:rFonts w:ascii="Calibri" w:eastAsia="Times New Roman" w:hAnsi="Calibri" w:cs="Calibri"/>
                <w:color w:val="000000"/>
              </w:rPr>
              <w:t>e</w:t>
            </w:r>
            <w:r w:rsidRPr="00B16822">
              <w:rPr>
                <w:rFonts w:ascii="Calibri" w:eastAsia="Times New Roman" w:hAnsi="Calibri" w:cs="Calibri"/>
                <w:color w:val="000000"/>
              </w:rPr>
              <w:t xml:space="preserve"> emissions</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7CF1C7C"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F847AF7" w14:textId="77777777" w:rsidR="00B16822" w:rsidRPr="00B16822" w:rsidRDefault="00B16822" w:rsidP="00B16822">
            <w:pPr>
              <w:spacing w:after="0" w:line="240" w:lineRule="auto"/>
              <w:jc w:val="right"/>
              <w:rPr>
                <w:rFonts w:ascii="Calibri" w:eastAsia="Times New Roman" w:hAnsi="Calibri" w:cs="Calibri"/>
                <w:color w:val="000000"/>
              </w:rPr>
            </w:pPr>
            <w:r w:rsidRPr="00B16822">
              <w:rPr>
                <w:rFonts w:ascii="Calibri" w:eastAsia="Times New Roman" w:hAnsi="Calibri" w:cs="Calibri"/>
                <w:color w:val="000000"/>
              </w:rPr>
              <w:t>0.206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86E3F3B"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single" w:sz="4" w:space="0" w:color="auto"/>
              <w:left w:val="nil"/>
              <w:bottom w:val="single" w:sz="4" w:space="0" w:color="auto"/>
              <w:right w:val="single" w:sz="12" w:space="0" w:color="auto"/>
            </w:tcBorders>
            <w:shd w:val="clear" w:color="auto" w:fill="auto"/>
            <w:noWrap/>
            <w:vAlign w:val="bottom"/>
            <w:hideMark/>
          </w:tcPr>
          <w:p w14:paraId="587C8AAE"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kgCO2/kg ODW</w:t>
            </w:r>
          </w:p>
        </w:tc>
      </w:tr>
      <w:tr w:rsidR="00B16822" w:rsidRPr="00B16822" w14:paraId="5F137AFD" w14:textId="77777777" w:rsidTr="00927427">
        <w:trPr>
          <w:trHeight w:val="705"/>
        </w:trPr>
        <w:tc>
          <w:tcPr>
            <w:tcW w:w="2020" w:type="dxa"/>
            <w:tcBorders>
              <w:top w:val="single" w:sz="4" w:space="0" w:color="auto"/>
              <w:left w:val="single" w:sz="12" w:space="0" w:color="auto"/>
              <w:bottom w:val="single" w:sz="4" w:space="0" w:color="auto"/>
              <w:right w:val="single" w:sz="4" w:space="0" w:color="auto"/>
            </w:tcBorders>
            <w:shd w:val="clear" w:color="auto" w:fill="auto"/>
            <w:vAlign w:val="bottom"/>
            <w:hideMark/>
          </w:tcPr>
          <w:p w14:paraId="2421B3D5"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landfill gas CH4 emissions</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3BFCB704" w14:textId="77777777" w:rsidR="00B16822" w:rsidRPr="00B16822" w:rsidRDefault="00B16822" w:rsidP="00B16822">
            <w:pPr>
              <w:spacing w:after="0" w:line="240" w:lineRule="auto"/>
              <w:jc w:val="right"/>
              <w:rPr>
                <w:rFonts w:ascii="Calibri" w:eastAsia="Times New Roman" w:hAnsi="Calibri" w:cs="Calibri"/>
                <w:color w:val="000000"/>
              </w:rPr>
            </w:pPr>
            <w:r w:rsidRPr="00B16822">
              <w:rPr>
                <w:rFonts w:ascii="Calibri" w:eastAsia="Times New Roman" w:hAnsi="Calibri" w:cs="Calibri"/>
                <w:color w:val="000000"/>
              </w:rPr>
              <w:t>0.050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905D69D"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0072DCA"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single" w:sz="4" w:space="0" w:color="auto"/>
              <w:left w:val="nil"/>
              <w:bottom w:val="single" w:sz="4" w:space="0" w:color="auto"/>
              <w:right w:val="single" w:sz="12" w:space="0" w:color="auto"/>
            </w:tcBorders>
            <w:shd w:val="clear" w:color="auto" w:fill="auto"/>
            <w:noWrap/>
            <w:vAlign w:val="bottom"/>
            <w:hideMark/>
          </w:tcPr>
          <w:p w14:paraId="4E744F4F"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kgCO2/kg ODW</w:t>
            </w:r>
          </w:p>
        </w:tc>
      </w:tr>
      <w:tr w:rsidR="00B16822" w:rsidRPr="00B16822" w14:paraId="60A8D111" w14:textId="77777777" w:rsidTr="00927427">
        <w:trPr>
          <w:trHeight w:val="900"/>
        </w:trPr>
        <w:tc>
          <w:tcPr>
            <w:tcW w:w="2020" w:type="dxa"/>
            <w:tcBorders>
              <w:top w:val="single" w:sz="4" w:space="0" w:color="auto"/>
              <w:left w:val="single" w:sz="12" w:space="0" w:color="auto"/>
              <w:bottom w:val="single" w:sz="4" w:space="0" w:color="auto"/>
              <w:right w:val="single" w:sz="4" w:space="0" w:color="auto"/>
            </w:tcBorders>
            <w:shd w:val="clear" w:color="auto" w:fill="auto"/>
            <w:vAlign w:val="bottom"/>
            <w:hideMark/>
          </w:tcPr>
          <w:p w14:paraId="09622E54" w14:textId="50941E42"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CO2</w:t>
            </w:r>
            <w:r w:rsidR="00D62FE8">
              <w:rPr>
                <w:rFonts w:ascii="Calibri" w:eastAsia="Times New Roman" w:hAnsi="Calibri" w:cs="Calibri"/>
                <w:color w:val="000000"/>
              </w:rPr>
              <w:t>e</w:t>
            </w:r>
            <w:r w:rsidRPr="00B16822">
              <w:rPr>
                <w:rFonts w:ascii="Calibri" w:eastAsia="Times New Roman" w:hAnsi="Calibri" w:cs="Calibri"/>
                <w:color w:val="000000"/>
              </w:rPr>
              <w:t xml:space="preserve"> emissions from CH4 converted to CO2</w:t>
            </w:r>
            <w:r w:rsidR="00D62FE8">
              <w:rPr>
                <w:rFonts w:ascii="Calibri" w:eastAsia="Times New Roman" w:hAnsi="Calibri" w:cs="Calibri"/>
                <w:color w:val="000000"/>
              </w:rPr>
              <w:t>e</w:t>
            </w:r>
            <w:r w:rsidRPr="00B16822">
              <w:rPr>
                <w:rFonts w:ascii="Calibri" w:eastAsia="Times New Roman" w:hAnsi="Calibri" w:cs="Calibri"/>
                <w:color w:val="000000"/>
              </w:rPr>
              <w:t xml:space="preserve"> through soil</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6980E01"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25E0CC2" w14:textId="77777777" w:rsidR="00B16822" w:rsidRPr="00B16822" w:rsidRDefault="00B16822" w:rsidP="00B16822">
            <w:pPr>
              <w:spacing w:after="0" w:line="240" w:lineRule="auto"/>
              <w:jc w:val="right"/>
              <w:rPr>
                <w:rFonts w:ascii="Calibri" w:eastAsia="Times New Roman" w:hAnsi="Calibri" w:cs="Calibri"/>
                <w:color w:val="000000"/>
              </w:rPr>
            </w:pPr>
            <w:r w:rsidRPr="00B16822">
              <w:rPr>
                <w:rFonts w:ascii="Calibri" w:eastAsia="Times New Roman" w:hAnsi="Calibri" w:cs="Calibri"/>
                <w:color w:val="000000"/>
              </w:rPr>
              <w:t>0.011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D1C6ADB"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single" w:sz="4" w:space="0" w:color="auto"/>
              <w:left w:val="nil"/>
              <w:bottom w:val="single" w:sz="4" w:space="0" w:color="auto"/>
              <w:right w:val="single" w:sz="12" w:space="0" w:color="auto"/>
            </w:tcBorders>
            <w:shd w:val="clear" w:color="auto" w:fill="auto"/>
            <w:noWrap/>
            <w:vAlign w:val="bottom"/>
            <w:hideMark/>
          </w:tcPr>
          <w:p w14:paraId="563C417A"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r>
      <w:tr w:rsidR="00B16822" w:rsidRPr="00B16822" w14:paraId="1C4B683E" w14:textId="77777777" w:rsidTr="00927427">
        <w:trPr>
          <w:trHeight w:val="435"/>
        </w:trPr>
        <w:tc>
          <w:tcPr>
            <w:tcW w:w="2020" w:type="dxa"/>
            <w:tcBorders>
              <w:top w:val="nil"/>
              <w:left w:val="single" w:sz="12" w:space="0" w:color="auto"/>
              <w:bottom w:val="single" w:sz="4" w:space="0" w:color="auto"/>
              <w:right w:val="single" w:sz="4" w:space="0" w:color="auto"/>
            </w:tcBorders>
            <w:shd w:val="clear" w:color="auto" w:fill="auto"/>
            <w:vAlign w:val="bottom"/>
            <w:hideMark/>
          </w:tcPr>
          <w:p w14:paraId="47695AA8"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lastRenderedPageBreak/>
              <w:t>heavy equipment</w:t>
            </w:r>
          </w:p>
        </w:tc>
        <w:tc>
          <w:tcPr>
            <w:tcW w:w="2220" w:type="dxa"/>
            <w:tcBorders>
              <w:top w:val="nil"/>
              <w:left w:val="nil"/>
              <w:bottom w:val="single" w:sz="4" w:space="0" w:color="auto"/>
              <w:right w:val="single" w:sz="4" w:space="0" w:color="auto"/>
            </w:tcBorders>
            <w:shd w:val="clear" w:color="auto" w:fill="auto"/>
            <w:noWrap/>
            <w:vAlign w:val="bottom"/>
            <w:hideMark/>
          </w:tcPr>
          <w:p w14:paraId="2FC7C4EF" w14:textId="77777777" w:rsidR="00B16822" w:rsidRPr="00B16822" w:rsidRDefault="00B16822" w:rsidP="00B16822">
            <w:pPr>
              <w:spacing w:after="0" w:line="240" w:lineRule="auto"/>
              <w:jc w:val="right"/>
              <w:rPr>
                <w:rFonts w:ascii="Calibri" w:eastAsia="Times New Roman" w:hAnsi="Calibri" w:cs="Calibri"/>
                <w:color w:val="000000"/>
              </w:rPr>
            </w:pPr>
            <w:r w:rsidRPr="00B16822">
              <w:rPr>
                <w:rFonts w:ascii="Calibri" w:eastAsia="Times New Roman" w:hAnsi="Calibri" w:cs="Calibri"/>
                <w:color w:val="000000"/>
              </w:rPr>
              <w:t>0.022</w:t>
            </w:r>
          </w:p>
        </w:tc>
        <w:tc>
          <w:tcPr>
            <w:tcW w:w="1920" w:type="dxa"/>
            <w:tcBorders>
              <w:top w:val="nil"/>
              <w:left w:val="nil"/>
              <w:bottom w:val="single" w:sz="4" w:space="0" w:color="auto"/>
              <w:right w:val="single" w:sz="4" w:space="0" w:color="auto"/>
            </w:tcBorders>
            <w:shd w:val="clear" w:color="auto" w:fill="auto"/>
            <w:noWrap/>
            <w:vAlign w:val="bottom"/>
            <w:hideMark/>
          </w:tcPr>
          <w:p w14:paraId="1DDADFDD"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70CAEF5C"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nil"/>
              <w:left w:val="nil"/>
              <w:bottom w:val="single" w:sz="4" w:space="0" w:color="auto"/>
              <w:right w:val="single" w:sz="12" w:space="0" w:color="auto"/>
            </w:tcBorders>
            <w:shd w:val="clear" w:color="auto" w:fill="auto"/>
            <w:noWrap/>
            <w:vAlign w:val="bottom"/>
            <w:hideMark/>
          </w:tcPr>
          <w:p w14:paraId="344D809A"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kgCO2/kg ODW</w:t>
            </w:r>
          </w:p>
        </w:tc>
      </w:tr>
      <w:tr w:rsidR="00B16822" w:rsidRPr="00B16822" w14:paraId="59D18572" w14:textId="77777777" w:rsidTr="00927427">
        <w:trPr>
          <w:trHeight w:val="285"/>
        </w:trPr>
        <w:tc>
          <w:tcPr>
            <w:tcW w:w="2020" w:type="dxa"/>
            <w:tcBorders>
              <w:top w:val="nil"/>
              <w:left w:val="single" w:sz="12" w:space="0" w:color="auto"/>
              <w:bottom w:val="single" w:sz="4" w:space="0" w:color="auto"/>
              <w:right w:val="single" w:sz="4" w:space="0" w:color="auto"/>
            </w:tcBorders>
            <w:shd w:val="clear" w:color="auto" w:fill="auto"/>
            <w:vAlign w:val="bottom"/>
            <w:hideMark/>
          </w:tcPr>
          <w:p w14:paraId="13EAD344"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transport</w:t>
            </w:r>
          </w:p>
        </w:tc>
        <w:tc>
          <w:tcPr>
            <w:tcW w:w="2220" w:type="dxa"/>
            <w:tcBorders>
              <w:top w:val="nil"/>
              <w:left w:val="nil"/>
              <w:bottom w:val="single" w:sz="4" w:space="0" w:color="auto"/>
              <w:right w:val="single" w:sz="4" w:space="0" w:color="auto"/>
            </w:tcBorders>
            <w:shd w:val="clear" w:color="auto" w:fill="auto"/>
            <w:noWrap/>
            <w:vAlign w:val="bottom"/>
            <w:hideMark/>
          </w:tcPr>
          <w:p w14:paraId="32B788C8" w14:textId="77777777" w:rsidR="00B16822" w:rsidRPr="00B16822" w:rsidRDefault="00B16822" w:rsidP="00B16822">
            <w:pPr>
              <w:spacing w:after="0" w:line="240" w:lineRule="auto"/>
              <w:jc w:val="right"/>
              <w:rPr>
                <w:rFonts w:ascii="Calibri" w:eastAsia="Times New Roman" w:hAnsi="Calibri" w:cs="Calibri"/>
                <w:color w:val="000000"/>
              </w:rPr>
            </w:pPr>
            <w:r w:rsidRPr="00B16822">
              <w:rPr>
                <w:rFonts w:ascii="Calibri" w:eastAsia="Times New Roman" w:hAnsi="Calibri" w:cs="Calibri"/>
                <w:color w:val="000000"/>
              </w:rPr>
              <w:t>0.004</w:t>
            </w:r>
          </w:p>
        </w:tc>
        <w:tc>
          <w:tcPr>
            <w:tcW w:w="1920" w:type="dxa"/>
            <w:tcBorders>
              <w:top w:val="nil"/>
              <w:left w:val="nil"/>
              <w:bottom w:val="single" w:sz="4" w:space="0" w:color="auto"/>
              <w:right w:val="single" w:sz="4" w:space="0" w:color="auto"/>
            </w:tcBorders>
            <w:shd w:val="clear" w:color="auto" w:fill="auto"/>
            <w:noWrap/>
            <w:vAlign w:val="bottom"/>
            <w:hideMark/>
          </w:tcPr>
          <w:p w14:paraId="46073985"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1E368D7E"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nil"/>
              <w:left w:val="nil"/>
              <w:bottom w:val="single" w:sz="4" w:space="0" w:color="auto"/>
              <w:right w:val="single" w:sz="12" w:space="0" w:color="auto"/>
            </w:tcBorders>
            <w:shd w:val="clear" w:color="auto" w:fill="auto"/>
            <w:noWrap/>
            <w:vAlign w:val="bottom"/>
            <w:hideMark/>
          </w:tcPr>
          <w:p w14:paraId="2DDEDD03"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kgCO2/kg ODW</w:t>
            </w:r>
          </w:p>
        </w:tc>
      </w:tr>
      <w:tr w:rsidR="00B16822" w:rsidRPr="00B16822" w14:paraId="01ECEA83" w14:textId="77777777" w:rsidTr="00927427">
        <w:trPr>
          <w:trHeight w:val="675"/>
        </w:trPr>
        <w:tc>
          <w:tcPr>
            <w:tcW w:w="2020" w:type="dxa"/>
            <w:tcBorders>
              <w:top w:val="nil"/>
              <w:left w:val="single" w:sz="12" w:space="0" w:color="auto"/>
              <w:bottom w:val="single" w:sz="12" w:space="0" w:color="auto"/>
              <w:right w:val="single" w:sz="4" w:space="0" w:color="auto"/>
            </w:tcBorders>
            <w:shd w:val="clear" w:color="auto" w:fill="auto"/>
            <w:vAlign w:val="bottom"/>
            <w:hideMark/>
          </w:tcPr>
          <w:p w14:paraId="55F93995" w14:textId="3506162A"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exported elec credit (CO2</w:t>
            </w:r>
            <w:r w:rsidR="00D62FE8">
              <w:rPr>
                <w:rFonts w:ascii="Calibri" w:eastAsia="Times New Roman" w:hAnsi="Calibri" w:cs="Calibri"/>
                <w:color w:val="000000"/>
              </w:rPr>
              <w:t>e</w:t>
            </w:r>
            <w:r w:rsidRPr="00B16822">
              <w:rPr>
                <w:rFonts w:ascii="Calibri" w:eastAsia="Times New Roman" w:hAnsi="Calibri" w:cs="Calibri"/>
                <w:color w:val="000000"/>
              </w:rPr>
              <w:t xml:space="preserve"> fossil)</w:t>
            </w:r>
          </w:p>
        </w:tc>
        <w:tc>
          <w:tcPr>
            <w:tcW w:w="2220" w:type="dxa"/>
            <w:tcBorders>
              <w:top w:val="nil"/>
              <w:left w:val="nil"/>
              <w:bottom w:val="single" w:sz="12" w:space="0" w:color="auto"/>
              <w:right w:val="single" w:sz="4" w:space="0" w:color="auto"/>
            </w:tcBorders>
            <w:shd w:val="clear" w:color="auto" w:fill="auto"/>
            <w:noWrap/>
            <w:vAlign w:val="bottom"/>
            <w:hideMark/>
          </w:tcPr>
          <w:p w14:paraId="5522FACB"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920" w:type="dxa"/>
            <w:tcBorders>
              <w:top w:val="nil"/>
              <w:left w:val="nil"/>
              <w:bottom w:val="single" w:sz="12" w:space="0" w:color="auto"/>
              <w:right w:val="single" w:sz="4" w:space="0" w:color="auto"/>
            </w:tcBorders>
            <w:shd w:val="clear" w:color="auto" w:fill="auto"/>
            <w:noWrap/>
            <w:vAlign w:val="bottom"/>
            <w:hideMark/>
          </w:tcPr>
          <w:p w14:paraId="39FC2CA4"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 </w:t>
            </w:r>
          </w:p>
        </w:tc>
        <w:tc>
          <w:tcPr>
            <w:tcW w:w="1020" w:type="dxa"/>
            <w:tcBorders>
              <w:top w:val="nil"/>
              <w:left w:val="nil"/>
              <w:bottom w:val="single" w:sz="12" w:space="0" w:color="auto"/>
              <w:right w:val="single" w:sz="4" w:space="0" w:color="auto"/>
            </w:tcBorders>
            <w:shd w:val="clear" w:color="auto" w:fill="auto"/>
            <w:noWrap/>
            <w:vAlign w:val="bottom"/>
            <w:hideMark/>
          </w:tcPr>
          <w:p w14:paraId="1A4962D3" w14:textId="77777777" w:rsidR="00B16822" w:rsidRPr="00B16822" w:rsidRDefault="00B16822" w:rsidP="00B16822">
            <w:pPr>
              <w:spacing w:after="0" w:line="240" w:lineRule="auto"/>
              <w:jc w:val="right"/>
              <w:rPr>
                <w:rFonts w:ascii="Calibri" w:eastAsia="Times New Roman" w:hAnsi="Calibri" w:cs="Calibri"/>
                <w:color w:val="000000"/>
              </w:rPr>
            </w:pPr>
            <w:r w:rsidRPr="00B16822">
              <w:rPr>
                <w:rFonts w:ascii="Calibri" w:eastAsia="Times New Roman" w:hAnsi="Calibri" w:cs="Calibri"/>
                <w:color w:val="000000"/>
              </w:rPr>
              <w:t>-0.011</w:t>
            </w:r>
          </w:p>
        </w:tc>
        <w:tc>
          <w:tcPr>
            <w:tcW w:w="1920" w:type="dxa"/>
            <w:tcBorders>
              <w:top w:val="nil"/>
              <w:left w:val="nil"/>
              <w:bottom w:val="single" w:sz="12" w:space="0" w:color="auto"/>
              <w:right w:val="single" w:sz="12" w:space="0" w:color="auto"/>
            </w:tcBorders>
            <w:shd w:val="clear" w:color="auto" w:fill="auto"/>
            <w:noWrap/>
            <w:vAlign w:val="bottom"/>
            <w:hideMark/>
          </w:tcPr>
          <w:p w14:paraId="0C610AED" w14:textId="77777777" w:rsidR="00B16822" w:rsidRPr="00B16822" w:rsidRDefault="00B16822" w:rsidP="00B16822">
            <w:pPr>
              <w:spacing w:after="0" w:line="240" w:lineRule="auto"/>
              <w:rPr>
                <w:rFonts w:ascii="Calibri" w:eastAsia="Times New Roman" w:hAnsi="Calibri" w:cs="Calibri"/>
                <w:color w:val="000000"/>
              </w:rPr>
            </w:pPr>
            <w:r w:rsidRPr="00B16822">
              <w:rPr>
                <w:rFonts w:ascii="Calibri" w:eastAsia="Times New Roman" w:hAnsi="Calibri" w:cs="Calibri"/>
                <w:color w:val="000000"/>
              </w:rPr>
              <w:t>kgCO2/kg ODW</w:t>
            </w:r>
          </w:p>
        </w:tc>
      </w:tr>
    </w:tbl>
    <w:p w14:paraId="60A7B1F3" w14:textId="77777777" w:rsidR="00B16822" w:rsidRDefault="00B16822" w:rsidP="00B16822"/>
    <w:p w14:paraId="6CEC85ED" w14:textId="524A9C9B" w:rsidR="00A039F9" w:rsidRDefault="00B01EF9" w:rsidP="00A039F9">
      <w:pPr>
        <w:pStyle w:val="ListParagraph"/>
        <w:numPr>
          <w:ilvl w:val="2"/>
          <w:numId w:val="4"/>
        </w:numPr>
      </w:pPr>
      <w:r>
        <w:rPr>
          <w:b/>
          <w:bCs/>
        </w:rPr>
        <w:t xml:space="preserve">Scenario 3 – </w:t>
      </w:r>
      <w:r w:rsidR="00CA1338" w:rsidRPr="00B01EF9">
        <w:rPr>
          <w:b/>
          <w:bCs/>
        </w:rPr>
        <w:t xml:space="preserve">Landfill with </w:t>
      </w:r>
      <w:r>
        <w:rPr>
          <w:b/>
          <w:bCs/>
        </w:rPr>
        <w:t>F</w:t>
      </w:r>
      <w:r w:rsidR="00CA1338" w:rsidRPr="00B01EF9">
        <w:rPr>
          <w:b/>
          <w:bCs/>
        </w:rPr>
        <w:t>lare</w:t>
      </w:r>
      <w:r>
        <w:rPr>
          <w:b/>
          <w:bCs/>
        </w:rPr>
        <w:t>:</w:t>
      </w:r>
      <w:r>
        <w:t xml:space="preserve">  </w:t>
      </w:r>
      <w:r w:rsidR="004C6103">
        <w:t xml:space="preserve">This selection pulls data from the EPA WARM model for landfill flaring which reduces the amount of methane </w:t>
      </w:r>
      <w:r w:rsidR="5BD7DE2F">
        <w:t>emitted but</w:t>
      </w:r>
      <w:r w:rsidR="004C6103">
        <w:t xml:space="preserve"> does not report the conversion of this methane to CO2 through the flaring process since its of biogenic origin. </w:t>
      </w:r>
      <w:r w:rsidR="008A6233">
        <w:t xml:space="preserve"> Thus, the PCR Addendum Part B methodology is applied to the “CO2 emissions” factor.</w:t>
      </w:r>
      <w:r w:rsidR="004C6103">
        <w:t xml:space="preserve"> </w:t>
      </w:r>
      <w:r w:rsidR="00620022">
        <w:fldChar w:fldCharType="begin"/>
      </w:r>
      <w:r w:rsidR="00620022">
        <w:instrText xml:space="preserve"> REF _Ref77112489 \h </w:instrText>
      </w:r>
      <w:r w:rsidR="00620022">
        <w:fldChar w:fldCharType="separate"/>
      </w:r>
      <w:r w:rsidR="00620022">
        <w:t xml:space="preserve">Table </w:t>
      </w:r>
      <w:r w:rsidR="00620022">
        <w:rPr>
          <w:noProof/>
        </w:rPr>
        <w:t>4</w:t>
      </w:r>
      <w:r w:rsidR="00620022">
        <w:fldChar w:fldCharType="end"/>
      </w:r>
      <w:r w:rsidR="00620022">
        <w:t xml:space="preserve"> </w:t>
      </w:r>
      <w:r w:rsidR="00A039F9">
        <w:t>shows the reduction of methane emissions from this scenario</w:t>
      </w:r>
      <w:r w:rsidR="008A6233">
        <w:t xml:space="preserve"> (</w:t>
      </w:r>
      <w:r w:rsidR="00B21ABF">
        <w:t>.060 kgCO2e/kgODW vs. .098 kgCO2e/kgODW)</w:t>
      </w:r>
      <w:r w:rsidR="00DB1A4F">
        <w:t>, which represents a significant reduction but not as much as the landfill gas recovery option</w:t>
      </w:r>
      <w:r w:rsidR="00A039F9">
        <w:t>.</w:t>
      </w:r>
    </w:p>
    <w:p w14:paraId="7E0CF170" w14:textId="0F8FF1FA" w:rsidR="00620022" w:rsidRDefault="00620022" w:rsidP="00620022">
      <w:pPr>
        <w:pStyle w:val="Caption"/>
        <w:keepNext/>
      </w:pPr>
      <w:bookmarkStart w:id="53" w:name="_Ref77112489"/>
      <w:r>
        <w:t xml:space="preserve">Table </w:t>
      </w:r>
      <w:r>
        <w:fldChar w:fldCharType="begin"/>
      </w:r>
      <w:r>
        <w:instrText>SEQ Table \* ARABIC</w:instrText>
      </w:r>
      <w:r>
        <w:fldChar w:fldCharType="separate"/>
      </w:r>
      <w:r w:rsidR="004C5D4E">
        <w:rPr>
          <w:noProof/>
        </w:rPr>
        <w:t>5</w:t>
      </w:r>
      <w:r>
        <w:fldChar w:fldCharType="end"/>
      </w:r>
      <w:bookmarkEnd w:id="53"/>
      <w:r>
        <w:t xml:space="preserve"> </w:t>
      </w:r>
      <w:r w:rsidRPr="006576C4">
        <w:t>EPA WARM Model Factors for Landfill with Flare Scenario</w:t>
      </w:r>
    </w:p>
    <w:tbl>
      <w:tblPr>
        <w:tblW w:w="925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87"/>
        <w:gridCol w:w="2315"/>
        <w:gridCol w:w="1849"/>
        <w:gridCol w:w="965"/>
        <w:gridCol w:w="1735"/>
      </w:tblGrid>
      <w:tr w:rsidR="00A039F9" w:rsidRPr="00A039F9" w14:paraId="1CC987C0" w14:textId="77777777" w:rsidTr="00927427">
        <w:trPr>
          <w:trHeight w:val="204"/>
        </w:trPr>
        <w:tc>
          <w:tcPr>
            <w:tcW w:w="2387" w:type="dxa"/>
            <w:vMerge w:val="restart"/>
            <w:shd w:val="clear" w:color="auto" w:fill="BFBFBF" w:themeFill="background1" w:themeFillShade="BF"/>
            <w:noWrap/>
            <w:vAlign w:val="bottom"/>
            <w:hideMark/>
          </w:tcPr>
          <w:p w14:paraId="62496CD0" w14:textId="77777777" w:rsidR="00A039F9" w:rsidRPr="00A039F9" w:rsidRDefault="00A039F9" w:rsidP="00A039F9">
            <w:pPr>
              <w:spacing w:after="0" w:line="240" w:lineRule="auto"/>
              <w:jc w:val="center"/>
              <w:rPr>
                <w:rFonts w:ascii="Calibri" w:eastAsia="Times New Roman" w:hAnsi="Calibri" w:cs="Calibri"/>
                <w:b/>
                <w:bCs/>
                <w:color w:val="000000"/>
              </w:rPr>
            </w:pPr>
            <w:r w:rsidRPr="00A039F9">
              <w:rPr>
                <w:rFonts w:ascii="Calibri" w:eastAsia="Times New Roman" w:hAnsi="Calibri" w:cs="Calibri"/>
                <w:b/>
                <w:bCs/>
                <w:color w:val="000000"/>
              </w:rPr>
              <w:t>Source</w:t>
            </w:r>
          </w:p>
        </w:tc>
        <w:tc>
          <w:tcPr>
            <w:tcW w:w="5129" w:type="dxa"/>
            <w:gridSpan w:val="3"/>
            <w:shd w:val="clear" w:color="auto" w:fill="BFBFBF" w:themeFill="background1" w:themeFillShade="BF"/>
            <w:noWrap/>
            <w:vAlign w:val="bottom"/>
            <w:hideMark/>
          </w:tcPr>
          <w:p w14:paraId="35E0624C" w14:textId="77777777" w:rsidR="00A039F9" w:rsidRPr="00A039F9" w:rsidRDefault="00A039F9" w:rsidP="00A039F9">
            <w:pPr>
              <w:spacing w:after="0" w:line="240" w:lineRule="auto"/>
              <w:jc w:val="center"/>
              <w:rPr>
                <w:rFonts w:ascii="Calibri" w:eastAsia="Times New Roman" w:hAnsi="Calibri" w:cs="Calibri"/>
                <w:b/>
                <w:bCs/>
                <w:color w:val="000000"/>
              </w:rPr>
            </w:pPr>
            <w:r w:rsidRPr="00A039F9">
              <w:rPr>
                <w:rFonts w:ascii="Calibri" w:eastAsia="Times New Roman" w:hAnsi="Calibri" w:cs="Calibri"/>
                <w:b/>
                <w:bCs/>
                <w:color w:val="000000"/>
              </w:rPr>
              <w:t>Landfill - w/Flare</w:t>
            </w:r>
          </w:p>
        </w:tc>
        <w:tc>
          <w:tcPr>
            <w:tcW w:w="1735" w:type="dxa"/>
            <w:vMerge w:val="restart"/>
            <w:shd w:val="clear" w:color="auto" w:fill="BFBFBF" w:themeFill="background1" w:themeFillShade="BF"/>
            <w:noWrap/>
            <w:vAlign w:val="bottom"/>
            <w:hideMark/>
          </w:tcPr>
          <w:p w14:paraId="7C27C550" w14:textId="77777777" w:rsidR="00A039F9" w:rsidRPr="00A039F9" w:rsidRDefault="00A039F9" w:rsidP="00A039F9">
            <w:pPr>
              <w:spacing w:after="0" w:line="240" w:lineRule="auto"/>
              <w:jc w:val="center"/>
              <w:rPr>
                <w:rFonts w:ascii="Calibri" w:eastAsia="Times New Roman" w:hAnsi="Calibri" w:cs="Calibri"/>
                <w:b/>
                <w:bCs/>
                <w:color w:val="000000"/>
              </w:rPr>
            </w:pPr>
            <w:r w:rsidRPr="00A039F9">
              <w:rPr>
                <w:rFonts w:ascii="Calibri" w:eastAsia="Times New Roman" w:hAnsi="Calibri" w:cs="Calibri"/>
                <w:b/>
                <w:bCs/>
                <w:color w:val="000000"/>
              </w:rPr>
              <w:t>unit</w:t>
            </w:r>
          </w:p>
        </w:tc>
      </w:tr>
      <w:tr w:rsidR="00A039F9" w:rsidRPr="00A039F9" w14:paraId="0AF87FDC" w14:textId="77777777" w:rsidTr="00927427">
        <w:trPr>
          <w:trHeight w:val="204"/>
        </w:trPr>
        <w:tc>
          <w:tcPr>
            <w:tcW w:w="2387" w:type="dxa"/>
            <w:vMerge/>
            <w:vAlign w:val="center"/>
            <w:hideMark/>
          </w:tcPr>
          <w:p w14:paraId="7A6983A0" w14:textId="77777777" w:rsidR="00A039F9" w:rsidRPr="00A039F9" w:rsidRDefault="00A039F9" w:rsidP="00A039F9">
            <w:pPr>
              <w:spacing w:after="0" w:line="240" w:lineRule="auto"/>
              <w:rPr>
                <w:rFonts w:ascii="Calibri" w:eastAsia="Times New Roman" w:hAnsi="Calibri" w:cs="Calibri"/>
                <w:b/>
                <w:bCs/>
                <w:color w:val="000000"/>
              </w:rPr>
            </w:pPr>
          </w:p>
        </w:tc>
        <w:tc>
          <w:tcPr>
            <w:tcW w:w="2315" w:type="dxa"/>
            <w:shd w:val="clear" w:color="auto" w:fill="BFBFBF" w:themeFill="background1" w:themeFillShade="BF"/>
            <w:noWrap/>
            <w:vAlign w:val="bottom"/>
            <w:hideMark/>
          </w:tcPr>
          <w:p w14:paraId="3CEB77C7" w14:textId="1366D86D" w:rsidR="00A039F9" w:rsidRPr="00A039F9" w:rsidRDefault="00A039F9" w:rsidP="00A039F9">
            <w:pPr>
              <w:spacing w:after="0" w:line="240" w:lineRule="auto"/>
              <w:rPr>
                <w:rFonts w:ascii="Calibri" w:eastAsia="Times New Roman" w:hAnsi="Calibri" w:cs="Calibri"/>
                <w:b/>
                <w:bCs/>
                <w:color w:val="000000"/>
              </w:rPr>
            </w:pPr>
            <w:r w:rsidRPr="01701677">
              <w:rPr>
                <w:rFonts w:ascii="Calibri" w:eastAsia="Times New Roman" w:hAnsi="Calibri" w:cs="Calibri"/>
                <w:b/>
                <w:color w:val="000000" w:themeColor="text1"/>
              </w:rPr>
              <w:t xml:space="preserve">C2-4 - </w:t>
            </w:r>
            <w:r w:rsidR="3435627F" w:rsidRPr="01701677">
              <w:rPr>
                <w:rFonts w:ascii="Calibri" w:eastAsia="Times New Roman" w:hAnsi="Calibri" w:cs="Calibri"/>
                <w:b/>
                <w:bCs/>
                <w:color w:val="000000" w:themeColor="text1"/>
              </w:rPr>
              <w:t>Non-Biogenic</w:t>
            </w:r>
            <w:r w:rsidRPr="01701677">
              <w:rPr>
                <w:rFonts w:ascii="Calibri" w:eastAsia="Times New Roman" w:hAnsi="Calibri" w:cs="Calibri"/>
                <w:b/>
                <w:color w:val="000000" w:themeColor="text1"/>
              </w:rPr>
              <w:t xml:space="preserve"> Emissions</w:t>
            </w:r>
          </w:p>
        </w:tc>
        <w:tc>
          <w:tcPr>
            <w:tcW w:w="1849" w:type="dxa"/>
            <w:shd w:val="clear" w:color="auto" w:fill="BFBFBF" w:themeFill="background1" w:themeFillShade="BF"/>
            <w:noWrap/>
            <w:vAlign w:val="bottom"/>
            <w:hideMark/>
          </w:tcPr>
          <w:p w14:paraId="305EE170" w14:textId="77777777" w:rsidR="00A039F9" w:rsidRPr="00A039F9" w:rsidRDefault="00A039F9" w:rsidP="00A039F9">
            <w:pPr>
              <w:spacing w:after="0" w:line="240" w:lineRule="auto"/>
              <w:rPr>
                <w:rFonts w:ascii="Calibri" w:eastAsia="Times New Roman" w:hAnsi="Calibri" w:cs="Calibri"/>
                <w:b/>
                <w:bCs/>
                <w:color w:val="000000"/>
              </w:rPr>
            </w:pPr>
            <w:r w:rsidRPr="00A039F9">
              <w:rPr>
                <w:rFonts w:ascii="Calibri" w:eastAsia="Times New Roman" w:hAnsi="Calibri" w:cs="Calibri"/>
                <w:b/>
                <w:bCs/>
                <w:color w:val="000000"/>
              </w:rPr>
              <w:t>C4-5 biogenic emissions</w:t>
            </w:r>
          </w:p>
        </w:tc>
        <w:tc>
          <w:tcPr>
            <w:tcW w:w="964" w:type="dxa"/>
            <w:shd w:val="clear" w:color="auto" w:fill="BFBFBF" w:themeFill="background1" w:themeFillShade="BF"/>
            <w:noWrap/>
            <w:vAlign w:val="bottom"/>
            <w:hideMark/>
          </w:tcPr>
          <w:p w14:paraId="42FB5EDA" w14:textId="77777777" w:rsidR="00A039F9" w:rsidRPr="00A039F9" w:rsidRDefault="00A039F9" w:rsidP="00A039F9">
            <w:pPr>
              <w:spacing w:after="0" w:line="240" w:lineRule="auto"/>
              <w:rPr>
                <w:rFonts w:ascii="Calibri" w:eastAsia="Times New Roman" w:hAnsi="Calibri" w:cs="Calibri"/>
                <w:b/>
                <w:bCs/>
                <w:color w:val="000000"/>
              </w:rPr>
            </w:pPr>
            <w:r w:rsidRPr="00A039F9">
              <w:rPr>
                <w:rFonts w:ascii="Calibri" w:eastAsia="Times New Roman" w:hAnsi="Calibri" w:cs="Calibri"/>
                <w:b/>
                <w:bCs/>
                <w:color w:val="000000"/>
              </w:rPr>
              <w:t>Module D</w:t>
            </w:r>
          </w:p>
        </w:tc>
        <w:tc>
          <w:tcPr>
            <w:tcW w:w="1735" w:type="dxa"/>
            <w:vMerge/>
            <w:vAlign w:val="center"/>
            <w:hideMark/>
          </w:tcPr>
          <w:p w14:paraId="4072B0E1" w14:textId="77777777" w:rsidR="00A039F9" w:rsidRPr="00A039F9" w:rsidRDefault="00A039F9" w:rsidP="00A039F9">
            <w:pPr>
              <w:spacing w:after="0" w:line="240" w:lineRule="auto"/>
              <w:rPr>
                <w:rFonts w:ascii="Calibri" w:eastAsia="Times New Roman" w:hAnsi="Calibri" w:cs="Calibri"/>
                <w:b/>
                <w:bCs/>
                <w:color w:val="000000"/>
              </w:rPr>
            </w:pPr>
          </w:p>
        </w:tc>
      </w:tr>
      <w:tr w:rsidR="00A039F9" w:rsidRPr="00A039F9" w14:paraId="60FF4C8D" w14:textId="77777777" w:rsidTr="00927427">
        <w:trPr>
          <w:trHeight w:val="204"/>
        </w:trPr>
        <w:tc>
          <w:tcPr>
            <w:tcW w:w="2387" w:type="dxa"/>
            <w:shd w:val="clear" w:color="auto" w:fill="FFFFFF" w:themeFill="background1"/>
            <w:noWrap/>
            <w:vAlign w:val="bottom"/>
            <w:hideMark/>
          </w:tcPr>
          <w:p w14:paraId="7A4DBF69" w14:textId="755821EE"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CO2</w:t>
            </w:r>
            <w:r w:rsidR="00D62FE8">
              <w:rPr>
                <w:rFonts w:ascii="Calibri" w:eastAsia="Times New Roman" w:hAnsi="Calibri" w:cs="Calibri"/>
                <w:color w:val="000000"/>
              </w:rPr>
              <w:t>e</w:t>
            </w:r>
            <w:r w:rsidRPr="00A039F9">
              <w:rPr>
                <w:rFonts w:ascii="Calibri" w:eastAsia="Times New Roman" w:hAnsi="Calibri" w:cs="Calibri"/>
                <w:color w:val="000000"/>
              </w:rPr>
              <w:t xml:space="preserve"> emissions</w:t>
            </w:r>
          </w:p>
        </w:tc>
        <w:tc>
          <w:tcPr>
            <w:tcW w:w="2315" w:type="dxa"/>
            <w:shd w:val="clear" w:color="auto" w:fill="FFFFFF" w:themeFill="background1"/>
            <w:noWrap/>
            <w:vAlign w:val="bottom"/>
            <w:hideMark/>
          </w:tcPr>
          <w:p w14:paraId="13B50A98"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849" w:type="dxa"/>
            <w:shd w:val="clear" w:color="auto" w:fill="FFFFFF" w:themeFill="background1"/>
            <w:noWrap/>
            <w:vAlign w:val="bottom"/>
            <w:hideMark/>
          </w:tcPr>
          <w:p w14:paraId="23642EFB"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0.206</w:t>
            </w:r>
          </w:p>
        </w:tc>
        <w:tc>
          <w:tcPr>
            <w:tcW w:w="964" w:type="dxa"/>
            <w:shd w:val="clear" w:color="auto" w:fill="FFFFFF" w:themeFill="background1"/>
            <w:noWrap/>
            <w:vAlign w:val="bottom"/>
            <w:hideMark/>
          </w:tcPr>
          <w:p w14:paraId="556B0AC8"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06896BF5"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77AEEB96" w14:textId="77777777" w:rsidTr="00927427">
        <w:trPr>
          <w:trHeight w:val="204"/>
        </w:trPr>
        <w:tc>
          <w:tcPr>
            <w:tcW w:w="2387" w:type="dxa"/>
            <w:shd w:val="clear" w:color="auto" w:fill="FFFFFF" w:themeFill="background1"/>
            <w:noWrap/>
            <w:vAlign w:val="bottom"/>
            <w:hideMark/>
          </w:tcPr>
          <w:p w14:paraId="3D28A00E"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CH4 emissions</w:t>
            </w:r>
          </w:p>
        </w:tc>
        <w:tc>
          <w:tcPr>
            <w:tcW w:w="2315" w:type="dxa"/>
            <w:shd w:val="clear" w:color="auto" w:fill="FFFFFF" w:themeFill="background1"/>
            <w:noWrap/>
            <w:vAlign w:val="bottom"/>
            <w:hideMark/>
          </w:tcPr>
          <w:p w14:paraId="5A9102F7"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0.060</w:t>
            </w:r>
          </w:p>
        </w:tc>
        <w:tc>
          <w:tcPr>
            <w:tcW w:w="1849" w:type="dxa"/>
            <w:shd w:val="clear" w:color="auto" w:fill="FFFFFF" w:themeFill="background1"/>
            <w:noWrap/>
            <w:vAlign w:val="bottom"/>
            <w:hideMark/>
          </w:tcPr>
          <w:p w14:paraId="082B9B52"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4" w:type="dxa"/>
            <w:shd w:val="clear" w:color="auto" w:fill="FFFFFF" w:themeFill="background1"/>
            <w:noWrap/>
            <w:vAlign w:val="bottom"/>
            <w:hideMark/>
          </w:tcPr>
          <w:p w14:paraId="0BF24740"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68A4070A"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47BACE1B" w14:textId="77777777" w:rsidTr="00927427">
        <w:trPr>
          <w:trHeight w:val="408"/>
        </w:trPr>
        <w:tc>
          <w:tcPr>
            <w:tcW w:w="2387" w:type="dxa"/>
            <w:shd w:val="clear" w:color="auto" w:fill="FFFFFF" w:themeFill="background1"/>
            <w:vAlign w:val="bottom"/>
            <w:hideMark/>
          </w:tcPr>
          <w:p w14:paraId="0C90DB59" w14:textId="04E735C2"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CO2</w:t>
            </w:r>
            <w:r w:rsidR="00D62FE8">
              <w:rPr>
                <w:rFonts w:ascii="Calibri" w:eastAsia="Times New Roman" w:hAnsi="Calibri" w:cs="Calibri"/>
                <w:color w:val="000000"/>
              </w:rPr>
              <w:t>e</w:t>
            </w:r>
            <w:r w:rsidRPr="00A039F9">
              <w:rPr>
                <w:rFonts w:ascii="Calibri" w:eastAsia="Times New Roman" w:hAnsi="Calibri" w:cs="Calibri"/>
                <w:color w:val="000000"/>
              </w:rPr>
              <w:t xml:space="preserve"> emissions from CH4 converted to CO2</w:t>
            </w:r>
            <w:r w:rsidR="00D62FE8">
              <w:rPr>
                <w:rFonts w:ascii="Calibri" w:eastAsia="Times New Roman" w:hAnsi="Calibri" w:cs="Calibri"/>
                <w:color w:val="000000"/>
              </w:rPr>
              <w:t>e</w:t>
            </w:r>
            <w:r w:rsidRPr="00A039F9">
              <w:rPr>
                <w:rFonts w:ascii="Calibri" w:eastAsia="Times New Roman" w:hAnsi="Calibri" w:cs="Calibri"/>
                <w:color w:val="000000"/>
              </w:rPr>
              <w:t xml:space="preserve"> through soil</w:t>
            </w:r>
          </w:p>
        </w:tc>
        <w:tc>
          <w:tcPr>
            <w:tcW w:w="2315" w:type="dxa"/>
            <w:shd w:val="clear" w:color="auto" w:fill="FFFFFF" w:themeFill="background1"/>
            <w:noWrap/>
            <w:vAlign w:val="bottom"/>
            <w:hideMark/>
          </w:tcPr>
          <w:p w14:paraId="2C3B9091"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849" w:type="dxa"/>
            <w:shd w:val="clear" w:color="auto" w:fill="FFFFFF" w:themeFill="background1"/>
            <w:noWrap/>
            <w:vAlign w:val="bottom"/>
            <w:hideMark/>
          </w:tcPr>
          <w:p w14:paraId="0425DD1A"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0.022</w:t>
            </w:r>
          </w:p>
        </w:tc>
        <w:tc>
          <w:tcPr>
            <w:tcW w:w="964" w:type="dxa"/>
            <w:shd w:val="clear" w:color="auto" w:fill="FFFFFF" w:themeFill="background1"/>
            <w:noWrap/>
            <w:vAlign w:val="bottom"/>
            <w:hideMark/>
          </w:tcPr>
          <w:p w14:paraId="3B9FDA6E"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7E8B7956"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r>
      <w:tr w:rsidR="00A039F9" w:rsidRPr="00A039F9" w14:paraId="375F78F8" w14:textId="77777777" w:rsidTr="00927427">
        <w:trPr>
          <w:trHeight w:val="204"/>
        </w:trPr>
        <w:tc>
          <w:tcPr>
            <w:tcW w:w="2387" w:type="dxa"/>
            <w:shd w:val="clear" w:color="auto" w:fill="FFFFFF" w:themeFill="background1"/>
            <w:noWrap/>
            <w:vAlign w:val="bottom"/>
            <w:hideMark/>
          </w:tcPr>
          <w:p w14:paraId="6481B102"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heavy equipment</w:t>
            </w:r>
          </w:p>
        </w:tc>
        <w:tc>
          <w:tcPr>
            <w:tcW w:w="2315" w:type="dxa"/>
            <w:shd w:val="clear" w:color="auto" w:fill="FFFFFF" w:themeFill="background1"/>
            <w:noWrap/>
            <w:vAlign w:val="bottom"/>
            <w:hideMark/>
          </w:tcPr>
          <w:p w14:paraId="5E707357"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0.022</w:t>
            </w:r>
          </w:p>
        </w:tc>
        <w:tc>
          <w:tcPr>
            <w:tcW w:w="1849" w:type="dxa"/>
            <w:shd w:val="clear" w:color="auto" w:fill="FFFFFF" w:themeFill="background1"/>
            <w:noWrap/>
            <w:vAlign w:val="bottom"/>
            <w:hideMark/>
          </w:tcPr>
          <w:p w14:paraId="1B05B3BD"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4" w:type="dxa"/>
            <w:shd w:val="clear" w:color="auto" w:fill="FFFFFF" w:themeFill="background1"/>
            <w:noWrap/>
            <w:vAlign w:val="bottom"/>
            <w:hideMark/>
          </w:tcPr>
          <w:p w14:paraId="44CD190D"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0B46D4D4"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25F3494B" w14:textId="77777777" w:rsidTr="00927427">
        <w:trPr>
          <w:trHeight w:val="204"/>
        </w:trPr>
        <w:tc>
          <w:tcPr>
            <w:tcW w:w="2387" w:type="dxa"/>
            <w:shd w:val="clear" w:color="auto" w:fill="FFFFFF" w:themeFill="background1"/>
            <w:noWrap/>
            <w:vAlign w:val="bottom"/>
            <w:hideMark/>
          </w:tcPr>
          <w:p w14:paraId="64B0A586"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transport</w:t>
            </w:r>
          </w:p>
        </w:tc>
        <w:tc>
          <w:tcPr>
            <w:tcW w:w="2315" w:type="dxa"/>
            <w:shd w:val="clear" w:color="auto" w:fill="FFFFFF" w:themeFill="background1"/>
            <w:noWrap/>
            <w:vAlign w:val="bottom"/>
            <w:hideMark/>
          </w:tcPr>
          <w:p w14:paraId="67CAE0F1"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0.004</w:t>
            </w:r>
          </w:p>
        </w:tc>
        <w:tc>
          <w:tcPr>
            <w:tcW w:w="1849" w:type="dxa"/>
            <w:shd w:val="clear" w:color="auto" w:fill="FFFFFF" w:themeFill="background1"/>
            <w:noWrap/>
            <w:vAlign w:val="bottom"/>
            <w:hideMark/>
          </w:tcPr>
          <w:p w14:paraId="6D246087"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4" w:type="dxa"/>
            <w:shd w:val="clear" w:color="auto" w:fill="FFFFFF" w:themeFill="background1"/>
            <w:noWrap/>
            <w:vAlign w:val="bottom"/>
            <w:hideMark/>
          </w:tcPr>
          <w:p w14:paraId="27981939"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110C750E"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1BE11BC8" w14:textId="77777777" w:rsidTr="00927427">
        <w:trPr>
          <w:trHeight w:val="204"/>
        </w:trPr>
        <w:tc>
          <w:tcPr>
            <w:tcW w:w="2387" w:type="dxa"/>
            <w:shd w:val="clear" w:color="auto" w:fill="FFFFFF" w:themeFill="background1"/>
            <w:noWrap/>
            <w:vAlign w:val="bottom"/>
            <w:hideMark/>
          </w:tcPr>
          <w:p w14:paraId="014F865C" w14:textId="012B4DE6"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elec credit (CO2</w:t>
            </w:r>
            <w:r w:rsidR="00D62FE8">
              <w:rPr>
                <w:rFonts w:ascii="Calibri" w:eastAsia="Times New Roman" w:hAnsi="Calibri" w:cs="Calibri"/>
                <w:color w:val="000000"/>
              </w:rPr>
              <w:t>e</w:t>
            </w:r>
            <w:r w:rsidRPr="00A039F9">
              <w:rPr>
                <w:rFonts w:ascii="Calibri" w:eastAsia="Times New Roman" w:hAnsi="Calibri" w:cs="Calibri"/>
                <w:color w:val="000000"/>
              </w:rPr>
              <w:t xml:space="preserve"> fossil)</w:t>
            </w:r>
          </w:p>
        </w:tc>
        <w:tc>
          <w:tcPr>
            <w:tcW w:w="2315" w:type="dxa"/>
            <w:shd w:val="clear" w:color="auto" w:fill="FFFFFF" w:themeFill="background1"/>
            <w:noWrap/>
            <w:vAlign w:val="bottom"/>
            <w:hideMark/>
          </w:tcPr>
          <w:p w14:paraId="62E22F2B"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849" w:type="dxa"/>
            <w:shd w:val="clear" w:color="auto" w:fill="FFFFFF" w:themeFill="background1"/>
            <w:noWrap/>
            <w:vAlign w:val="bottom"/>
            <w:hideMark/>
          </w:tcPr>
          <w:p w14:paraId="1A3863DC"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4" w:type="dxa"/>
            <w:shd w:val="clear" w:color="auto" w:fill="FFFFFF" w:themeFill="background1"/>
            <w:noWrap/>
            <w:vAlign w:val="bottom"/>
            <w:hideMark/>
          </w:tcPr>
          <w:p w14:paraId="005BA8B2"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576369DD"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13558BA1" w14:textId="77777777" w:rsidTr="00927427">
        <w:trPr>
          <w:trHeight w:val="209"/>
        </w:trPr>
        <w:tc>
          <w:tcPr>
            <w:tcW w:w="2387" w:type="dxa"/>
            <w:shd w:val="clear" w:color="auto" w:fill="FFFFFF" w:themeFill="background1"/>
            <w:noWrap/>
            <w:vAlign w:val="bottom"/>
            <w:hideMark/>
          </w:tcPr>
          <w:p w14:paraId="25F3770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thermal energy credit</w:t>
            </w:r>
          </w:p>
        </w:tc>
        <w:tc>
          <w:tcPr>
            <w:tcW w:w="2315" w:type="dxa"/>
            <w:shd w:val="clear" w:color="auto" w:fill="FFFFFF" w:themeFill="background1"/>
            <w:noWrap/>
            <w:vAlign w:val="bottom"/>
            <w:hideMark/>
          </w:tcPr>
          <w:p w14:paraId="08298024"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849" w:type="dxa"/>
            <w:shd w:val="clear" w:color="auto" w:fill="FFFFFF" w:themeFill="background1"/>
            <w:noWrap/>
            <w:vAlign w:val="bottom"/>
            <w:hideMark/>
          </w:tcPr>
          <w:p w14:paraId="3B259495"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4" w:type="dxa"/>
            <w:shd w:val="clear" w:color="auto" w:fill="FFFFFF" w:themeFill="background1"/>
            <w:noWrap/>
            <w:vAlign w:val="bottom"/>
            <w:hideMark/>
          </w:tcPr>
          <w:p w14:paraId="2BC1F81D"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5" w:type="dxa"/>
            <w:shd w:val="clear" w:color="auto" w:fill="FFFFFF" w:themeFill="background1"/>
            <w:noWrap/>
            <w:vAlign w:val="bottom"/>
            <w:hideMark/>
          </w:tcPr>
          <w:p w14:paraId="4B583E29"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bl>
    <w:p w14:paraId="44878F0D" w14:textId="77777777" w:rsidR="00A039F9" w:rsidRDefault="00A039F9" w:rsidP="00A039F9"/>
    <w:p w14:paraId="433CB43C" w14:textId="18D57D4A" w:rsidR="004C6103" w:rsidRDefault="00620022" w:rsidP="00620022">
      <w:pPr>
        <w:pStyle w:val="ListParagraph"/>
        <w:numPr>
          <w:ilvl w:val="2"/>
          <w:numId w:val="4"/>
        </w:numPr>
      </w:pPr>
      <w:r w:rsidRPr="00620022">
        <w:rPr>
          <w:b/>
          <w:bCs/>
        </w:rPr>
        <w:t xml:space="preserve">Scenario 4 - </w:t>
      </w:r>
      <w:r w:rsidR="00CA1338" w:rsidRPr="00620022">
        <w:rPr>
          <w:b/>
          <w:bCs/>
        </w:rPr>
        <w:t>Incineration</w:t>
      </w:r>
      <w:r w:rsidRPr="00620022">
        <w:rPr>
          <w:b/>
          <w:bCs/>
        </w:rPr>
        <w:t>:</w:t>
      </w:r>
      <w:r>
        <w:t xml:space="preserve"> </w:t>
      </w:r>
      <w:r w:rsidR="004C6103">
        <w:t xml:space="preserve">The EPA WARM </w:t>
      </w:r>
      <w:r w:rsidR="006317C6">
        <w:t>i</w:t>
      </w:r>
      <w:r w:rsidR="004C6103">
        <w:t>ncineration</w:t>
      </w:r>
      <w:r w:rsidR="006317C6">
        <w:t xml:space="preserve"> scenario</w:t>
      </w:r>
      <w:r w:rsidR="004C6103">
        <w:t xml:space="preserve">, or “combustion” as </w:t>
      </w:r>
      <w:r w:rsidR="55B064E3">
        <w:t>it's</w:t>
      </w:r>
      <w:r w:rsidR="004C6103">
        <w:t xml:space="preserve"> referred to in its documentation, accounts for the transportation emissions to the waste-to-energy (WTE) facility, and any combustion-related non-biogenic greenhouse gasses like CO2 and NO2.  For module D, </w:t>
      </w:r>
      <w:r w:rsidR="00A039F9">
        <w:t>exported electricity is counted as a credit based on</w:t>
      </w:r>
      <w:r w:rsidR="00377CBB">
        <w:t xml:space="preserve"> the WTE plant’s system efficiencies, carbon content of the material being combusted, </w:t>
      </w:r>
      <w:r w:rsidR="00A039F9">
        <w:t>a</w:t>
      </w:r>
      <w:r w:rsidR="00377CBB">
        <w:t xml:space="preserve">nd </w:t>
      </w:r>
      <w:r w:rsidR="0072146A">
        <w:t>a factor for</w:t>
      </w:r>
      <w:r w:rsidR="00377CBB">
        <w:t xml:space="preserve"> national average utility baseload CO2 emissions avoided per kWh of electricity delivered by </w:t>
      </w:r>
      <w:r w:rsidR="0072146A">
        <w:t xml:space="preserve">the </w:t>
      </w:r>
      <w:r w:rsidR="00377CBB">
        <w:t xml:space="preserve">WTE plant </w:t>
      </w:r>
      <w:r w:rsidR="00CD7191">
        <w:t xml:space="preserve">(note: Module D impacts are not counted unless this module is turned on in </w:t>
      </w:r>
      <w:commentRangeStart w:id="54"/>
      <w:r w:rsidR="00CD7191">
        <w:t>UpStream)</w:t>
      </w:r>
      <w:r w:rsidR="00000FC8">
        <w:t xml:space="preserve"> </w:t>
      </w:r>
      <w:r w:rsidR="00A039F9">
        <w:t xml:space="preserve">.  </w:t>
      </w:r>
      <w:commentRangeEnd w:id="54"/>
      <w:r w:rsidR="00E24628">
        <w:rPr>
          <w:rStyle w:val="CommentReference"/>
        </w:rPr>
        <w:commentReference w:id="54"/>
      </w:r>
      <w:r w:rsidR="00A039F9">
        <w:t>Biogenic CO2 emissions from burning the wood are not included from EPA WARM, but UpStream includes these emissions based on counting 100% of the biogenic ca</w:t>
      </w:r>
      <w:r w:rsidR="005823DD">
        <w:t>rbon</w:t>
      </w:r>
      <w:r w:rsidR="00A039F9">
        <w:t xml:space="preserve"> in the wood being incinerated as an emission.  </w:t>
      </w:r>
      <w:r>
        <w:fldChar w:fldCharType="begin"/>
      </w:r>
      <w:r>
        <w:instrText xml:space="preserve"> REF _Ref77112546 \h </w:instrText>
      </w:r>
      <w:r>
        <w:fldChar w:fldCharType="separate"/>
      </w:r>
      <w:r>
        <w:t xml:space="preserve">Table </w:t>
      </w:r>
      <w:r>
        <w:rPr>
          <w:noProof/>
        </w:rPr>
        <w:t>5</w:t>
      </w:r>
      <w:r>
        <w:fldChar w:fldCharType="end"/>
      </w:r>
      <w:r>
        <w:t xml:space="preserve"> </w:t>
      </w:r>
      <w:r w:rsidR="00A039F9">
        <w:t xml:space="preserve">shows the different factors pulled from WARM and </w:t>
      </w:r>
      <w:r w:rsidR="00AB2009">
        <w:t xml:space="preserve">how biogenic emissions from incineration are calculated, </w:t>
      </w:r>
      <w:r w:rsidR="0CF25BDD">
        <w:t>i.e.,</w:t>
      </w:r>
      <w:r w:rsidR="00AB2009">
        <w:t xml:space="preserve"> “</w:t>
      </w:r>
      <w:r w:rsidR="00AB2009" w:rsidRPr="6CE3D68C">
        <w:rPr>
          <w:rFonts w:ascii="Calibri" w:eastAsia="Times New Roman" w:hAnsi="Calibri" w:cs="Calibri"/>
          <w:color w:val="000000" w:themeColor="text1"/>
        </w:rPr>
        <w:t>biogenic carbon dioxide equivalent in wood is released as an emission”</w:t>
      </w:r>
      <w:r w:rsidR="00A039F9">
        <w:t xml:space="preserve">. </w:t>
      </w:r>
    </w:p>
    <w:p w14:paraId="6AB3F99B" w14:textId="1FC04923" w:rsidR="00A039F9" w:rsidRDefault="00A039F9" w:rsidP="00A039F9"/>
    <w:p w14:paraId="5DBD4D36" w14:textId="381B1709" w:rsidR="00620022" w:rsidRDefault="00620022" w:rsidP="00620022">
      <w:pPr>
        <w:pStyle w:val="Caption"/>
        <w:keepNext/>
      </w:pPr>
      <w:bookmarkStart w:id="55" w:name="_Ref77112546"/>
      <w:r>
        <w:t xml:space="preserve">Table </w:t>
      </w:r>
      <w:r>
        <w:fldChar w:fldCharType="begin"/>
      </w:r>
      <w:r>
        <w:instrText>SEQ Table \* ARABIC</w:instrText>
      </w:r>
      <w:r>
        <w:fldChar w:fldCharType="separate"/>
      </w:r>
      <w:r w:rsidR="004C5D4E">
        <w:rPr>
          <w:noProof/>
        </w:rPr>
        <w:t>6</w:t>
      </w:r>
      <w:r>
        <w:fldChar w:fldCharType="end"/>
      </w:r>
      <w:bookmarkEnd w:id="55"/>
      <w:r>
        <w:t xml:space="preserve"> </w:t>
      </w:r>
      <w:r w:rsidRPr="00C277C6">
        <w:t>EPA WARM Model Factors for Incineration Scenario</w:t>
      </w:r>
    </w:p>
    <w:tbl>
      <w:tblPr>
        <w:tblW w:w="95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506"/>
        <w:gridCol w:w="2430"/>
        <w:gridCol w:w="1941"/>
        <w:gridCol w:w="963"/>
        <w:gridCol w:w="1730"/>
      </w:tblGrid>
      <w:tr w:rsidR="00A039F9" w:rsidRPr="00A039F9" w14:paraId="749320D5" w14:textId="77777777" w:rsidTr="00927427">
        <w:trPr>
          <w:trHeight w:val="200"/>
        </w:trPr>
        <w:tc>
          <w:tcPr>
            <w:tcW w:w="2506" w:type="dxa"/>
            <w:vMerge w:val="restart"/>
            <w:shd w:val="clear" w:color="auto" w:fill="BFBFBF" w:themeFill="background1" w:themeFillShade="BF"/>
            <w:noWrap/>
            <w:vAlign w:val="bottom"/>
            <w:hideMark/>
          </w:tcPr>
          <w:p w14:paraId="64BA0778" w14:textId="77777777" w:rsidR="00A039F9" w:rsidRPr="00A039F9" w:rsidRDefault="00A039F9" w:rsidP="00A039F9">
            <w:pPr>
              <w:spacing w:after="0" w:line="240" w:lineRule="auto"/>
              <w:jc w:val="center"/>
              <w:rPr>
                <w:rFonts w:ascii="Calibri" w:eastAsia="Times New Roman" w:hAnsi="Calibri" w:cs="Calibri"/>
                <w:b/>
                <w:bCs/>
                <w:color w:val="000000"/>
              </w:rPr>
            </w:pPr>
            <w:r w:rsidRPr="00A039F9">
              <w:rPr>
                <w:rFonts w:ascii="Calibri" w:eastAsia="Times New Roman" w:hAnsi="Calibri" w:cs="Calibri"/>
                <w:b/>
                <w:bCs/>
                <w:color w:val="000000"/>
              </w:rPr>
              <w:t>Source</w:t>
            </w:r>
          </w:p>
        </w:tc>
        <w:tc>
          <w:tcPr>
            <w:tcW w:w="5334" w:type="dxa"/>
            <w:gridSpan w:val="3"/>
            <w:shd w:val="clear" w:color="auto" w:fill="BFBFBF" w:themeFill="background1" w:themeFillShade="BF"/>
            <w:noWrap/>
            <w:vAlign w:val="bottom"/>
            <w:hideMark/>
          </w:tcPr>
          <w:p w14:paraId="4FBD793C" w14:textId="77777777" w:rsidR="00A039F9" w:rsidRPr="00A039F9" w:rsidRDefault="00A039F9" w:rsidP="00A039F9">
            <w:pPr>
              <w:spacing w:after="0" w:line="240" w:lineRule="auto"/>
              <w:jc w:val="center"/>
              <w:rPr>
                <w:rFonts w:ascii="Calibri" w:eastAsia="Times New Roman" w:hAnsi="Calibri" w:cs="Calibri"/>
                <w:b/>
                <w:bCs/>
                <w:color w:val="000000"/>
              </w:rPr>
            </w:pPr>
            <w:r w:rsidRPr="00A039F9">
              <w:rPr>
                <w:rFonts w:ascii="Calibri" w:eastAsia="Times New Roman" w:hAnsi="Calibri" w:cs="Calibri"/>
                <w:b/>
                <w:bCs/>
                <w:color w:val="000000"/>
              </w:rPr>
              <w:t>Incineration</w:t>
            </w:r>
          </w:p>
        </w:tc>
        <w:tc>
          <w:tcPr>
            <w:tcW w:w="1730" w:type="dxa"/>
            <w:vMerge w:val="restart"/>
            <w:shd w:val="clear" w:color="auto" w:fill="BFBFBF" w:themeFill="background1" w:themeFillShade="BF"/>
            <w:noWrap/>
            <w:vAlign w:val="bottom"/>
            <w:hideMark/>
          </w:tcPr>
          <w:p w14:paraId="32E0C931" w14:textId="77777777" w:rsidR="00A039F9" w:rsidRPr="00A039F9" w:rsidRDefault="00A039F9" w:rsidP="00A039F9">
            <w:pPr>
              <w:spacing w:after="0" w:line="240" w:lineRule="auto"/>
              <w:jc w:val="center"/>
              <w:rPr>
                <w:rFonts w:ascii="Calibri" w:eastAsia="Times New Roman" w:hAnsi="Calibri" w:cs="Calibri"/>
                <w:b/>
                <w:bCs/>
                <w:color w:val="000000"/>
              </w:rPr>
            </w:pPr>
            <w:r w:rsidRPr="00A039F9">
              <w:rPr>
                <w:rFonts w:ascii="Calibri" w:eastAsia="Times New Roman" w:hAnsi="Calibri" w:cs="Calibri"/>
                <w:b/>
                <w:bCs/>
                <w:color w:val="000000"/>
              </w:rPr>
              <w:t>unit</w:t>
            </w:r>
          </w:p>
        </w:tc>
      </w:tr>
      <w:tr w:rsidR="00A039F9" w:rsidRPr="00A039F9" w14:paraId="5BD708AF" w14:textId="77777777" w:rsidTr="00927427">
        <w:trPr>
          <w:trHeight w:val="200"/>
        </w:trPr>
        <w:tc>
          <w:tcPr>
            <w:tcW w:w="2506" w:type="dxa"/>
            <w:vMerge/>
            <w:shd w:val="clear" w:color="auto" w:fill="BFBFBF" w:themeFill="background1" w:themeFillShade="BF"/>
            <w:vAlign w:val="center"/>
            <w:hideMark/>
          </w:tcPr>
          <w:p w14:paraId="4B5F88E2" w14:textId="77777777" w:rsidR="00A039F9" w:rsidRPr="00A039F9" w:rsidRDefault="00A039F9" w:rsidP="00A039F9">
            <w:pPr>
              <w:spacing w:after="0" w:line="240" w:lineRule="auto"/>
              <w:rPr>
                <w:rFonts w:ascii="Calibri" w:eastAsia="Times New Roman" w:hAnsi="Calibri" w:cs="Calibri"/>
                <w:b/>
                <w:bCs/>
                <w:color w:val="000000"/>
              </w:rPr>
            </w:pPr>
          </w:p>
        </w:tc>
        <w:tc>
          <w:tcPr>
            <w:tcW w:w="2430" w:type="dxa"/>
            <w:shd w:val="clear" w:color="auto" w:fill="BFBFBF" w:themeFill="background1" w:themeFillShade="BF"/>
            <w:noWrap/>
            <w:vAlign w:val="bottom"/>
            <w:hideMark/>
          </w:tcPr>
          <w:p w14:paraId="2B132988" w14:textId="51342E1D" w:rsidR="00A039F9" w:rsidRPr="00A039F9" w:rsidRDefault="00A039F9" w:rsidP="00A039F9">
            <w:pPr>
              <w:spacing w:after="0" w:line="240" w:lineRule="auto"/>
              <w:rPr>
                <w:rFonts w:ascii="Calibri" w:eastAsia="Times New Roman" w:hAnsi="Calibri" w:cs="Calibri"/>
                <w:b/>
                <w:bCs/>
                <w:color w:val="000000"/>
              </w:rPr>
            </w:pPr>
            <w:r w:rsidRPr="6CE3D68C">
              <w:rPr>
                <w:rFonts w:ascii="Calibri" w:eastAsia="Times New Roman" w:hAnsi="Calibri" w:cs="Calibri"/>
                <w:b/>
                <w:color w:val="000000" w:themeColor="text1"/>
              </w:rPr>
              <w:t xml:space="preserve">C2-4 - </w:t>
            </w:r>
            <w:r w:rsidR="48A5B969" w:rsidRPr="6CE3D68C">
              <w:rPr>
                <w:rFonts w:ascii="Calibri" w:eastAsia="Times New Roman" w:hAnsi="Calibri" w:cs="Calibri"/>
                <w:b/>
                <w:bCs/>
                <w:color w:val="000000" w:themeColor="text1"/>
              </w:rPr>
              <w:t>Non-Biogenic</w:t>
            </w:r>
            <w:r w:rsidRPr="6CE3D68C">
              <w:rPr>
                <w:rFonts w:ascii="Calibri" w:eastAsia="Times New Roman" w:hAnsi="Calibri" w:cs="Calibri"/>
                <w:b/>
                <w:color w:val="000000" w:themeColor="text1"/>
              </w:rPr>
              <w:t xml:space="preserve"> Emissions</w:t>
            </w:r>
          </w:p>
        </w:tc>
        <w:tc>
          <w:tcPr>
            <w:tcW w:w="1941" w:type="dxa"/>
            <w:shd w:val="clear" w:color="auto" w:fill="BFBFBF" w:themeFill="background1" w:themeFillShade="BF"/>
            <w:noWrap/>
            <w:vAlign w:val="bottom"/>
            <w:hideMark/>
          </w:tcPr>
          <w:p w14:paraId="192D21AC" w14:textId="77777777" w:rsidR="00A039F9" w:rsidRPr="00A039F9" w:rsidRDefault="00A039F9" w:rsidP="00A039F9">
            <w:pPr>
              <w:spacing w:after="0" w:line="240" w:lineRule="auto"/>
              <w:rPr>
                <w:rFonts w:ascii="Calibri" w:eastAsia="Times New Roman" w:hAnsi="Calibri" w:cs="Calibri"/>
                <w:b/>
                <w:bCs/>
                <w:color w:val="000000"/>
              </w:rPr>
            </w:pPr>
            <w:r w:rsidRPr="00A039F9">
              <w:rPr>
                <w:rFonts w:ascii="Calibri" w:eastAsia="Times New Roman" w:hAnsi="Calibri" w:cs="Calibri"/>
                <w:b/>
                <w:bCs/>
                <w:color w:val="000000"/>
              </w:rPr>
              <w:t>C4-5 biogenic emissions</w:t>
            </w:r>
          </w:p>
        </w:tc>
        <w:tc>
          <w:tcPr>
            <w:tcW w:w="961" w:type="dxa"/>
            <w:shd w:val="clear" w:color="auto" w:fill="BFBFBF" w:themeFill="background1" w:themeFillShade="BF"/>
            <w:noWrap/>
            <w:vAlign w:val="bottom"/>
            <w:hideMark/>
          </w:tcPr>
          <w:p w14:paraId="73718019" w14:textId="77777777" w:rsidR="00A039F9" w:rsidRPr="00A039F9" w:rsidRDefault="00A039F9" w:rsidP="00A039F9">
            <w:pPr>
              <w:spacing w:after="0" w:line="240" w:lineRule="auto"/>
              <w:rPr>
                <w:rFonts w:ascii="Calibri" w:eastAsia="Times New Roman" w:hAnsi="Calibri" w:cs="Calibri"/>
                <w:b/>
                <w:bCs/>
                <w:color w:val="000000"/>
              </w:rPr>
            </w:pPr>
            <w:r w:rsidRPr="00A039F9">
              <w:rPr>
                <w:rFonts w:ascii="Calibri" w:eastAsia="Times New Roman" w:hAnsi="Calibri" w:cs="Calibri"/>
                <w:b/>
                <w:bCs/>
                <w:color w:val="000000"/>
              </w:rPr>
              <w:t>Module D</w:t>
            </w:r>
          </w:p>
        </w:tc>
        <w:tc>
          <w:tcPr>
            <w:tcW w:w="1730" w:type="dxa"/>
            <w:vMerge/>
            <w:vAlign w:val="center"/>
            <w:hideMark/>
          </w:tcPr>
          <w:p w14:paraId="644C3D42" w14:textId="77777777" w:rsidR="00A039F9" w:rsidRPr="00A039F9" w:rsidRDefault="00A039F9" w:rsidP="00A039F9">
            <w:pPr>
              <w:spacing w:after="0" w:line="240" w:lineRule="auto"/>
              <w:rPr>
                <w:rFonts w:ascii="Calibri" w:eastAsia="Times New Roman" w:hAnsi="Calibri" w:cs="Calibri"/>
                <w:b/>
                <w:bCs/>
                <w:color w:val="000000"/>
              </w:rPr>
            </w:pPr>
          </w:p>
        </w:tc>
      </w:tr>
      <w:tr w:rsidR="00A039F9" w:rsidRPr="00A039F9" w14:paraId="0691A879" w14:textId="77777777" w:rsidTr="00927427">
        <w:trPr>
          <w:trHeight w:val="200"/>
        </w:trPr>
        <w:tc>
          <w:tcPr>
            <w:tcW w:w="2506" w:type="dxa"/>
            <w:shd w:val="clear" w:color="auto" w:fill="FFFFFF" w:themeFill="background1"/>
            <w:noWrap/>
            <w:vAlign w:val="bottom"/>
            <w:hideMark/>
          </w:tcPr>
          <w:p w14:paraId="6374F724" w14:textId="77777777" w:rsidR="00A039F9" w:rsidRPr="00A039F9" w:rsidRDefault="00A039F9" w:rsidP="00A039F9">
            <w:pPr>
              <w:spacing w:after="0" w:line="240" w:lineRule="auto"/>
              <w:rPr>
                <w:rFonts w:ascii="Calibri" w:eastAsia="Times New Roman" w:hAnsi="Calibri" w:cs="Calibri"/>
                <w:color w:val="000000"/>
              </w:rPr>
            </w:pPr>
            <w:r w:rsidRPr="59E2F57A">
              <w:rPr>
                <w:rFonts w:ascii="Calibri" w:eastAsia="Times New Roman" w:hAnsi="Calibri" w:cs="Calibri"/>
                <w:color w:val="000000" w:themeColor="text1"/>
              </w:rPr>
              <w:t>process  (combustion)</w:t>
            </w:r>
          </w:p>
        </w:tc>
        <w:tc>
          <w:tcPr>
            <w:tcW w:w="2430" w:type="dxa"/>
            <w:shd w:val="clear" w:color="auto" w:fill="FFFFFF" w:themeFill="background1"/>
            <w:noWrap/>
            <w:vAlign w:val="bottom"/>
            <w:hideMark/>
          </w:tcPr>
          <w:p w14:paraId="193A0A8E"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0.044</w:t>
            </w:r>
          </w:p>
        </w:tc>
        <w:tc>
          <w:tcPr>
            <w:tcW w:w="1941" w:type="dxa"/>
            <w:shd w:val="clear" w:color="auto" w:fill="FFFFFF" w:themeFill="background1"/>
            <w:noWrap/>
            <w:vAlign w:val="bottom"/>
            <w:hideMark/>
          </w:tcPr>
          <w:p w14:paraId="62B3A155"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1" w:type="dxa"/>
            <w:shd w:val="clear" w:color="auto" w:fill="FFFFFF" w:themeFill="background1"/>
            <w:noWrap/>
            <w:vAlign w:val="bottom"/>
            <w:hideMark/>
          </w:tcPr>
          <w:p w14:paraId="2041191D"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0" w:type="dxa"/>
            <w:shd w:val="clear" w:color="auto" w:fill="FFFFFF" w:themeFill="background1"/>
            <w:noWrap/>
            <w:vAlign w:val="bottom"/>
            <w:hideMark/>
          </w:tcPr>
          <w:p w14:paraId="7C6D423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65200F3C" w14:textId="77777777" w:rsidTr="00927427">
        <w:trPr>
          <w:trHeight w:val="603"/>
        </w:trPr>
        <w:tc>
          <w:tcPr>
            <w:tcW w:w="2506" w:type="dxa"/>
            <w:shd w:val="clear" w:color="auto" w:fill="FFFFFF" w:themeFill="background1"/>
            <w:vAlign w:val="bottom"/>
            <w:hideMark/>
          </w:tcPr>
          <w:p w14:paraId="1CF8ECDF"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biogenic emissions from incineration</w:t>
            </w:r>
          </w:p>
        </w:tc>
        <w:tc>
          <w:tcPr>
            <w:tcW w:w="2430" w:type="dxa"/>
            <w:shd w:val="clear" w:color="auto" w:fill="FFFFFF" w:themeFill="background1"/>
            <w:noWrap/>
            <w:vAlign w:val="bottom"/>
            <w:hideMark/>
          </w:tcPr>
          <w:p w14:paraId="14A3E25C"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941" w:type="dxa"/>
            <w:shd w:val="clear" w:color="auto" w:fill="FFFFFF" w:themeFill="background1"/>
            <w:vAlign w:val="bottom"/>
            <w:hideMark/>
          </w:tcPr>
          <w:p w14:paraId="6E2F9180" w14:textId="31AF9438"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xml:space="preserve">biogenic carbon </w:t>
            </w:r>
            <w:r w:rsidR="00AB2009">
              <w:rPr>
                <w:rFonts w:ascii="Calibri" w:eastAsia="Times New Roman" w:hAnsi="Calibri" w:cs="Calibri"/>
                <w:color w:val="000000"/>
              </w:rPr>
              <w:t xml:space="preserve">dioxide equivalent </w:t>
            </w:r>
            <w:r w:rsidRPr="00A039F9">
              <w:rPr>
                <w:rFonts w:ascii="Calibri" w:eastAsia="Times New Roman" w:hAnsi="Calibri" w:cs="Calibri"/>
                <w:color w:val="000000"/>
              </w:rPr>
              <w:t xml:space="preserve">in wood </w:t>
            </w:r>
            <w:r w:rsidR="00AB2009">
              <w:rPr>
                <w:rFonts w:ascii="Calibri" w:eastAsia="Times New Roman" w:hAnsi="Calibri" w:cs="Calibri"/>
                <w:color w:val="000000"/>
              </w:rPr>
              <w:t>is released as an emission</w:t>
            </w:r>
          </w:p>
        </w:tc>
        <w:tc>
          <w:tcPr>
            <w:tcW w:w="961" w:type="dxa"/>
            <w:shd w:val="clear" w:color="auto" w:fill="FFFFFF" w:themeFill="background1"/>
            <w:noWrap/>
            <w:vAlign w:val="bottom"/>
            <w:hideMark/>
          </w:tcPr>
          <w:p w14:paraId="31EDD08A"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0" w:type="dxa"/>
            <w:shd w:val="clear" w:color="auto" w:fill="FFFFFF" w:themeFill="background1"/>
            <w:noWrap/>
            <w:vAlign w:val="bottom"/>
            <w:hideMark/>
          </w:tcPr>
          <w:p w14:paraId="0B660D7C"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09E9D47E" w14:textId="77777777" w:rsidTr="00927427">
        <w:trPr>
          <w:trHeight w:val="200"/>
        </w:trPr>
        <w:tc>
          <w:tcPr>
            <w:tcW w:w="2506" w:type="dxa"/>
            <w:shd w:val="clear" w:color="auto" w:fill="FFFFFF" w:themeFill="background1"/>
            <w:noWrap/>
            <w:vAlign w:val="bottom"/>
            <w:hideMark/>
          </w:tcPr>
          <w:p w14:paraId="19F54BB0" w14:textId="737D4473"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elec credit (CO2</w:t>
            </w:r>
            <w:r w:rsidR="00EA767F">
              <w:rPr>
                <w:rFonts w:ascii="Calibri" w:eastAsia="Times New Roman" w:hAnsi="Calibri" w:cs="Calibri"/>
                <w:color w:val="000000"/>
              </w:rPr>
              <w:t>e</w:t>
            </w:r>
            <w:r w:rsidRPr="00A039F9">
              <w:rPr>
                <w:rFonts w:ascii="Calibri" w:eastAsia="Times New Roman" w:hAnsi="Calibri" w:cs="Calibri"/>
                <w:color w:val="000000"/>
              </w:rPr>
              <w:t xml:space="preserve"> fossil)</w:t>
            </w:r>
          </w:p>
        </w:tc>
        <w:tc>
          <w:tcPr>
            <w:tcW w:w="2430" w:type="dxa"/>
            <w:shd w:val="clear" w:color="auto" w:fill="FFFFFF" w:themeFill="background1"/>
            <w:noWrap/>
            <w:vAlign w:val="bottom"/>
            <w:hideMark/>
          </w:tcPr>
          <w:p w14:paraId="72655F1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941" w:type="dxa"/>
            <w:shd w:val="clear" w:color="auto" w:fill="FFFFFF" w:themeFill="background1"/>
            <w:noWrap/>
            <w:vAlign w:val="bottom"/>
            <w:hideMark/>
          </w:tcPr>
          <w:p w14:paraId="35FD485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1" w:type="dxa"/>
            <w:shd w:val="clear" w:color="auto" w:fill="FFFFFF" w:themeFill="background1"/>
            <w:noWrap/>
            <w:vAlign w:val="bottom"/>
            <w:hideMark/>
          </w:tcPr>
          <w:p w14:paraId="50CC6BB2"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-0.694</w:t>
            </w:r>
          </w:p>
        </w:tc>
        <w:tc>
          <w:tcPr>
            <w:tcW w:w="1730" w:type="dxa"/>
            <w:shd w:val="clear" w:color="auto" w:fill="FFFFFF" w:themeFill="background1"/>
            <w:noWrap/>
            <w:vAlign w:val="bottom"/>
            <w:hideMark/>
          </w:tcPr>
          <w:p w14:paraId="4D4C79CF"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239F5E27" w14:textId="77777777" w:rsidTr="00927427">
        <w:trPr>
          <w:trHeight w:val="200"/>
        </w:trPr>
        <w:tc>
          <w:tcPr>
            <w:tcW w:w="2506" w:type="dxa"/>
            <w:shd w:val="clear" w:color="auto" w:fill="FFFFFF" w:themeFill="background1"/>
            <w:noWrap/>
            <w:vAlign w:val="bottom"/>
            <w:hideMark/>
          </w:tcPr>
          <w:p w14:paraId="6A899487"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elec credit (CH4 fossil)</w:t>
            </w:r>
          </w:p>
        </w:tc>
        <w:tc>
          <w:tcPr>
            <w:tcW w:w="2430" w:type="dxa"/>
            <w:shd w:val="clear" w:color="auto" w:fill="FFFFFF" w:themeFill="background1"/>
            <w:noWrap/>
            <w:vAlign w:val="bottom"/>
            <w:hideMark/>
          </w:tcPr>
          <w:p w14:paraId="3B13E612"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941" w:type="dxa"/>
            <w:shd w:val="clear" w:color="auto" w:fill="FFFFFF" w:themeFill="background1"/>
            <w:noWrap/>
            <w:vAlign w:val="bottom"/>
            <w:hideMark/>
          </w:tcPr>
          <w:p w14:paraId="056E1104"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1" w:type="dxa"/>
            <w:shd w:val="clear" w:color="auto" w:fill="FFFFFF" w:themeFill="background1"/>
            <w:noWrap/>
            <w:vAlign w:val="bottom"/>
            <w:hideMark/>
          </w:tcPr>
          <w:p w14:paraId="6A8F7D1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0" w:type="dxa"/>
            <w:shd w:val="clear" w:color="auto" w:fill="FFFFFF" w:themeFill="background1"/>
            <w:noWrap/>
            <w:vAlign w:val="bottom"/>
            <w:hideMark/>
          </w:tcPr>
          <w:p w14:paraId="1DBE2BB4"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3622F69D" w14:textId="77777777" w:rsidTr="00927427">
        <w:trPr>
          <w:trHeight w:val="200"/>
        </w:trPr>
        <w:tc>
          <w:tcPr>
            <w:tcW w:w="2506" w:type="dxa"/>
            <w:shd w:val="clear" w:color="auto" w:fill="FFFFFF" w:themeFill="background1"/>
            <w:noWrap/>
            <w:vAlign w:val="bottom"/>
            <w:hideMark/>
          </w:tcPr>
          <w:p w14:paraId="33EBB5C4"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steam credit</w:t>
            </w:r>
          </w:p>
        </w:tc>
        <w:tc>
          <w:tcPr>
            <w:tcW w:w="2430" w:type="dxa"/>
            <w:shd w:val="clear" w:color="auto" w:fill="FFFFFF" w:themeFill="background1"/>
            <w:noWrap/>
            <w:vAlign w:val="bottom"/>
            <w:hideMark/>
          </w:tcPr>
          <w:p w14:paraId="74A8F17F"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941" w:type="dxa"/>
            <w:shd w:val="clear" w:color="auto" w:fill="FFFFFF" w:themeFill="background1"/>
            <w:noWrap/>
            <w:vAlign w:val="bottom"/>
            <w:hideMark/>
          </w:tcPr>
          <w:p w14:paraId="1045986A"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1" w:type="dxa"/>
            <w:shd w:val="clear" w:color="auto" w:fill="FFFFFF" w:themeFill="background1"/>
            <w:noWrap/>
            <w:vAlign w:val="bottom"/>
            <w:hideMark/>
          </w:tcPr>
          <w:p w14:paraId="58F4D6F9"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0" w:type="dxa"/>
            <w:shd w:val="clear" w:color="auto" w:fill="FFFFFF" w:themeFill="background1"/>
            <w:noWrap/>
            <w:vAlign w:val="bottom"/>
            <w:hideMark/>
          </w:tcPr>
          <w:p w14:paraId="43E7FEB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r w:rsidR="00A039F9" w:rsidRPr="00A039F9" w14:paraId="7D46B797" w14:textId="77777777" w:rsidTr="00927427">
        <w:trPr>
          <w:trHeight w:val="205"/>
        </w:trPr>
        <w:tc>
          <w:tcPr>
            <w:tcW w:w="2506" w:type="dxa"/>
            <w:shd w:val="clear" w:color="auto" w:fill="FFFFFF" w:themeFill="background1"/>
            <w:noWrap/>
            <w:vAlign w:val="bottom"/>
            <w:hideMark/>
          </w:tcPr>
          <w:p w14:paraId="765BB9DA"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transport</w:t>
            </w:r>
          </w:p>
        </w:tc>
        <w:tc>
          <w:tcPr>
            <w:tcW w:w="2430" w:type="dxa"/>
            <w:shd w:val="clear" w:color="auto" w:fill="FFFFFF" w:themeFill="background1"/>
            <w:noWrap/>
            <w:vAlign w:val="bottom"/>
            <w:hideMark/>
          </w:tcPr>
          <w:p w14:paraId="37F5D1B6" w14:textId="77777777" w:rsidR="00A039F9" w:rsidRPr="00A039F9" w:rsidRDefault="00A039F9" w:rsidP="00A039F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0.011</w:t>
            </w:r>
          </w:p>
        </w:tc>
        <w:tc>
          <w:tcPr>
            <w:tcW w:w="1941" w:type="dxa"/>
            <w:shd w:val="clear" w:color="auto" w:fill="FFFFFF" w:themeFill="background1"/>
            <w:noWrap/>
            <w:vAlign w:val="bottom"/>
            <w:hideMark/>
          </w:tcPr>
          <w:p w14:paraId="6C7B1426"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961" w:type="dxa"/>
            <w:shd w:val="clear" w:color="auto" w:fill="FFFFFF" w:themeFill="background1"/>
            <w:noWrap/>
            <w:vAlign w:val="bottom"/>
            <w:hideMark/>
          </w:tcPr>
          <w:p w14:paraId="48C0D843"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 </w:t>
            </w:r>
          </w:p>
        </w:tc>
        <w:tc>
          <w:tcPr>
            <w:tcW w:w="1730" w:type="dxa"/>
            <w:shd w:val="clear" w:color="auto" w:fill="FFFFFF" w:themeFill="background1"/>
            <w:noWrap/>
            <w:vAlign w:val="bottom"/>
            <w:hideMark/>
          </w:tcPr>
          <w:p w14:paraId="29354FE4" w14:textId="77777777" w:rsidR="00A039F9" w:rsidRPr="00A039F9" w:rsidRDefault="00A039F9" w:rsidP="00A039F9">
            <w:pPr>
              <w:spacing w:after="0" w:line="240" w:lineRule="auto"/>
              <w:rPr>
                <w:rFonts w:ascii="Calibri" w:eastAsia="Times New Roman" w:hAnsi="Calibri" w:cs="Calibri"/>
                <w:color w:val="000000"/>
              </w:rPr>
            </w:pPr>
            <w:r w:rsidRPr="00A039F9">
              <w:rPr>
                <w:rFonts w:ascii="Calibri" w:eastAsia="Times New Roman" w:hAnsi="Calibri" w:cs="Calibri"/>
                <w:color w:val="000000"/>
              </w:rPr>
              <w:t>kgCO2e/kgODW</w:t>
            </w:r>
          </w:p>
        </w:tc>
      </w:tr>
    </w:tbl>
    <w:p w14:paraId="0E538DE3" w14:textId="77777777" w:rsidR="00A039F9" w:rsidRDefault="00A039F9" w:rsidP="00A039F9"/>
    <w:p w14:paraId="5227757D" w14:textId="2AD221E8" w:rsidR="005D2360" w:rsidRDefault="00A16EBE" w:rsidP="00A16EBE">
      <w:pPr>
        <w:pStyle w:val="ListParagraph"/>
        <w:numPr>
          <w:ilvl w:val="2"/>
          <w:numId w:val="4"/>
        </w:numPr>
      </w:pPr>
      <w:r w:rsidRPr="00A16EBE">
        <w:rPr>
          <w:b/>
          <w:bCs/>
        </w:rPr>
        <w:t xml:space="preserve">Scenario 5 - </w:t>
      </w:r>
      <w:r w:rsidR="00CA1338" w:rsidRPr="00A16EBE">
        <w:rPr>
          <w:b/>
          <w:bCs/>
        </w:rPr>
        <w:t>Recycling</w:t>
      </w:r>
      <w:r w:rsidRPr="00A16EBE">
        <w:rPr>
          <w:b/>
          <w:bCs/>
        </w:rPr>
        <w:t>:</w:t>
      </w:r>
      <w:r>
        <w:t xml:space="preserve"> </w:t>
      </w:r>
      <w:r w:rsidR="00FF1178">
        <w:t>For EPA WARM, when</w:t>
      </w:r>
      <w:r w:rsidR="005D2360">
        <w:t xml:space="preserve"> a material is recycled, it is used in place of virgin inputs in the manufacturing process, rather than being disposed of and managed as waste. </w:t>
      </w:r>
      <w:r w:rsidR="00FF1178">
        <w:t>The EPA WARM model accounts for t</w:t>
      </w:r>
      <w:r w:rsidR="005D2360">
        <w:t xml:space="preserve">ransportation-related </w:t>
      </w:r>
      <w:r w:rsidR="00FF1178">
        <w:t xml:space="preserve">emissions </w:t>
      </w:r>
      <w:r w:rsidR="005D2360">
        <w:t>from recycling</w:t>
      </w:r>
      <w:r w:rsidR="00FF1178">
        <w:t xml:space="preserve"> for transit to the </w:t>
      </w:r>
      <w:r w:rsidR="005D2360">
        <w:t>recycling center,</w:t>
      </w:r>
      <w:r w:rsidR="00FF1178">
        <w:t xml:space="preserve"> and re-transport</w:t>
      </w:r>
      <w:r w:rsidR="005D2360">
        <w:t xml:space="preserve"> of recycled materials to remanufacturing</w:t>
      </w:r>
      <w:r w:rsidR="00FF1178">
        <w:t xml:space="preserve">.  EPA WARM also calculates the </w:t>
      </w:r>
      <w:r w:rsidR="005D2360">
        <w:t xml:space="preserve">avoided impacts from </w:t>
      </w:r>
      <w:r w:rsidR="00FF1178">
        <w:t xml:space="preserve">the </w:t>
      </w:r>
      <w:r w:rsidR="005D2360">
        <w:t xml:space="preserve">transport of raw materials and </w:t>
      </w:r>
      <w:r w:rsidR="00FF1178">
        <w:t xml:space="preserve">the emissions associated with the production of </w:t>
      </w:r>
      <w:r w:rsidR="005D2360">
        <w:t>virgin material</w:t>
      </w:r>
      <w:r w:rsidR="00FF1178">
        <w:t xml:space="preserve">.  </w:t>
      </w:r>
      <w:r w:rsidR="00CD7191">
        <w:t>To calculate the avoided production burden, EPA WARM considers dimensional lumber a</w:t>
      </w:r>
      <w:r w:rsidR="00FF1178">
        <w:t xml:space="preserve"> closed-loop product</w:t>
      </w:r>
      <w:r w:rsidR="00CD7191">
        <w:t xml:space="preserve"> and takes the net difference between the GHG emissions from manufacturing a material with 100 percent recycled inputs, and the GHG emissions from manufacturing an equivalent amount of the material 100 percent </w:t>
      </w:r>
      <w:commentRangeStart w:id="56"/>
      <w:commentRangeStart w:id="57"/>
      <w:r w:rsidR="00CD7191">
        <w:t>virgin inputs</w:t>
      </w:r>
      <w:r w:rsidR="00565AA5">
        <w:t xml:space="preserve"> </w:t>
      </w:r>
      <w:sdt>
        <w:sdtPr>
          <w:id w:val="130915172"/>
          <w:citation/>
        </w:sdtPr>
        <w:sdtContent>
          <w:r w:rsidR="00565AA5">
            <w:fldChar w:fldCharType="begin"/>
          </w:r>
          <w:r w:rsidR="00565AA5">
            <w:instrText xml:space="preserve"> CITATION USE20 \l 1033 </w:instrText>
          </w:r>
          <w:r w:rsidR="00565AA5">
            <w:fldChar w:fldCharType="separate"/>
          </w:r>
          <w:r w:rsidR="00565AA5">
            <w:rPr>
              <w:noProof/>
            </w:rPr>
            <w:t>(US Environmental Protection Agency - Office of Resource Conservation and Recovery, 2020)</w:t>
          </w:r>
          <w:r w:rsidR="00565AA5">
            <w:fldChar w:fldCharType="end"/>
          </w:r>
        </w:sdtContent>
      </w:sdt>
      <w:r w:rsidR="00CD7191">
        <w:t>.</w:t>
      </w:r>
      <w:commentRangeEnd w:id="56"/>
      <w:r w:rsidR="00CD7191">
        <w:rPr>
          <w:rStyle w:val="CommentReference"/>
        </w:rPr>
        <w:commentReference w:id="56"/>
      </w:r>
      <w:commentRangeEnd w:id="57"/>
      <w:r w:rsidR="00CD7191">
        <w:rPr>
          <w:rStyle w:val="CommentReference"/>
        </w:rPr>
        <w:commentReference w:id="57"/>
      </w:r>
      <w:r w:rsidR="00CD7191">
        <w:t xml:space="preserve">  </w:t>
      </w:r>
      <w:r>
        <w:fldChar w:fldCharType="begin"/>
      </w:r>
      <w:r>
        <w:instrText xml:space="preserve"> REF _Ref77112602 \h </w:instrText>
      </w:r>
      <w:r>
        <w:fldChar w:fldCharType="separate"/>
      </w:r>
      <w:r>
        <w:t xml:space="preserve">Table </w:t>
      </w:r>
      <w:r>
        <w:rPr>
          <w:noProof/>
        </w:rPr>
        <w:t>6</w:t>
      </w:r>
      <w:r>
        <w:fldChar w:fldCharType="end"/>
      </w:r>
      <w:r w:rsidR="00CD7191">
        <w:t xml:space="preserve"> shows the factors split out between reprocessing and transportation emissions in Module C2-4, and the avoided transportation and production burden credits in Module D.</w:t>
      </w:r>
    </w:p>
    <w:p w14:paraId="2C347617" w14:textId="77777777" w:rsidR="00BC68C6" w:rsidRDefault="00BC68C6" w:rsidP="00A16EBE">
      <w:pPr>
        <w:pStyle w:val="ListParagraph"/>
        <w:numPr>
          <w:ilvl w:val="2"/>
          <w:numId w:val="4"/>
        </w:numPr>
      </w:pPr>
    </w:p>
    <w:p w14:paraId="3E66CF4E" w14:textId="4FFF7563" w:rsidR="00CD7191" w:rsidRDefault="00CD7191" w:rsidP="00CD7191"/>
    <w:p w14:paraId="59840039" w14:textId="5D91CFCD" w:rsidR="00A16EBE" w:rsidRDefault="00A16EBE" w:rsidP="00A16EBE">
      <w:pPr>
        <w:pStyle w:val="Caption"/>
        <w:keepNext/>
      </w:pPr>
      <w:bookmarkStart w:id="58" w:name="_Ref77112602"/>
      <w:r>
        <w:t xml:space="preserve">Table </w:t>
      </w:r>
      <w:r>
        <w:fldChar w:fldCharType="begin"/>
      </w:r>
      <w:r>
        <w:instrText>SEQ Table \* ARABIC</w:instrText>
      </w:r>
      <w:r>
        <w:fldChar w:fldCharType="separate"/>
      </w:r>
      <w:r w:rsidR="004C5D4E">
        <w:rPr>
          <w:noProof/>
        </w:rPr>
        <w:t>7</w:t>
      </w:r>
      <w:r>
        <w:fldChar w:fldCharType="end"/>
      </w:r>
      <w:bookmarkEnd w:id="58"/>
      <w:r>
        <w:t xml:space="preserve"> </w:t>
      </w:r>
      <w:r w:rsidRPr="00474455">
        <w:t>EPA WARM Model Factors for Recycling Scenario</w:t>
      </w:r>
    </w:p>
    <w:tbl>
      <w:tblPr>
        <w:tblW w:w="966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720"/>
        <w:gridCol w:w="1910"/>
        <w:gridCol w:w="1852"/>
        <w:gridCol w:w="1332"/>
        <w:gridCol w:w="1852"/>
      </w:tblGrid>
      <w:tr w:rsidR="00CD7191" w:rsidRPr="00CD7191" w14:paraId="675D1CA2" w14:textId="77777777" w:rsidTr="00927427">
        <w:trPr>
          <w:trHeight w:val="229"/>
        </w:trPr>
        <w:tc>
          <w:tcPr>
            <w:tcW w:w="2720" w:type="dxa"/>
            <w:vMerge w:val="restart"/>
            <w:shd w:val="clear" w:color="auto" w:fill="BFBFBF" w:themeFill="background1" w:themeFillShade="BF"/>
            <w:noWrap/>
            <w:vAlign w:val="bottom"/>
            <w:hideMark/>
          </w:tcPr>
          <w:p w14:paraId="2EED0018" w14:textId="77777777" w:rsidR="00CD7191" w:rsidRPr="00CD7191" w:rsidRDefault="00CD7191" w:rsidP="00CD7191">
            <w:pPr>
              <w:spacing w:after="0" w:line="240" w:lineRule="auto"/>
              <w:jc w:val="center"/>
              <w:rPr>
                <w:rFonts w:ascii="Calibri" w:eastAsia="Times New Roman" w:hAnsi="Calibri" w:cs="Calibri"/>
                <w:b/>
                <w:bCs/>
                <w:color w:val="000000"/>
              </w:rPr>
            </w:pPr>
            <w:r w:rsidRPr="00CD7191">
              <w:rPr>
                <w:rFonts w:ascii="Calibri" w:eastAsia="Times New Roman" w:hAnsi="Calibri" w:cs="Calibri"/>
                <w:b/>
                <w:bCs/>
                <w:color w:val="000000"/>
              </w:rPr>
              <w:t>Source</w:t>
            </w:r>
          </w:p>
        </w:tc>
        <w:tc>
          <w:tcPr>
            <w:tcW w:w="5094" w:type="dxa"/>
            <w:gridSpan w:val="3"/>
            <w:shd w:val="clear" w:color="auto" w:fill="BFBFBF" w:themeFill="background1" w:themeFillShade="BF"/>
            <w:noWrap/>
            <w:vAlign w:val="bottom"/>
            <w:hideMark/>
          </w:tcPr>
          <w:p w14:paraId="55296F7C" w14:textId="77777777" w:rsidR="00CD7191" w:rsidRPr="00CD7191" w:rsidRDefault="00CD7191" w:rsidP="00CD7191">
            <w:pPr>
              <w:spacing w:after="0" w:line="240" w:lineRule="auto"/>
              <w:jc w:val="center"/>
              <w:rPr>
                <w:rFonts w:ascii="Calibri" w:eastAsia="Times New Roman" w:hAnsi="Calibri" w:cs="Calibri"/>
                <w:b/>
                <w:bCs/>
                <w:color w:val="000000"/>
              </w:rPr>
            </w:pPr>
            <w:r w:rsidRPr="00CD7191">
              <w:rPr>
                <w:rFonts w:ascii="Calibri" w:eastAsia="Times New Roman" w:hAnsi="Calibri" w:cs="Calibri"/>
                <w:b/>
                <w:bCs/>
                <w:color w:val="000000"/>
              </w:rPr>
              <w:t>Recycling</w:t>
            </w:r>
          </w:p>
        </w:tc>
        <w:tc>
          <w:tcPr>
            <w:tcW w:w="1852" w:type="dxa"/>
            <w:vMerge w:val="restart"/>
            <w:shd w:val="clear" w:color="auto" w:fill="BFBFBF" w:themeFill="background1" w:themeFillShade="BF"/>
            <w:noWrap/>
            <w:vAlign w:val="bottom"/>
            <w:hideMark/>
          </w:tcPr>
          <w:p w14:paraId="31A6CEED" w14:textId="77777777" w:rsidR="00CD7191" w:rsidRPr="00CD7191" w:rsidRDefault="00CD7191" w:rsidP="00CD7191">
            <w:pPr>
              <w:spacing w:after="0" w:line="240" w:lineRule="auto"/>
              <w:jc w:val="center"/>
              <w:rPr>
                <w:rFonts w:ascii="Calibri" w:eastAsia="Times New Roman" w:hAnsi="Calibri" w:cs="Calibri"/>
                <w:b/>
                <w:bCs/>
                <w:color w:val="000000"/>
              </w:rPr>
            </w:pPr>
            <w:r w:rsidRPr="00CD7191">
              <w:rPr>
                <w:rFonts w:ascii="Calibri" w:eastAsia="Times New Roman" w:hAnsi="Calibri" w:cs="Calibri"/>
                <w:b/>
                <w:bCs/>
                <w:color w:val="000000"/>
              </w:rPr>
              <w:t>unit</w:t>
            </w:r>
          </w:p>
        </w:tc>
      </w:tr>
      <w:tr w:rsidR="00CD7191" w:rsidRPr="00CD7191" w14:paraId="3A334B21" w14:textId="77777777" w:rsidTr="00927427">
        <w:trPr>
          <w:trHeight w:val="459"/>
        </w:trPr>
        <w:tc>
          <w:tcPr>
            <w:tcW w:w="2720" w:type="dxa"/>
            <w:vMerge/>
            <w:vAlign w:val="center"/>
            <w:hideMark/>
          </w:tcPr>
          <w:p w14:paraId="7A205814" w14:textId="77777777" w:rsidR="00CD7191" w:rsidRPr="00CD7191" w:rsidRDefault="00CD7191" w:rsidP="00CD7191">
            <w:pPr>
              <w:spacing w:after="0" w:line="240" w:lineRule="auto"/>
              <w:rPr>
                <w:rFonts w:ascii="Calibri" w:eastAsia="Times New Roman" w:hAnsi="Calibri" w:cs="Calibri"/>
                <w:b/>
                <w:bCs/>
                <w:color w:val="000000"/>
              </w:rPr>
            </w:pPr>
          </w:p>
        </w:tc>
        <w:tc>
          <w:tcPr>
            <w:tcW w:w="1910" w:type="dxa"/>
            <w:shd w:val="clear" w:color="auto" w:fill="BFBFBF" w:themeFill="background1" w:themeFillShade="BF"/>
            <w:vAlign w:val="bottom"/>
            <w:hideMark/>
          </w:tcPr>
          <w:p w14:paraId="45DFE051" w14:textId="59D9EB25" w:rsidR="00CD7191" w:rsidRPr="00CD7191" w:rsidRDefault="00CD7191" w:rsidP="00CD7191">
            <w:pPr>
              <w:spacing w:after="0" w:line="240" w:lineRule="auto"/>
              <w:rPr>
                <w:rFonts w:ascii="Calibri" w:eastAsia="Times New Roman" w:hAnsi="Calibri" w:cs="Calibri"/>
                <w:b/>
                <w:bCs/>
                <w:color w:val="000000"/>
              </w:rPr>
            </w:pPr>
            <w:r w:rsidRPr="2C3A99B1">
              <w:rPr>
                <w:rFonts w:ascii="Calibri" w:eastAsia="Times New Roman" w:hAnsi="Calibri" w:cs="Calibri"/>
                <w:b/>
                <w:color w:val="000000" w:themeColor="text1"/>
              </w:rPr>
              <w:t xml:space="preserve">C2-4 - </w:t>
            </w:r>
            <w:r w:rsidR="326499A1" w:rsidRPr="2C3A99B1">
              <w:rPr>
                <w:rFonts w:ascii="Calibri" w:eastAsia="Times New Roman" w:hAnsi="Calibri" w:cs="Calibri"/>
                <w:b/>
                <w:bCs/>
                <w:color w:val="000000" w:themeColor="text1"/>
              </w:rPr>
              <w:t>Non-Biogenic</w:t>
            </w:r>
            <w:r w:rsidRPr="2C3A99B1">
              <w:rPr>
                <w:rFonts w:ascii="Calibri" w:eastAsia="Times New Roman" w:hAnsi="Calibri" w:cs="Calibri"/>
                <w:b/>
                <w:color w:val="000000" w:themeColor="text1"/>
              </w:rPr>
              <w:t xml:space="preserve"> Emissions</w:t>
            </w:r>
          </w:p>
        </w:tc>
        <w:tc>
          <w:tcPr>
            <w:tcW w:w="1852" w:type="dxa"/>
            <w:shd w:val="clear" w:color="auto" w:fill="BFBFBF" w:themeFill="background1" w:themeFillShade="BF"/>
            <w:vAlign w:val="bottom"/>
            <w:hideMark/>
          </w:tcPr>
          <w:p w14:paraId="38AD5061" w14:textId="77777777" w:rsidR="00CD7191" w:rsidRPr="00CD7191" w:rsidRDefault="00CD7191" w:rsidP="00CD7191">
            <w:pPr>
              <w:spacing w:after="0" w:line="240" w:lineRule="auto"/>
              <w:rPr>
                <w:rFonts w:ascii="Calibri" w:eastAsia="Times New Roman" w:hAnsi="Calibri" w:cs="Calibri"/>
                <w:b/>
                <w:bCs/>
                <w:color w:val="000000"/>
              </w:rPr>
            </w:pPr>
            <w:r w:rsidRPr="00CD7191">
              <w:rPr>
                <w:rFonts w:ascii="Calibri" w:eastAsia="Times New Roman" w:hAnsi="Calibri" w:cs="Calibri"/>
                <w:b/>
                <w:bCs/>
                <w:color w:val="000000"/>
              </w:rPr>
              <w:t>C4-5 biogenic emissions</w:t>
            </w:r>
          </w:p>
        </w:tc>
        <w:tc>
          <w:tcPr>
            <w:tcW w:w="1332" w:type="dxa"/>
            <w:shd w:val="clear" w:color="auto" w:fill="BFBFBF" w:themeFill="background1" w:themeFillShade="BF"/>
            <w:vAlign w:val="bottom"/>
            <w:hideMark/>
          </w:tcPr>
          <w:p w14:paraId="6BF1619E" w14:textId="77777777" w:rsidR="00CD7191" w:rsidRPr="00CD7191" w:rsidRDefault="00CD7191" w:rsidP="00CD7191">
            <w:pPr>
              <w:spacing w:after="0" w:line="240" w:lineRule="auto"/>
              <w:rPr>
                <w:rFonts w:ascii="Calibri" w:eastAsia="Times New Roman" w:hAnsi="Calibri" w:cs="Calibri"/>
                <w:b/>
                <w:bCs/>
                <w:color w:val="000000"/>
              </w:rPr>
            </w:pPr>
            <w:r w:rsidRPr="00CD7191">
              <w:rPr>
                <w:rFonts w:ascii="Calibri" w:eastAsia="Times New Roman" w:hAnsi="Calibri" w:cs="Calibri"/>
                <w:b/>
                <w:bCs/>
                <w:color w:val="000000"/>
              </w:rPr>
              <w:t>Module D</w:t>
            </w:r>
          </w:p>
        </w:tc>
        <w:tc>
          <w:tcPr>
            <w:tcW w:w="1852" w:type="dxa"/>
            <w:vMerge/>
            <w:vAlign w:val="center"/>
            <w:hideMark/>
          </w:tcPr>
          <w:p w14:paraId="263AD613" w14:textId="77777777" w:rsidR="00CD7191" w:rsidRPr="00CD7191" w:rsidRDefault="00CD7191" w:rsidP="00CD7191">
            <w:pPr>
              <w:spacing w:after="0" w:line="240" w:lineRule="auto"/>
              <w:rPr>
                <w:rFonts w:ascii="Calibri" w:eastAsia="Times New Roman" w:hAnsi="Calibri" w:cs="Calibri"/>
                <w:b/>
                <w:bCs/>
                <w:color w:val="000000"/>
              </w:rPr>
            </w:pPr>
          </w:p>
        </w:tc>
      </w:tr>
      <w:tr w:rsidR="00CD7191" w:rsidRPr="00CD7191" w14:paraId="46789D43" w14:textId="77777777" w:rsidTr="00927427">
        <w:trPr>
          <w:trHeight w:val="459"/>
        </w:trPr>
        <w:tc>
          <w:tcPr>
            <w:tcW w:w="2720" w:type="dxa"/>
            <w:shd w:val="clear" w:color="auto" w:fill="auto"/>
            <w:vAlign w:val="bottom"/>
            <w:hideMark/>
          </w:tcPr>
          <w:p w14:paraId="5CD5FB9E"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reprocessing and transportation</w:t>
            </w:r>
          </w:p>
        </w:tc>
        <w:tc>
          <w:tcPr>
            <w:tcW w:w="1910" w:type="dxa"/>
            <w:shd w:val="clear" w:color="auto" w:fill="FFFFFF" w:themeFill="background1"/>
            <w:noWrap/>
            <w:vAlign w:val="bottom"/>
            <w:hideMark/>
          </w:tcPr>
          <w:p w14:paraId="1822B2F2" w14:textId="77777777" w:rsidR="00CD7191" w:rsidRPr="00CD7191" w:rsidRDefault="00CD7191" w:rsidP="00CD7191">
            <w:pPr>
              <w:spacing w:after="0" w:line="240" w:lineRule="auto"/>
              <w:jc w:val="right"/>
              <w:rPr>
                <w:rFonts w:ascii="Calibri" w:eastAsia="Times New Roman" w:hAnsi="Calibri" w:cs="Calibri"/>
                <w:color w:val="000000"/>
              </w:rPr>
            </w:pPr>
            <w:r w:rsidRPr="00CD7191">
              <w:rPr>
                <w:rFonts w:ascii="Calibri" w:eastAsia="Times New Roman" w:hAnsi="Calibri" w:cs="Calibri"/>
                <w:color w:val="000000"/>
              </w:rPr>
              <w:t>0.364</w:t>
            </w:r>
          </w:p>
        </w:tc>
        <w:tc>
          <w:tcPr>
            <w:tcW w:w="1852" w:type="dxa"/>
            <w:shd w:val="clear" w:color="auto" w:fill="FFFFFF" w:themeFill="background1"/>
            <w:noWrap/>
            <w:vAlign w:val="bottom"/>
            <w:hideMark/>
          </w:tcPr>
          <w:p w14:paraId="06379987"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 </w:t>
            </w:r>
          </w:p>
        </w:tc>
        <w:tc>
          <w:tcPr>
            <w:tcW w:w="1332" w:type="dxa"/>
            <w:shd w:val="clear" w:color="auto" w:fill="FFFFFF" w:themeFill="background1"/>
            <w:noWrap/>
            <w:vAlign w:val="bottom"/>
            <w:hideMark/>
          </w:tcPr>
          <w:p w14:paraId="1E097895"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 </w:t>
            </w:r>
          </w:p>
        </w:tc>
        <w:tc>
          <w:tcPr>
            <w:tcW w:w="1852" w:type="dxa"/>
            <w:shd w:val="clear" w:color="auto" w:fill="auto"/>
            <w:noWrap/>
            <w:vAlign w:val="bottom"/>
            <w:hideMark/>
          </w:tcPr>
          <w:p w14:paraId="6C63A9DE"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kgCO2e/kgODW</w:t>
            </w:r>
          </w:p>
        </w:tc>
      </w:tr>
      <w:tr w:rsidR="00CD7191" w:rsidRPr="00CD7191" w14:paraId="10A6E792" w14:textId="77777777" w:rsidTr="00927427">
        <w:trPr>
          <w:trHeight w:val="466"/>
        </w:trPr>
        <w:tc>
          <w:tcPr>
            <w:tcW w:w="2720" w:type="dxa"/>
            <w:shd w:val="clear" w:color="auto" w:fill="auto"/>
            <w:vAlign w:val="bottom"/>
            <w:hideMark/>
          </w:tcPr>
          <w:p w14:paraId="1C35F7AC"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avoided transportation and production burden</w:t>
            </w:r>
          </w:p>
        </w:tc>
        <w:tc>
          <w:tcPr>
            <w:tcW w:w="1910" w:type="dxa"/>
            <w:shd w:val="clear" w:color="auto" w:fill="FFFFFF" w:themeFill="background1"/>
            <w:noWrap/>
            <w:vAlign w:val="bottom"/>
            <w:hideMark/>
          </w:tcPr>
          <w:p w14:paraId="5D6B3D47"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 </w:t>
            </w:r>
          </w:p>
        </w:tc>
        <w:tc>
          <w:tcPr>
            <w:tcW w:w="1852" w:type="dxa"/>
            <w:shd w:val="clear" w:color="auto" w:fill="FFFFFF" w:themeFill="background1"/>
            <w:noWrap/>
            <w:vAlign w:val="bottom"/>
            <w:hideMark/>
          </w:tcPr>
          <w:p w14:paraId="761AA4AE"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 </w:t>
            </w:r>
          </w:p>
        </w:tc>
        <w:tc>
          <w:tcPr>
            <w:tcW w:w="1332" w:type="dxa"/>
            <w:shd w:val="clear" w:color="auto" w:fill="FFFFFF" w:themeFill="background1"/>
            <w:noWrap/>
            <w:vAlign w:val="bottom"/>
            <w:hideMark/>
          </w:tcPr>
          <w:p w14:paraId="772CA9E2" w14:textId="77777777" w:rsidR="00CD7191" w:rsidRPr="00CD7191" w:rsidRDefault="00CD7191" w:rsidP="00CD7191">
            <w:pPr>
              <w:spacing w:after="0" w:line="240" w:lineRule="auto"/>
              <w:jc w:val="right"/>
              <w:rPr>
                <w:rFonts w:ascii="Calibri" w:eastAsia="Times New Roman" w:hAnsi="Calibri" w:cs="Calibri"/>
                <w:color w:val="000000"/>
              </w:rPr>
            </w:pPr>
            <w:r w:rsidRPr="00CD7191">
              <w:rPr>
                <w:rFonts w:ascii="Calibri" w:eastAsia="Times New Roman" w:hAnsi="Calibri" w:cs="Calibri"/>
                <w:color w:val="000000"/>
              </w:rPr>
              <w:t>-0.121</w:t>
            </w:r>
          </w:p>
        </w:tc>
        <w:tc>
          <w:tcPr>
            <w:tcW w:w="1852" w:type="dxa"/>
            <w:shd w:val="clear" w:color="auto" w:fill="auto"/>
            <w:noWrap/>
            <w:vAlign w:val="bottom"/>
            <w:hideMark/>
          </w:tcPr>
          <w:p w14:paraId="077E3AEA" w14:textId="77777777" w:rsidR="00CD7191" w:rsidRPr="00CD7191" w:rsidRDefault="00CD7191" w:rsidP="00CD7191">
            <w:pPr>
              <w:spacing w:after="0" w:line="240" w:lineRule="auto"/>
              <w:rPr>
                <w:rFonts w:ascii="Calibri" w:eastAsia="Times New Roman" w:hAnsi="Calibri" w:cs="Calibri"/>
                <w:color w:val="000000"/>
              </w:rPr>
            </w:pPr>
            <w:r w:rsidRPr="00CD7191">
              <w:rPr>
                <w:rFonts w:ascii="Calibri" w:eastAsia="Times New Roman" w:hAnsi="Calibri" w:cs="Calibri"/>
                <w:color w:val="000000"/>
              </w:rPr>
              <w:t>kgCO2e/kgODW</w:t>
            </w:r>
          </w:p>
        </w:tc>
      </w:tr>
    </w:tbl>
    <w:p w14:paraId="58AED62A" w14:textId="486C9162" w:rsidR="00CA1338" w:rsidRDefault="00CA1338" w:rsidP="00CA1338"/>
    <w:p w14:paraId="1F65FECC" w14:textId="1226F5EF" w:rsidR="00F64D79" w:rsidRDefault="001D42DC" w:rsidP="00A16EBE">
      <w:pPr>
        <w:pStyle w:val="ListParagraph"/>
        <w:numPr>
          <w:ilvl w:val="0"/>
          <w:numId w:val="4"/>
        </w:numPr>
      </w:pPr>
      <w:r>
        <w:rPr>
          <w:b/>
          <w:bCs/>
        </w:rPr>
        <w:lastRenderedPageBreak/>
        <w:t xml:space="preserve">Custom Data Source </w:t>
      </w:r>
      <w:r w:rsidR="00F64D79" w:rsidRPr="007263E5">
        <w:rPr>
          <w:b/>
          <w:bCs/>
        </w:rPr>
        <w:t>Option 2:</w:t>
      </w:r>
      <w:r w:rsidR="00F64D79">
        <w:t xml:space="preserve"> Tally</w:t>
      </w:r>
    </w:p>
    <w:p w14:paraId="4D36EDD2" w14:textId="710EE939" w:rsidR="008E102B" w:rsidRDefault="007263E5" w:rsidP="00A16EBE">
      <w:pPr>
        <w:pStyle w:val="ListParagraph"/>
        <w:numPr>
          <w:ilvl w:val="1"/>
          <w:numId w:val="4"/>
        </w:numPr>
      </w:pPr>
      <w:r w:rsidRPr="007263E5">
        <w:rPr>
          <w:b/>
          <w:bCs/>
        </w:rPr>
        <w:t>Description:</w:t>
      </w:r>
      <w:r>
        <w:t xml:space="preserve"> </w:t>
      </w:r>
      <w:r w:rsidR="00F64D79">
        <w:t xml:space="preserve">Selecting the Tally option for the custom end of life data source pulls data from EPA WARM for landfill scenarios, GaBi for incineration, and boundary assumptions for recycling.  Factors used in UpStream were created from </w:t>
      </w:r>
      <w:r w:rsidR="008971B5">
        <w:fldChar w:fldCharType="begin"/>
      </w:r>
      <w:r w:rsidR="008971B5">
        <w:instrText xml:space="preserve"> REF _Ref77112807 \h </w:instrText>
      </w:r>
      <w:r w:rsidR="008971B5">
        <w:fldChar w:fldCharType="separate"/>
      </w:r>
      <w:r w:rsidR="008971B5">
        <w:t xml:space="preserve">Figure </w:t>
      </w:r>
      <w:r w:rsidR="008971B5">
        <w:rPr>
          <w:noProof/>
        </w:rPr>
        <w:t>3</w:t>
      </w:r>
      <w:r w:rsidR="008971B5">
        <w:fldChar w:fldCharType="end"/>
      </w:r>
      <w:r w:rsidR="006A2E66">
        <w:t xml:space="preserve"> below, which was a table </w:t>
      </w:r>
      <w:r w:rsidR="00F64D79">
        <w:t>presented for a training webinar on Tally</w:t>
      </w:r>
      <w:r w:rsidR="006A2E66">
        <w:t xml:space="preserve"> and biogenic </w:t>
      </w:r>
      <w:commentRangeStart w:id="59"/>
      <w:r w:rsidR="006A2E66">
        <w:t>carbon</w:t>
      </w:r>
      <w:commentRangeEnd w:id="59"/>
      <w:r w:rsidR="006A2E66">
        <w:rPr>
          <w:rStyle w:val="CommentReference"/>
        </w:rPr>
        <w:commentReference w:id="59"/>
      </w:r>
      <w:r w:rsidR="00565AA5">
        <w:t xml:space="preserve"> </w:t>
      </w:r>
      <w:sdt>
        <w:sdtPr>
          <w:id w:val="2132735143"/>
          <w:placeholder>
            <w:docPart w:val="3650586DF02B45C2A05660DEFA33BB66"/>
          </w:placeholder>
          <w:citation/>
        </w:sdtPr>
        <w:sdtContent>
          <w:r w:rsidR="005A4FEC">
            <w:fldChar w:fldCharType="begin"/>
          </w:r>
          <w:r w:rsidR="005A4FEC">
            <w:instrText xml:space="preserve"> CITATION Thi20 \l 1033 </w:instrText>
          </w:r>
          <w:r w:rsidR="005A4FEC">
            <w:fldChar w:fldCharType="separate"/>
          </w:r>
          <w:r w:rsidR="005A4FEC">
            <w:rPr>
              <w:noProof/>
            </w:rPr>
            <w:t>(Thinkstep, 2020)</w:t>
          </w:r>
          <w:r w:rsidR="005A4FEC">
            <w:fldChar w:fldCharType="end"/>
          </w:r>
        </w:sdtContent>
      </w:sdt>
      <w:r w:rsidR="00F64D79">
        <w:t xml:space="preserve">.   </w:t>
      </w:r>
      <w:r w:rsidR="008E102B">
        <w:t>First, these</w:t>
      </w:r>
      <w:r w:rsidR="00F64D79">
        <w:t xml:space="preserve"> factors </w:t>
      </w:r>
      <w:r w:rsidR="008E102B">
        <w:t>were scaled to represent a 100% use case instead of being broken down by the default Tally distribution assumptions (63.5% landfill, 22% incineration, 14.5% recycling).  For instance,</w:t>
      </w:r>
      <w:r w:rsidR="00A5563D">
        <w:t xml:space="preserve"> the </w:t>
      </w:r>
      <w:r w:rsidR="00FE1251">
        <w:t>.27</w:t>
      </w:r>
      <w:r w:rsidR="008E102B">
        <w:t xml:space="preserve"> kgCO2e/kg represents this impact if </w:t>
      </w:r>
      <w:r w:rsidR="00FE1251">
        <w:t>14.5</w:t>
      </w:r>
      <w:r w:rsidR="008E102B">
        <w:t xml:space="preserve">% of 1kg of wood was </w:t>
      </w:r>
      <w:r w:rsidR="00FE1251">
        <w:t>recycled</w:t>
      </w:r>
      <w:r w:rsidR="008E102B">
        <w:t>, so these factors were divided by their percent distribution</w:t>
      </w:r>
      <w:r w:rsidR="00FE1251">
        <w:t xml:space="preserve"> (14.5% in this case)</w:t>
      </w:r>
      <w:r w:rsidR="008E102B">
        <w:t xml:space="preserve"> to understand their scaled impact for the full 1 kg of wood. Next, each factor was </w:t>
      </w:r>
      <w:r w:rsidR="00476BC8">
        <w:t>mapped</w:t>
      </w:r>
      <w:r w:rsidR="008E102B">
        <w:t xml:space="preserve"> </w:t>
      </w:r>
      <w:r w:rsidR="00F64D79">
        <w:t xml:space="preserve">into the appropriate modules used for UpStream reporting (C2-4 Biogenic Emissions, C2-4 </w:t>
      </w:r>
      <w:r w:rsidR="637E8474">
        <w:t>Non-Biogenic</w:t>
      </w:r>
      <w:r w:rsidR="00F64D79">
        <w:t xml:space="preserve"> Emissions, and Module D)</w:t>
      </w:r>
      <w:r w:rsidR="008E102B">
        <w:t xml:space="preserve"> for the three end of life scenarios available in this option.</w:t>
      </w:r>
      <w:r w:rsidR="00F64D79">
        <w:t xml:space="preserve">  </w:t>
      </w:r>
    </w:p>
    <w:p w14:paraId="7E883F4D" w14:textId="336679CA" w:rsidR="008971B5" w:rsidRDefault="008971B5" w:rsidP="008971B5">
      <w:pPr>
        <w:pStyle w:val="Caption"/>
        <w:keepNext/>
      </w:pPr>
      <w:bookmarkStart w:id="60" w:name="_Ref77112807"/>
      <w:r>
        <w:t xml:space="preserve">Figure </w:t>
      </w:r>
      <w:r>
        <w:fldChar w:fldCharType="begin"/>
      </w:r>
      <w:r>
        <w:instrText>SEQ Figure \* ARABIC</w:instrText>
      </w:r>
      <w:r>
        <w:fldChar w:fldCharType="separate"/>
      </w:r>
      <w:r w:rsidR="00ED1A20">
        <w:rPr>
          <w:noProof/>
        </w:rPr>
        <w:t>4</w:t>
      </w:r>
      <w:r>
        <w:fldChar w:fldCharType="end"/>
      </w:r>
      <w:bookmarkEnd w:id="60"/>
      <w:r>
        <w:t xml:space="preserve"> </w:t>
      </w:r>
      <w:r w:rsidRPr="00716C3E">
        <w:t>Tally Lumber Example for Disaggregated End of Life Factors with Biogenic Carbon</w:t>
      </w:r>
    </w:p>
    <w:p w14:paraId="21685485" w14:textId="775BFFE9" w:rsidR="00F64D79" w:rsidRDefault="006F1106" w:rsidP="008E102B">
      <w:r w:rsidRPr="006F1106">
        <w:rPr>
          <w:noProof/>
        </w:rPr>
        <w:drawing>
          <wp:inline distT="0" distB="0" distL="0" distR="0" wp14:anchorId="1F757F50" wp14:editId="61F7D761">
            <wp:extent cx="5943600" cy="3019425"/>
            <wp:effectExtent l="0" t="0" r="0" b="9525"/>
            <wp:docPr id="1026" name="Picture 2">
              <a:extLst xmlns:a="http://schemas.openxmlformats.org/drawingml/2006/main">
                <a:ext uri="{FF2B5EF4-FFF2-40B4-BE49-F238E27FC236}">
                  <a16:creationId xmlns:a16="http://schemas.microsoft.com/office/drawing/2014/main" id="{34377BE3-9D3C-4DBA-9991-CF77A3EBA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4377BE3-9D3C-4DBA-9991-CF77A3EBA7BF}"/>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pic:spPr>
                </pic:pic>
              </a:graphicData>
            </a:graphic>
          </wp:inline>
        </w:drawing>
      </w:r>
    </w:p>
    <w:p w14:paraId="2EC08561" w14:textId="31705895" w:rsidR="00F64D79" w:rsidRDefault="00291537" w:rsidP="00291537">
      <w:pPr>
        <w:pStyle w:val="ListParagraph"/>
        <w:numPr>
          <w:ilvl w:val="1"/>
          <w:numId w:val="4"/>
        </w:numPr>
      </w:pPr>
      <w:r w:rsidRPr="00291537">
        <w:rPr>
          <w:b/>
          <w:bCs/>
        </w:rPr>
        <w:t>Option 2:</w:t>
      </w:r>
      <w:r>
        <w:t xml:space="preserve"> Tally </w:t>
      </w:r>
      <w:r w:rsidR="00F64D79">
        <w:t>Scenarios</w:t>
      </w:r>
    </w:p>
    <w:p w14:paraId="6445885A" w14:textId="5BADB6A5" w:rsidR="009B21DF" w:rsidRDefault="009B21DF" w:rsidP="009B21DF">
      <w:pPr>
        <w:pStyle w:val="ListParagraph"/>
        <w:numPr>
          <w:ilvl w:val="2"/>
          <w:numId w:val="4"/>
        </w:numPr>
      </w:pPr>
      <w:r w:rsidRPr="009B21DF">
        <w:rPr>
          <w:b/>
          <w:bCs/>
        </w:rPr>
        <w:t xml:space="preserve">Scenario 1 - </w:t>
      </w:r>
      <w:r w:rsidR="00F64D79" w:rsidRPr="009B21DF">
        <w:rPr>
          <w:b/>
          <w:bCs/>
        </w:rPr>
        <w:t>Landfill Blend</w:t>
      </w:r>
      <w:r w:rsidRPr="009B21DF">
        <w:rPr>
          <w:b/>
          <w:bCs/>
        </w:rPr>
        <w:t>:</w:t>
      </w:r>
      <w:r>
        <w:t xml:space="preserve"> </w:t>
      </w:r>
      <w:r w:rsidR="008E102B">
        <w:t xml:space="preserve">As discussed in earlier sections, Tally’s landfill scenario is actually a blend of 31% </w:t>
      </w:r>
      <w:r w:rsidR="00845F3A">
        <w:t>landfill with flare, 36% no capture, and 33% landfill with energy recovery.  Tally uses the EPA WARM model to derive these factors</w:t>
      </w:r>
      <w:r w:rsidR="00CC18F3">
        <w:t xml:space="preserve">, but uses a </w:t>
      </w:r>
      <w:r w:rsidR="00661EFD">
        <w:t xml:space="preserve">50% </w:t>
      </w:r>
      <w:r w:rsidR="00CC18F3">
        <w:t xml:space="preserve">decomposition </w:t>
      </w:r>
      <w:r w:rsidR="00686FCA">
        <w:t xml:space="preserve">rate </w:t>
      </w:r>
      <w:r w:rsidR="00661EFD">
        <w:t xml:space="preserve">based on </w:t>
      </w:r>
      <w:commentRangeStart w:id="61"/>
      <w:r w:rsidR="00661EFD">
        <w:t>IPCC recommendations</w:t>
      </w:r>
      <w:r w:rsidR="0000520E">
        <w:t xml:space="preserve"> </w:t>
      </w:r>
      <w:sdt>
        <w:sdtPr>
          <w:id w:val="606386643"/>
          <w:citation/>
        </w:sdtPr>
        <w:sdtContent>
          <w:r w:rsidR="0000520E">
            <w:fldChar w:fldCharType="begin"/>
          </w:r>
          <w:r w:rsidR="0000520E">
            <w:instrText xml:space="preserve"> CITATION IPC06 \l 1033 </w:instrText>
          </w:r>
          <w:r w:rsidR="0000520E">
            <w:fldChar w:fldCharType="separate"/>
          </w:r>
          <w:r w:rsidR="0000520E">
            <w:rPr>
              <w:noProof/>
            </w:rPr>
            <w:t>(IPCC, 2006)</w:t>
          </w:r>
          <w:r w:rsidR="0000520E">
            <w:fldChar w:fldCharType="end"/>
          </w:r>
        </w:sdtContent>
      </w:sdt>
      <w:r w:rsidR="00661EFD">
        <w:t xml:space="preserve">, </w:t>
      </w:r>
      <w:commentRangeEnd w:id="61"/>
      <w:r w:rsidR="00B260B3">
        <w:rPr>
          <w:rStyle w:val="CommentReference"/>
        </w:rPr>
        <w:commentReference w:id="61"/>
      </w:r>
      <w:r w:rsidR="00661EFD">
        <w:t xml:space="preserve">much higher </w:t>
      </w:r>
      <w:r w:rsidR="00686FCA">
        <w:t>than EPA WARM’s default</w:t>
      </w:r>
      <w:r w:rsidR="00CC18F3">
        <w:t xml:space="preserve"> 12%</w:t>
      </w:r>
      <w:r w:rsidR="00661EFD">
        <w:t xml:space="preserve">.  This </w:t>
      </w:r>
      <w:r w:rsidR="005C4B3C">
        <w:t xml:space="preserve">increased decomposition rate </w:t>
      </w:r>
      <w:r w:rsidR="00CC18F3">
        <w:t xml:space="preserve">drastically increases the emissions factors of this option </w:t>
      </w:r>
      <w:r w:rsidR="005C4B3C">
        <w:t xml:space="preserve">versus the </w:t>
      </w:r>
      <w:r w:rsidR="00CC18F3">
        <w:t xml:space="preserve">default EPA WARM option.  </w:t>
      </w:r>
      <w:r>
        <w:fldChar w:fldCharType="begin"/>
      </w:r>
      <w:r>
        <w:instrText xml:space="preserve"> REF _Ref77113318 \h </w:instrText>
      </w:r>
      <w:r>
        <w:fldChar w:fldCharType="separate"/>
      </w:r>
      <w:r>
        <w:t xml:space="preserve">Table </w:t>
      </w:r>
      <w:r>
        <w:rPr>
          <w:noProof/>
        </w:rPr>
        <w:t>7</w:t>
      </w:r>
      <w:r>
        <w:fldChar w:fldCharType="end"/>
      </w:r>
      <w:r>
        <w:fldChar w:fldCharType="begin"/>
      </w:r>
      <w:r>
        <w:instrText xml:space="preserve"> REF _Ref77113076 \h </w:instrText>
      </w:r>
      <w:r>
        <w:fldChar w:fldCharType="end"/>
      </w:r>
      <w:r>
        <w:t xml:space="preserve"> </w:t>
      </w:r>
      <w:r w:rsidR="00845F3A">
        <w:t>below shows the “CO2 emissions” factor broken out by non-biogenic (transportation</w:t>
      </w:r>
      <w:r w:rsidR="00CC18F3">
        <w:t xml:space="preserve"> and heavy equipment</w:t>
      </w:r>
      <w:r w:rsidR="00845F3A">
        <w:t xml:space="preserve">) and biogenic emissions (CO2 gas leakage, CO2 emissions converted from flaring).  Methane emissions are mapped to the C2-4 Non-Biogenic Emissions column. </w:t>
      </w:r>
      <w:r w:rsidR="00CC18F3">
        <w:t xml:space="preserve"> Finally, an electricity credit shows up in Module D based on </w:t>
      </w:r>
      <w:r w:rsidR="00CC18F3">
        <w:lastRenderedPageBreak/>
        <w:t>the EPA Warm landfill with gas recovery methodology.</w:t>
      </w:r>
      <w:r w:rsidR="00C56739">
        <w:t xml:space="preserve">  </w:t>
      </w:r>
      <w:commentRangeStart w:id="62"/>
      <w:r w:rsidR="00C56739">
        <w:t>A credit also shows up for avoiding thermal energy</w:t>
      </w:r>
      <w:r w:rsidR="00CC18F3">
        <w:t xml:space="preserve"> </w:t>
      </w:r>
      <w:r w:rsidR="00C56739">
        <w:t>associated with natural gas</w:t>
      </w:r>
      <w:sdt>
        <w:sdtPr>
          <w:id w:val="2073626182"/>
          <w:citation/>
        </w:sdtPr>
        <w:sdtContent>
          <w:r w:rsidR="00D75C14">
            <w:fldChar w:fldCharType="begin"/>
          </w:r>
          <w:r w:rsidR="00D75C14">
            <w:instrText xml:space="preserve"> CITATION Ali19 \l 1033 </w:instrText>
          </w:r>
          <w:r w:rsidR="00D75C14">
            <w:fldChar w:fldCharType="separate"/>
          </w:r>
          <w:r w:rsidR="00D75C14">
            <w:rPr>
              <w:noProof/>
            </w:rPr>
            <w:t xml:space="preserve"> (Alison G. Kwok, 2019)</w:t>
          </w:r>
          <w:r w:rsidR="00D75C14">
            <w:fldChar w:fldCharType="end"/>
          </w:r>
        </w:sdtContent>
      </w:sdt>
      <w:r w:rsidR="00C56739">
        <w:t>.</w:t>
      </w:r>
      <w:commentRangeEnd w:id="62"/>
      <w:r w:rsidR="00C56739">
        <w:rPr>
          <w:rStyle w:val="CommentReference"/>
        </w:rPr>
        <w:commentReference w:id="62"/>
      </w:r>
    </w:p>
    <w:p w14:paraId="705C1F6B" w14:textId="6D8C5098" w:rsidR="009B21DF" w:rsidRDefault="009B21DF" w:rsidP="009B21DF">
      <w:pPr>
        <w:pStyle w:val="Caption"/>
        <w:keepNext/>
      </w:pPr>
      <w:bookmarkStart w:id="63" w:name="_Ref77113318"/>
      <w:r>
        <w:t xml:space="preserve">Table </w:t>
      </w:r>
      <w:r>
        <w:fldChar w:fldCharType="begin"/>
      </w:r>
      <w:r>
        <w:instrText>SEQ Table \* ARABIC</w:instrText>
      </w:r>
      <w:r>
        <w:fldChar w:fldCharType="separate"/>
      </w:r>
      <w:r w:rsidR="004C5D4E">
        <w:rPr>
          <w:noProof/>
        </w:rPr>
        <w:t>8</w:t>
      </w:r>
      <w:r>
        <w:fldChar w:fldCharType="end"/>
      </w:r>
      <w:bookmarkEnd w:id="63"/>
      <w:r>
        <w:t xml:space="preserve"> </w:t>
      </w:r>
      <w:r w:rsidRPr="004B6EC3">
        <w:t>Tally Factors for Landfill Blend Scenario</w:t>
      </w:r>
    </w:p>
    <w:tbl>
      <w:tblPr>
        <w:tblW w:w="100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820"/>
        <w:gridCol w:w="1980"/>
        <w:gridCol w:w="1920"/>
        <w:gridCol w:w="1380"/>
        <w:gridCol w:w="1920"/>
      </w:tblGrid>
      <w:tr w:rsidR="00845F3A" w:rsidRPr="00845F3A" w14:paraId="13C8D840" w14:textId="77777777" w:rsidTr="00927427">
        <w:trPr>
          <w:trHeight w:val="285"/>
        </w:trPr>
        <w:tc>
          <w:tcPr>
            <w:tcW w:w="2820" w:type="dxa"/>
            <w:vMerge w:val="restart"/>
            <w:shd w:val="clear" w:color="auto" w:fill="BFBFBF" w:themeFill="background1" w:themeFillShade="BF"/>
            <w:noWrap/>
            <w:vAlign w:val="bottom"/>
            <w:hideMark/>
          </w:tcPr>
          <w:p w14:paraId="6B6D75EB" w14:textId="77777777" w:rsidR="00845F3A" w:rsidRPr="00845F3A" w:rsidRDefault="00845F3A" w:rsidP="00845F3A">
            <w:pPr>
              <w:spacing w:after="0" w:line="240" w:lineRule="auto"/>
              <w:jc w:val="center"/>
              <w:rPr>
                <w:rFonts w:ascii="Calibri" w:eastAsia="Times New Roman" w:hAnsi="Calibri" w:cs="Calibri"/>
                <w:b/>
                <w:bCs/>
                <w:color w:val="000000"/>
              </w:rPr>
            </w:pPr>
            <w:r w:rsidRPr="00845F3A">
              <w:rPr>
                <w:rFonts w:ascii="Calibri" w:eastAsia="Times New Roman" w:hAnsi="Calibri" w:cs="Calibri"/>
                <w:b/>
                <w:bCs/>
                <w:color w:val="000000"/>
              </w:rPr>
              <w:t>Source</w:t>
            </w:r>
          </w:p>
        </w:tc>
        <w:tc>
          <w:tcPr>
            <w:tcW w:w="5280" w:type="dxa"/>
            <w:gridSpan w:val="3"/>
            <w:shd w:val="clear" w:color="auto" w:fill="BFBFBF" w:themeFill="background1" w:themeFillShade="BF"/>
            <w:noWrap/>
            <w:vAlign w:val="bottom"/>
            <w:hideMark/>
          </w:tcPr>
          <w:p w14:paraId="6151A4A4" w14:textId="77777777" w:rsidR="00845F3A" w:rsidRPr="00845F3A" w:rsidRDefault="00845F3A" w:rsidP="00845F3A">
            <w:pPr>
              <w:spacing w:after="0" w:line="240" w:lineRule="auto"/>
              <w:jc w:val="center"/>
              <w:rPr>
                <w:rFonts w:ascii="Calibri" w:eastAsia="Times New Roman" w:hAnsi="Calibri" w:cs="Calibri"/>
                <w:b/>
                <w:bCs/>
                <w:color w:val="000000"/>
              </w:rPr>
            </w:pPr>
            <w:r w:rsidRPr="00845F3A">
              <w:rPr>
                <w:rFonts w:ascii="Calibri" w:eastAsia="Times New Roman" w:hAnsi="Calibri" w:cs="Calibri"/>
                <w:b/>
                <w:bCs/>
                <w:color w:val="000000"/>
              </w:rPr>
              <w:t>100% landfill - Tally</w:t>
            </w:r>
          </w:p>
        </w:tc>
        <w:tc>
          <w:tcPr>
            <w:tcW w:w="1920" w:type="dxa"/>
            <w:vMerge w:val="restart"/>
            <w:shd w:val="clear" w:color="auto" w:fill="BFBFBF" w:themeFill="background1" w:themeFillShade="BF"/>
            <w:noWrap/>
            <w:vAlign w:val="bottom"/>
            <w:hideMark/>
          </w:tcPr>
          <w:p w14:paraId="1426138E" w14:textId="77777777" w:rsidR="00845F3A" w:rsidRPr="00845F3A" w:rsidRDefault="00845F3A" w:rsidP="00845F3A">
            <w:pPr>
              <w:spacing w:after="0" w:line="240" w:lineRule="auto"/>
              <w:jc w:val="center"/>
              <w:rPr>
                <w:rFonts w:ascii="Calibri" w:eastAsia="Times New Roman" w:hAnsi="Calibri" w:cs="Calibri"/>
                <w:b/>
                <w:bCs/>
                <w:color w:val="000000"/>
              </w:rPr>
            </w:pPr>
            <w:r w:rsidRPr="00845F3A">
              <w:rPr>
                <w:rFonts w:ascii="Calibri" w:eastAsia="Times New Roman" w:hAnsi="Calibri" w:cs="Calibri"/>
                <w:b/>
                <w:bCs/>
                <w:color w:val="000000"/>
              </w:rPr>
              <w:t>unit</w:t>
            </w:r>
          </w:p>
        </w:tc>
      </w:tr>
      <w:tr w:rsidR="00845F3A" w:rsidRPr="00845F3A" w14:paraId="08CFC7A7" w14:textId="77777777" w:rsidTr="00927427">
        <w:trPr>
          <w:trHeight w:val="570"/>
        </w:trPr>
        <w:tc>
          <w:tcPr>
            <w:tcW w:w="2820" w:type="dxa"/>
            <w:vMerge/>
            <w:vAlign w:val="center"/>
            <w:hideMark/>
          </w:tcPr>
          <w:p w14:paraId="1B1CC26E" w14:textId="77777777" w:rsidR="00845F3A" w:rsidRPr="00845F3A" w:rsidRDefault="00845F3A" w:rsidP="00845F3A">
            <w:pPr>
              <w:spacing w:after="0" w:line="240" w:lineRule="auto"/>
              <w:rPr>
                <w:rFonts w:ascii="Calibri" w:eastAsia="Times New Roman" w:hAnsi="Calibri" w:cs="Calibri"/>
                <w:b/>
                <w:bCs/>
                <w:color w:val="000000"/>
              </w:rPr>
            </w:pPr>
          </w:p>
        </w:tc>
        <w:tc>
          <w:tcPr>
            <w:tcW w:w="1980" w:type="dxa"/>
            <w:shd w:val="clear" w:color="auto" w:fill="BFBFBF" w:themeFill="background1" w:themeFillShade="BF"/>
            <w:vAlign w:val="bottom"/>
            <w:hideMark/>
          </w:tcPr>
          <w:p w14:paraId="395BABC3" w14:textId="77777777" w:rsidR="00845F3A" w:rsidRPr="00845F3A" w:rsidRDefault="00845F3A" w:rsidP="00845F3A">
            <w:pPr>
              <w:spacing w:after="0" w:line="240" w:lineRule="auto"/>
              <w:rPr>
                <w:rFonts w:ascii="Calibri" w:eastAsia="Times New Roman" w:hAnsi="Calibri" w:cs="Calibri"/>
                <w:b/>
                <w:bCs/>
                <w:color w:val="000000"/>
              </w:rPr>
            </w:pPr>
            <w:r w:rsidRPr="49A19A96">
              <w:rPr>
                <w:rFonts w:ascii="Calibri" w:eastAsia="Times New Roman" w:hAnsi="Calibri" w:cs="Calibri"/>
                <w:b/>
                <w:color w:val="000000" w:themeColor="text1"/>
              </w:rPr>
              <w:t>C2-4 - Non Biogenic Emissions</w:t>
            </w:r>
          </w:p>
        </w:tc>
        <w:tc>
          <w:tcPr>
            <w:tcW w:w="1920" w:type="dxa"/>
            <w:shd w:val="clear" w:color="auto" w:fill="BFBFBF" w:themeFill="background1" w:themeFillShade="BF"/>
            <w:vAlign w:val="bottom"/>
            <w:hideMark/>
          </w:tcPr>
          <w:p w14:paraId="0CD91B5B" w14:textId="77777777" w:rsidR="00845F3A" w:rsidRPr="00845F3A" w:rsidRDefault="00845F3A" w:rsidP="00845F3A">
            <w:pPr>
              <w:spacing w:after="0" w:line="240" w:lineRule="auto"/>
              <w:rPr>
                <w:rFonts w:ascii="Calibri" w:eastAsia="Times New Roman" w:hAnsi="Calibri" w:cs="Calibri"/>
                <w:b/>
                <w:bCs/>
                <w:color w:val="000000"/>
              </w:rPr>
            </w:pPr>
            <w:r w:rsidRPr="00845F3A">
              <w:rPr>
                <w:rFonts w:ascii="Calibri" w:eastAsia="Times New Roman" w:hAnsi="Calibri" w:cs="Calibri"/>
                <w:b/>
                <w:bCs/>
                <w:color w:val="000000"/>
              </w:rPr>
              <w:t>C2-4 biogenic emissions</w:t>
            </w:r>
          </w:p>
        </w:tc>
        <w:tc>
          <w:tcPr>
            <w:tcW w:w="1380" w:type="dxa"/>
            <w:shd w:val="clear" w:color="auto" w:fill="BFBFBF" w:themeFill="background1" w:themeFillShade="BF"/>
            <w:noWrap/>
            <w:vAlign w:val="bottom"/>
            <w:hideMark/>
          </w:tcPr>
          <w:p w14:paraId="7FFB186B" w14:textId="77777777" w:rsidR="00845F3A" w:rsidRPr="00845F3A" w:rsidRDefault="00845F3A" w:rsidP="00845F3A">
            <w:pPr>
              <w:spacing w:after="0" w:line="240" w:lineRule="auto"/>
              <w:rPr>
                <w:rFonts w:ascii="Calibri" w:eastAsia="Times New Roman" w:hAnsi="Calibri" w:cs="Calibri"/>
                <w:b/>
                <w:bCs/>
                <w:color w:val="000000"/>
              </w:rPr>
            </w:pPr>
            <w:r w:rsidRPr="00845F3A">
              <w:rPr>
                <w:rFonts w:ascii="Calibri" w:eastAsia="Times New Roman" w:hAnsi="Calibri" w:cs="Calibri"/>
                <w:b/>
                <w:bCs/>
                <w:color w:val="000000"/>
              </w:rPr>
              <w:t>Module D</w:t>
            </w:r>
          </w:p>
        </w:tc>
        <w:tc>
          <w:tcPr>
            <w:tcW w:w="1920" w:type="dxa"/>
            <w:vMerge/>
            <w:vAlign w:val="center"/>
            <w:hideMark/>
          </w:tcPr>
          <w:p w14:paraId="5EE4C112" w14:textId="77777777" w:rsidR="00845F3A" w:rsidRPr="00845F3A" w:rsidRDefault="00845F3A" w:rsidP="00845F3A">
            <w:pPr>
              <w:spacing w:after="0" w:line="240" w:lineRule="auto"/>
              <w:rPr>
                <w:rFonts w:ascii="Calibri" w:eastAsia="Times New Roman" w:hAnsi="Calibri" w:cs="Calibri"/>
                <w:b/>
                <w:bCs/>
                <w:color w:val="000000"/>
              </w:rPr>
            </w:pPr>
          </w:p>
        </w:tc>
      </w:tr>
      <w:tr w:rsidR="00845F3A" w:rsidRPr="00845F3A" w14:paraId="49DDA11E" w14:textId="77777777" w:rsidTr="00927427">
        <w:trPr>
          <w:trHeight w:val="285"/>
        </w:trPr>
        <w:tc>
          <w:tcPr>
            <w:tcW w:w="2820" w:type="dxa"/>
            <w:shd w:val="clear" w:color="auto" w:fill="auto"/>
            <w:noWrap/>
            <w:vAlign w:val="bottom"/>
            <w:hideMark/>
          </w:tcPr>
          <w:p w14:paraId="262B0BAA" w14:textId="4D0E963F"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CO2</w:t>
            </w:r>
            <w:r w:rsidR="00EA767F">
              <w:rPr>
                <w:rFonts w:ascii="Calibri" w:eastAsia="Times New Roman" w:hAnsi="Calibri" w:cs="Calibri"/>
                <w:color w:val="000000"/>
              </w:rPr>
              <w:t>e</w:t>
            </w:r>
            <w:r w:rsidRPr="00845F3A">
              <w:rPr>
                <w:rFonts w:ascii="Calibri" w:eastAsia="Times New Roman" w:hAnsi="Calibri" w:cs="Calibri"/>
                <w:color w:val="000000"/>
              </w:rPr>
              <w:t xml:space="preserve"> emissions</w:t>
            </w:r>
          </w:p>
        </w:tc>
        <w:tc>
          <w:tcPr>
            <w:tcW w:w="1980" w:type="dxa"/>
            <w:shd w:val="clear" w:color="auto" w:fill="FFFFFF" w:themeFill="background1"/>
            <w:noWrap/>
            <w:vAlign w:val="bottom"/>
            <w:hideMark/>
          </w:tcPr>
          <w:p w14:paraId="5C6B42DC" w14:textId="77777777" w:rsidR="00845F3A" w:rsidRPr="00845F3A" w:rsidRDefault="00845F3A" w:rsidP="00845F3A">
            <w:pPr>
              <w:spacing w:after="0" w:line="240" w:lineRule="auto"/>
              <w:jc w:val="right"/>
              <w:rPr>
                <w:rFonts w:ascii="Calibri" w:eastAsia="Times New Roman" w:hAnsi="Calibri" w:cs="Calibri"/>
                <w:color w:val="000000"/>
              </w:rPr>
            </w:pPr>
            <w:r w:rsidRPr="00845F3A">
              <w:rPr>
                <w:rFonts w:ascii="Calibri" w:eastAsia="Times New Roman" w:hAnsi="Calibri" w:cs="Calibri"/>
                <w:color w:val="000000"/>
              </w:rPr>
              <w:t>0.047</w:t>
            </w:r>
          </w:p>
        </w:tc>
        <w:tc>
          <w:tcPr>
            <w:tcW w:w="1920" w:type="dxa"/>
            <w:shd w:val="clear" w:color="auto" w:fill="FFFFFF" w:themeFill="background1"/>
            <w:noWrap/>
            <w:vAlign w:val="bottom"/>
            <w:hideMark/>
          </w:tcPr>
          <w:p w14:paraId="19F0E46A" w14:textId="77777777" w:rsidR="00845F3A" w:rsidRPr="00845F3A" w:rsidRDefault="00845F3A" w:rsidP="00845F3A">
            <w:pPr>
              <w:spacing w:after="0" w:line="240" w:lineRule="auto"/>
              <w:jc w:val="right"/>
              <w:rPr>
                <w:rFonts w:ascii="Calibri" w:eastAsia="Times New Roman" w:hAnsi="Calibri" w:cs="Calibri"/>
                <w:color w:val="000000"/>
              </w:rPr>
            </w:pPr>
            <w:r w:rsidRPr="00845F3A">
              <w:rPr>
                <w:rFonts w:ascii="Calibri" w:eastAsia="Times New Roman" w:hAnsi="Calibri" w:cs="Calibri"/>
                <w:color w:val="000000"/>
              </w:rPr>
              <w:t>0.346</w:t>
            </w:r>
          </w:p>
        </w:tc>
        <w:tc>
          <w:tcPr>
            <w:tcW w:w="1380" w:type="dxa"/>
            <w:shd w:val="clear" w:color="auto" w:fill="FFFFFF" w:themeFill="background1"/>
            <w:noWrap/>
            <w:vAlign w:val="bottom"/>
            <w:hideMark/>
          </w:tcPr>
          <w:p w14:paraId="49777EF7"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920" w:type="dxa"/>
            <w:shd w:val="clear" w:color="auto" w:fill="auto"/>
            <w:noWrap/>
            <w:vAlign w:val="bottom"/>
            <w:hideMark/>
          </w:tcPr>
          <w:p w14:paraId="084E9603"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kgCO2e/kgODW</w:t>
            </w:r>
          </w:p>
        </w:tc>
      </w:tr>
      <w:tr w:rsidR="00845F3A" w:rsidRPr="00845F3A" w14:paraId="65C8634C" w14:textId="77777777" w:rsidTr="00927427">
        <w:trPr>
          <w:trHeight w:val="285"/>
        </w:trPr>
        <w:tc>
          <w:tcPr>
            <w:tcW w:w="2820" w:type="dxa"/>
            <w:shd w:val="clear" w:color="auto" w:fill="auto"/>
            <w:noWrap/>
            <w:vAlign w:val="bottom"/>
            <w:hideMark/>
          </w:tcPr>
          <w:p w14:paraId="567AE64C"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CH4 emissions</w:t>
            </w:r>
          </w:p>
        </w:tc>
        <w:tc>
          <w:tcPr>
            <w:tcW w:w="1980" w:type="dxa"/>
            <w:shd w:val="clear" w:color="auto" w:fill="FFFFFF" w:themeFill="background1"/>
            <w:noWrap/>
            <w:vAlign w:val="bottom"/>
            <w:hideMark/>
          </w:tcPr>
          <w:p w14:paraId="43E1C8C0" w14:textId="77777777" w:rsidR="00845F3A" w:rsidRPr="00845F3A" w:rsidRDefault="00845F3A" w:rsidP="00845F3A">
            <w:pPr>
              <w:spacing w:after="0" w:line="240" w:lineRule="auto"/>
              <w:jc w:val="right"/>
              <w:rPr>
                <w:rFonts w:ascii="Calibri" w:eastAsia="Times New Roman" w:hAnsi="Calibri" w:cs="Calibri"/>
                <w:color w:val="000000"/>
              </w:rPr>
            </w:pPr>
            <w:r w:rsidRPr="00845F3A">
              <w:rPr>
                <w:rFonts w:ascii="Calibri" w:eastAsia="Times New Roman" w:hAnsi="Calibri" w:cs="Calibri"/>
                <w:color w:val="000000"/>
              </w:rPr>
              <w:t>1.024</w:t>
            </w:r>
          </w:p>
        </w:tc>
        <w:tc>
          <w:tcPr>
            <w:tcW w:w="1920" w:type="dxa"/>
            <w:shd w:val="clear" w:color="auto" w:fill="FFFFFF" w:themeFill="background1"/>
            <w:noWrap/>
            <w:vAlign w:val="bottom"/>
            <w:hideMark/>
          </w:tcPr>
          <w:p w14:paraId="47DF511B"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380" w:type="dxa"/>
            <w:shd w:val="clear" w:color="auto" w:fill="FFFFFF" w:themeFill="background1"/>
            <w:noWrap/>
            <w:vAlign w:val="bottom"/>
            <w:hideMark/>
          </w:tcPr>
          <w:p w14:paraId="5D374D1A"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920" w:type="dxa"/>
            <w:shd w:val="clear" w:color="auto" w:fill="auto"/>
            <w:noWrap/>
            <w:vAlign w:val="bottom"/>
            <w:hideMark/>
          </w:tcPr>
          <w:p w14:paraId="2D95C58C"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kgCO2e/kgODW</w:t>
            </w:r>
          </w:p>
        </w:tc>
      </w:tr>
      <w:tr w:rsidR="00845F3A" w:rsidRPr="00845F3A" w14:paraId="066D61CA" w14:textId="77777777" w:rsidTr="00927427">
        <w:trPr>
          <w:trHeight w:val="285"/>
        </w:trPr>
        <w:tc>
          <w:tcPr>
            <w:tcW w:w="2820" w:type="dxa"/>
            <w:shd w:val="clear" w:color="auto" w:fill="auto"/>
            <w:noWrap/>
            <w:vAlign w:val="bottom"/>
            <w:hideMark/>
          </w:tcPr>
          <w:p w14:paraId="539659D6" w14:textId="43A6DD1C"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elec credit (CO2</w:t>
            </w:r>
            <w:r w:rsidR="00EA767F">
              <w:rPr>
                <w:rFonts w:ascii="Calibri" w:eastAsia="Times New Roman" w:hAnsi="Calibri" w:cs="Calibri"/>
                <w:color w:val="000000"/>
              </w:rPr>
              <w:t>e</w:t>
            </w:r>
            <w:r w:rsidRPr="00845F3A">
              <w:rPr>
                <w:rFonts w:ascii="Calibri" w:eastAsia="Times New Roman" w:hAnsi="Calibri" w:cs="Calibri"/>
                <w:color w:val="000000"/>
              </w:rPr>
              <w:t xml:space="preserve"> fossil)</w:t>
            </w:r>
          </w:p>
        </w:tc>
        <w:tc>
          <w:tcPr>
            <w:tcW w:w="1980" w:type="dxa"/>
            <w:shd w:val="clear" w:color="auto" w:fill="FFFFFF" w:themeFill="background1"/>
            <w:noWrap/>
            <w:vAlign w:val="bottom"/>
            <w:hideMark/>
          </w:tcPr>
          <w:p w14:paraId="4A0150EA"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920" w:type="dxa"/>
            <w:shd w:val="clear" w:color="auto" w:fill="FFFFFF" w:themeFill="background1"/>
            <w:noWrap/>
            <w:vAlign w:val="bottom"/>
            <w:hideMark/>
          </w:tcPr>
          <w:p w14:paraId="2F8A099C"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380" w:type="dxa"/>
            <w:shd w:val="clear" w:color="auto" w:fill="FFFFFF" w:themeFill="background1"/>
            <w:noWrap/>
            <w:vAlign w:val="bottom"/>
            <w:hideMark/>
          </w:tcPr>
          <w:p w14:paraId="5D9F6F06" w14:textId="77777777" w:rsidR="00845F3A" w:rsidRPr="00845F3A" w:rsidRDefault="00845F3A" w:rsidP="00845F3A">
            <w:pPr>
              <w:spacing w:after="0" w:line="240" w:lineRule="auto"/>
              <w:jc w:val="right"/>
              <w:rPr>
                <w:rFonts w:ascii="Calibri" w:eastAsia="Times New Roman" w:hAnsi="Calibri" w:cs="Calibri"/>
                <w:color w:val="000000"/>
              </w:rPr>
            </w:pPr>
            <w:r w:rsidRPr="00845F3A">
              <w:rPr>
                <w:rFonts w:ascii="Calibri" w:eastAsia="Times New Roman" w:hAnsi="Calibri" w:cs="Calibri"/>
                <w:color w:val="000000"/>
              </w:rPr>
              <w:t>-0.063</w:t>
            </w:r>
          </w:p>
        </w:tc>
        <w:tc>
          <w:tcPr>
            <w:tcW w:w="1920" w:type="dxa"/>
            <w:shd w:val="clear" w:color="auto" w:fill="auto"/>
            <w:noWrap/>
            <w:vAlign w:val="bottom"/>
            <w:hideMark/>
          </w:tcPr>
          <w:p w14:paraId="487332B7"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kgCO2e/kgODW</w:t>
            </w:r>
          </w:p>
        </w:tc>
      </w:tr>
      <w:tr w:rsidR="00845F3A" w:rsidRPr="00845F3A" w14:paraId="24A6024A" w14:textId="77777777" w:rsidTr="00927427">
        <w:trPr>
          <w:trHeight w:val="293"/>
        </w:trPr>
        <w:tc>
          <w:tcPr>
            <w:tcW w:w="2820" w:type="dxa"/>
            <w:shd w:val="clear" w:color="auto" w:fill="auto"/>
            <w:noWrap/>
            <w:vAlign w:val="bottom"/>
            <w:hideMark/>
          </w:tcPr>
          <w:p w14:paraId="2D4D248D"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thermal energy credit</w:t>
            </w:r>
          </w:p>
        </w:tc>
        <w:tc>
          <w:tcPr>
            <w:tcW w:w="1980" w:type="dxa"/>
            <w:shd w:val="clear" w:color="auto" w:fill="FFFFFF" w:themeFill="background1"/>
            <w:noWrap/>
            <w:vAlign w:val="bottom"/>
            <w:hideMark/>
          </w:tcPr>
          <w:p w14:paraId="03800879"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920" w:type="dxa"/>
            <w:shd w:val="clear" w:color="auto" w:fill="FFFFFF" w:themeFill="background1"/>
            <w:noWrap/>
            <w:vAlign w:val="bottom"/>
            <w:hideMark/>
          </w:tcPr>
          <w:p w14:paraId="61D1B5DD"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 </w:t>
            </w:r>
          </w:p>
        </w:tc>
        <w:tc>
          <w:tcPr>
            <w:tcW w:w="1380" w:type="dxa"/>
            <w:shd w:val="clear" w:color="auto" w:fill="FFFFFF" w:themeFill="background1"/>
            <w:noWrap/>
            <w:vAlign w:val="bottom"/>
            <w:hideMark/>
          </w:tcPr>
          <w:p w14:paraId="453ACA0F" w14:textId="77777777" w:rsidR="00845F3A" w:rsidRPr="00845F3A" w:rsidRDefault="00845F3A" w:rsidP="00845F3A">
            <w:pPr>
              <w:spacing w:after="0" w:line="240" w:lineRule="auto"/>
              <w:jc w:val="right"/>
              <w:rPr>
                <w:rFonts w:ascii="Calibri" w:eastAsia="Times New Roman" w:hAnsi="Calibri" w:cs="Calibri"/>
                <w:color w:val="000000"/>
              </w:rPr>
            </w:pPr>
            <w:r w:rsidRPr="00845F3A">
              <w:rPr>
                <w:rFonts w:ascii="Calibri" w:eastAsia="Times New Roman" w:hAnsi="Calibri" w:cs="Calibri"/>
                <w:color w:val="000000"/>
              </w:rPr>
              <w:t>-0.016</w:t>
            </w:r>
          </w:p>
        </w:tc>
        <w:tc>
          <w:tcPr>
            <w:tcW w:w="1920" w:type="dxa"/>
            <w:shd w:val="clear" w:color="auto" w:fill="auto"/>
            <w:noWrap/>
            <w:vAlign w:val="bottom"/>
            <w:hideMark/>
          </w:tcPr>
          <w:p w14:paraId="7B667511" w14:textId="77777777" w:rsidR="00845F3A" w:rsidRPr="00845F3A" w:rsidRDefault="00845F3A" w:rsidP="00845F3A">
            <w:pPr>
              <w:spacing w:after="0" w:line="240" w:lineRule="auto"/>
              <w:rPr>
                <w:rFonts w:ascii="Calibri" w:eastAsia="Times New Roman" w:hAnsi="Calibri" w:cs="Calibri"/>
                <w:color w:val="000000"/>
              </w:rPr>
            </w:pPr>
            <w:r w:rsidRPr="00845F3A">
              <w:rPr>
                <w:rFonts w:ascii="Calibri" w:eastAsia="Times New Roman" w:hAnsi="Calibri" w:cs="Calibri"/>
                <w:color w:val="000000"/>
              </w:rPr>
              <w:t>kgCO2e/kgODW</w:t>
            </w:r>
          </w:p>
        </w:tc>
      </w:tr>
    </w:tbl>
    <w:p w14:paraId="743EADC7" w14:textId="77777777" w:rsidR="00845F3A" w:rsidRDefault="00845F3A" w:rsidP="00845F3A"/>
    <w:p w14:paraId="386C3A47" w14:textId="4194F6D7" w:rsidR="00AB2009" w:rsidRDefault="77663C6C" w:rsidP="00025C03">
      <w:pPr>
        <w:pStyle w:val="ListParagraph"/>
        <w:numPr>
          <w:ilvl w:val="2"/>
          <w:numId w:val="4"/>
        </w:numPr>
      </w:pPr>
      <w:r w:rsidRPr="7AA5CD64">
        <w:rPr>
          <w:b/>
          <w:bCs/>
        </w:rPr>
        <w:t xml:space="preserve">Scenario 2 - </w:t>
      </w:r>
      <w:r w:rsidR="2596FAFC" w:rsidRPr="7AA5CD64">
        <w:rPr>
          <w:b/>
          <w:bCs/>
        </w:rPr>
        <w:t>Incineration</w:t>
      </w:r>
      <w:r w:rsidRPr="7AA5CD64">
        <w:rPr>
          <w:b/>
          <w:bCs/>
        </w:rPr>
        <w:t>:</w:t>
      </w:r>
      <w:r>
        <w:t xml:space="preserve"> </w:t>
      </w:r>
      <w:r w:rsidR="69398C84">
        <w:t xml:space="preserve">Tally uses data from various GaBi LCIs to determine the various energy credits for this end-of-life scenario. </w:t>
      </w:r>
      <w:r w:rsidR="0EDB0558">
        <w:t>GaBi also doesn’t report the biogenic CO2e emissions from the biogenic carbon released when burning wood, so</w:t>
      </w:r>
      <w:commentRangeStart w:id="64"/>
      <w:r w:rsidR="0B5B00BC">
        <w:t xml:space="preserve"> th</w:t>
      </w:r>
      <w:r w:rsidR="64091ED8">
        <w:t>ese</w:t>
      </w:r>
      <w:r w:rsidR="0B5B00BC">
        <w:t xml:space="preserve"> emissions</w:t>
      </w:r>
      <w:commentRangeEnd w:id="64"/>
      <w:r w:rsidR="009B21DF">
        <w:rPr>
          <w:rStyle w:val="CommentReference"/>
        </w:rPr>
        <w:commentReference w:id="64"/>
      </w:r>
      <w:r w:rsidR="0B5B00BC">
        <w:t xml:space="preserve"> </w:t>
      </w:r>
      <w:r w:rsidR="10ADF40D">
        <w:t>are</w:t>
      </w:r>
      <w:r w:rsidR="0B5B00BC">
        <w:t xml:space="preserve"> calculated </w:t>
      </w:r>
      <w:r w:rsidR="1926D13F">
        <w:t>as equivalent to the biogenic carbon in the wood</w:t>
      </w:r>
      <w:r w:rsidR="0EDB0558">
        <w:t xml:space="preserve">. </w:t>
      </w:r>
      <w:r w:rsidR="69398C84">
        <w:t xml:space="preserve"> </w:t>
      </w:r>
      <w:r w:rsidR="009B21DF">
        <w:fldChar w:fldCharType="begin"/>
      </w:r>
      <w:r w:rsidR="009B21DF">
        <w:instrText xml:space="preserve"> REF _Ref77113342 \h </w:instrText>
      </w:r>
      <w:r w:rsidR="009B21DF">
        <w:fldChar w:fldCharType="separate"/>
      </w:r>
      <w:r>
        <w:t xml:space="preserve">Table </w:t>
      </w:r>
      <w:r w:rsidRPr="7AA5CD64">
        <w:rPr>
          <w:noProof/>
        </w:rPr>
        <w:t>8</w:t>
      </w:r>
      <w:r w:rsidR="009B21DF">
        <w:fldChar w:fldCharType="end"/>
      </w:r>
      <w:r w:rsidR="009B21DF">
        <w:fldChar w:fldCharType="begin"/>
      </w:r>
      <w:r w:rsidR="009B21DF">
        <w:instrText xml:space="preserve"> REF _Ref77113119 \h </w:instrText>
      </w:r>
      <w:r w:rsidR="009B21DF">
        <w:fldChar w:fldCharType="end"/>
      </w:r>
      <w:r>
        <w:t xml:space="preserve"> </w:t>
      </w:r>
      <w:r w:rsidR="69398C84">
        <w:t xml:space="preserve">shows the credit factors </w:t>
      </w:r>
      <w:commentRangeStart w:id="65"/>
      <w:r w:rsidR="69398C84">
        <w:t>for avoided electricity and steam energy production</w:t>
      </w:r>
      <w:commentRangeEnd w:id="65"/>
      <w:r w:rsidR="009B21DF">
        <w:rPr>
          <w:rStyle w:val="CommentReference"/>
        </w:rPr>
        <w:commentReference w:id="65"/>
      </w:r>
      <w:r w:rsidR="1926D13F">
        <w:t xml:space="preserve"> including how the CO2</w:t>
      </w:r>
      <w:r w:rsidR="07F85B17">
        <w:t>e</w:t>
      </w:r>
      <w:r w:rsidR="1926D13F">
        <w:t xml:space="preserve"> biogenic emissions </w:t>
      </w:r>
      <w:r w:rsidR="07F85B17">
        <w:t xml:space="preserve">are calculated. </w:t>
      </w:r>
    </w:p>
    <w:p w14:paraId="4E188ADB" w14:textId="089ABA91" w:rsidR="009B21DF" w:rsidRDefault="009B21DF" w:rsidP="009B21DF">
      <w:pPr>
        <w:pStyle w:val="Caption"/>
        <w:keepNext/>
      </w:pPr>
      <w:bookmarkStart w:id="66" w:name="_Ref77113342"/>
      <w:r>
        <w:t xml:space="preserve">Table </w:t>
      </w:r>
      <w:r>
        <w:fldChar w:fldCharType="begin"/>
      </w:r>
      <w:r>
        <w:instrText>SEQ Table \* ARABIC</w:instrText>
      </w:r>
      <w:r>
        <w:fldChar w:fldCharType="separate"/>
      </w:r>
      <w:r w:rsidR="004C5D4E">
        <w:rPr>
          <w:noProof/>
        </w:rPr>
        <w:t>9</w:t>
      </w:r>
      <w:r>
        <w:fldChar w:fldCharType="end"/>
      </w:r>
      <w:bookmarkEnd w:id="66"/>
      <w:r>
        <w:t xml:space="preserve"> </w:t>
      </w:r>
      <w:r w:rsidRPr="005371F6">
        <w:t>Tally Factors for Incineration Scenario</w:t>
      </w:r>
    </w:p>
    <w:tbl>
      <w:tblPr>
        <w:tblW w:w="100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820"/>
        <w:gridCol w:w="1980"/>
        <w:gridCol w:w="2030"/>
        <w:gridCol w:w="1270"/>
        <w:gridCol w:w="1920"/>
      </w:tblGrid>
      <w:tr w:rsidR="00AB2009" w:rsidRPr="00AB2009" w14:paraId="409BF44B" w14:textId="77777777" w:rsidTr="00927427">
        <w:trPr>
          <w:trHeight w:val="285"/>
        </w:trPr>
        <w:tc>
          <w:tcPr>
            <w:tcW w:w="2820" w:type="dxa"/>
            <w:vMerge w:val="restart"/>
            <w:shd w:val="clear" w:color="auto" w:fill="BFBFBF" w:themeFill="background1" w:themeFillShade="BF"/>
            <w:noWrap/>
            <w:vAlign w:val="bottom"/>
            <w:hideMark/>
          </w:tcPr>
          <w:p w14:paraId="4C9B8D82" w14:textId="77777777" w:rsidR="00AB2009" w:rsidRPr="00AB2009" w:rsidRDefault="00AB2009" w:rsidP="00AB2009">
            <w:pPr>
              <w:spacing w:after="0" w:line="240" w:lineRule="auto"/>
              <w:jc w:val="center"/>
              <w:rPr>
                <w:rFonts w:ascii="Calibri" w:eastAsia="Times New Roman" w:hAnsi="Calibri" w:cs="Calibri"/>
                <w:b/>
                <w:bCs/>
                <w:color w:val="000000"/>
              </w:rPr>
            </w:pPr>
            <w:r w:rsidRPr="00AB2009">
              <w:rPr>
                <w:rFonts w:ascii="Calibri" w:eastAsia="Times New Roman" w:hAnsi="Calibri" w:cs="Calibri"/>
                <w:b/>
                <w:bCs/>
                <w:color w:val="000000"/>
              </w:rPr>
              <w:t>Source</w:t>
            </w:r>
          </w:p>
        </w:tc>
        <w:tc>
          <w:tcPr>
            <w:tcW w:w="5280" w:type="dxa"/>
            <w:gridSpan w:val="3"/>
            <w:shd w:val="clear" w:color="auto" w:fill="BFBFBF" w:themeFill="background1" w:themeFillShade="BF"/>
            <w:noWrap/>
            <w:vAlign w:val="bottom"/>
            <w:hideMark/>
          </w:tcPr>
          <w:p w14:paraId="06909F27" w14:textId="77777777" w:rsidR="00AB2009" w:rsidRPr="00AB2009" w:rsidRDefault="00AB2009" w:rsidP="00AB2009">
            <w:pPr>
              <w:spacing w:after="0" w:line="240" w:lineRule="auto"/>
              <w:jc w:val="center"/>
              <w:rPr>
                <w:rFonts w:ascii="Calibri" w:eastAsia="Times New Roman" w:hAnsi="Calibri" w:cs="Calibri"/>
                <w:b/>
                <w:bCs/>
                <w:color w:val="000000"/>
              </w:rPr>
            </w:pPr>
            <w:r w:rsidRPr="00AB2009">
              <w:rPr>
                <w:rFonts w:ascii="Calibri" w:eastAsia="Times New Roman" w:hAnsi="Calibri" w:cs="Calibri"/>
                <w:b/>
                <w:bCs/>
                <w:color w:val="000000"/>
              </w:rPr>
              <w:t>100% Incineration - Tally</w:t>
            </w:r>
          </w:p>
        </w:tc>
        <w:tc>
          <w:tcPr>
            <w:tcW w:w="1920" w:type="dxa"/>
            <w:vMerge w:val="restart"/>
            <w:shd w:val="clear" w:color="auto" w:fill="BFBFBF" w:themeFill="background1" w:themeFillShade="BF"/>
            <w:noWrap/>
            <w:vAlign w:val="bottom"/>
            <w:hideMark/>
          </w:tcPr>
          <w:p w14:paraId="7536565C" w14:textId="77777777" w:rsidR="00AB2009" w:rsidRPr="00AB2009" w:rsidRDefault="00AB2009" w:rsidP="00AB2009">
            <w:pPr>
              <w:spacing w:after="0" w:line="240" w:lineRule="auto"/>
              <w:jc w:val="center"/>
              <w:rPr>
                <w:rFonts w:ascii="Calibri" w:eastAsia="Times New Roman" w:hAnsi="Calibri" w:cs="Calibri"/>
                <w:b/>
                <w:bCs/>
                <w:color w:val="000000"/>
              </w:rPr>
            </w:pPr>
            <w:r w:rsidRPr="00AB2009">
              <w:rPr>
                <w:rFonts w:ascii="Calibri" w:eastAsia="Times New Roman" w:hAnsi="Calibri" w:cs="Calibri"/>
                <w:b/>
                <w:bCs/>
                <w:color w:val="000000"/>
              </w:rPr>
              <w:t>unit</w:t>
            </w:r>
          </w:p>
        </w:tc>
      </w:tr>
      <w:tr w:rsidR="00AB2009" w:rsidRPr="00AB2009" w14:paraId="6324CBD1" w14:textId="77777777" w:rsidTr="00927427">
        <w:trPr>
          <w:trHeight w:val="570"/>
        </w:trPr>
        <w:tc>
          <w:tcPr>
            <w:tcW w:w="2820" w:type="dxa"/>
            <w:vMerge/>
            <w:vAlign w:val="center"/>
            <w:hideMark/>
          </w:tcPr>
          <w:p w14:paraId="39F7B83D" w14:textId="77777777" w:rsidR="00AB2009" w:rsidRPr="00AB2009" w:rsidRDefault="00AB2009" w:rsidP="00AB2009">
            <w:pPr>
              <w:spacing w:after="0" w:line="240" w:lineRule="auto"/>
              <w:rPr>
                <w:rFonts w:ascii="Calibri" w:eastAsia="Times New Roman" w:hAnsi="Calibri" w:cs="Calibri"/>
                <w:b/>
                <w:bCs/>
                <w:color w:val="000000"/>
              </w:rPr>
            </w:pPr>
          </w:p>
        </w:tc>
        <w:tc>
          <w:tcPr>
            <w:tcW w:w="1980" w:type="dxa"/>
            <w:shd w:val="clear" w:color="auto" w:fill="BFBFBF" w:themeFill="background1" w:themeFillShade="BF"/>
            <w:vAlign w:val="bottom"/>
            <w:hideMark/>
          </w:tcPr>
          <w:p w14:paraId="6F63D193" w14:textId="77777777" w:rsidR="00AB2009" w:rsidRPr="00AB2009" w:rsidRDefault="00AB2009" w:rsidP="00AB2009">
            <w:pPr>
              <w:spacing w:after="0" w:line="240" w:lineRule="auto"/>
              <w:rPr>
                <w:rFonts w:ascii="Calibri" w:eastAsia="Times New Roman" w:hAnsi="Calibri" w:cs="Calibri"/>
                <w:b/>
                <w:bCs/>
                <w:color w:val="000000"/>
              </w:rPr>
            </w:pPr>
            <w:r w:rsidRPr="2C9F44C2">
              <w:rPr>
                <w:rFonts w:ascii="Calibri" w:eastAsia="Times New Roman" w:hAnsi="Calibri" w:cs="Calibri"/>
                <w:b/>
                <w:color w:val="000000" w:themeColor="text1"/>
              </w:rPr>
              <w:t>C2-4 - Non Biogenic Emissions</w:t>
            </w:r>
          </w:p>
        </w:tc>
        <w:tc>
          <w:tcPr>
            <w:tcW w:w="2030" w:type="dxa"/>
            <w:shd w:val="clear" w:color="auto" w:fill="BFBFBF" w:themeFill="background1" w:themeFillShade="BF"/>
            <w:vAlign w:val="bottom"/>
            <w:hideMark/>
          </w:tcPr>
          <w:p w14:paraId="636BF74D" w14:textId="77777777" w:rsidR="00AB2009" w:rsidRPr="00AB2009" w:rsidRDefault="00AB2009" w:rsidP="00AB2009">
            <w:pPr>
              <w:spacing w:after="0" w:line="240" w:lineRule="auto"/>
              <w:rPr>
                <w:rFonts w:ascii="Calibri" w:eastAsia="Times New Roman" w:hAnsi="Calibri" w:cs="Calibri"/>
                <w:b/>
                <w:bCs/>
                <w:color w:val="000000"/>
              </w:rPr>
            </w:pPr>
            <w:r w:rsidRPr="00AB2009">
              <w:rPr>
                <w:rFonts w:ascii="Calibri" w:eastAsia="Times New Roman" w:hAnsi="Calibri" w:cs="Calibri"/>
                <w:b/>
                <w:bCs/>
                <w:color w:val="000000"/>
              </w:rPr>
              <w:t>C2-4 biogenic emissions</w:t>
            </w:r>
          </w:p>
        </w:tc>
        <w:tc>
          <w:tcPr>
            <w:tcW w:w="1270" w:type="dxa"/>
            <w:shd w:val="clear" w:color="auto" w:fill="BFBFBF" w:themeFill="background1" w:themeFillShade="BF"/>
            <w:noWrap/>
            <w:vAlign w:val="bottom"/>
            <w:hideMark/>
          </w:tcPr>
          <w:p w14:paraId="3FFB2B66" w14:textId="77777777" w:rsidR="00AB2009" w:rsidRPr="00AB2009" w:rsidRDefault="00AB2009" w:rsidP="00AB2009">
            <w:pPr>
              <w:spacing w:after="0" w:line="240" w:lineRule="auto"/>
              <w:rPr>
                <w:rFonts w:ascii="Calibri" w:eastAsia="Times New Roman" w:hAnsi="Calibri" w:cs="Calibri"/>
                <w:b/>
                <w:bCs/>
                <w:color w:val="000000"/>
              </w:rPr>
            </w:pPr>
            <w:r w:rsidRPr="00AB2009">
              <w:rPr>
                <w:rFonts w:ascii="Calibri" w:eastAsia="Times New Roman" w:hAnsi="Calibri" w:cs="Calibri"/>
                <w:b/>
                <w:bCs/>
                <w:color w:val="000000"/>
              </w:rPr>
              <w:t>Module D</w:t>
            </w:r>
          </w:p>
        </w:tc>
        <w:tc>
          <w:tcPr>
            <w:tcW w:w="1920" w:type="dxa"/>
            <w:vMerge/>
            <w:vAlign w:val="center"/>
            <w:hideMark/>
          </w:tcPr>
          <w:p w14:paraId="21BCCD83" w14:textId="77777777" w:rsidR="00AB2009" w:rsidRPr="00AB2009" w:rsidRDefault="00AB2009" w:rsidP="00AB2009">
            <w:pPr>
              <w:spacing w:after="0" w:line="240" w:lineRule="auto"/>
              <w:rPr>
                <w:rFonts w:ascii="Calibri" w:eastAsia="Times New Roman" w:hAnsi="Calibri" w:cs="Calibri"/>
                <w:b/>
                <w:bCs/>
                <w:color w:val="000000"/>
              </w:rPr>
            </w:pPr>
          </w:p>
        </w:tc>
      </w:tr>
      <w:tr w:rsidR="00AB2009" w:rsidRPr="00AB2009" w14:paraId="71F73F8F" w14:textId="77777777" w:rsidTr="00927427">
        <w:trPr>
          <w:trHeight w:val="285"/>
        </w:trPr>
        <w:tc>
          <w:tcPr>
            <w:tcW w:w="2820" w:type="dxa"/>
            <w:shd w:val="clear" w:color="auto" w:fill="auto"/>
            <w:noWrap/>
            <w:vAlign w:val="bottom"/>
            <w:hideMark/>
          </w:tcPr>
          <w:p w14:paraId="15ABF7BB" w14:textId="28F8B3BD"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CO2</w:t>
            </w:r>
            <w:r w:rsidR="00EA767F">
              <w:rPr>
                <w:rFonts w:ascii="Calibri" w:eastAsia="Times New Roman" w:hAnsi="Calibri" w:cs="Calibri"/>
                <w:color w:val="000000"/>
              </w:rPr>
              <w:t>e</w:t>
            </w:r>
            <w:r w:rsidRPr="00AB2009">
              <w:rPr>
                <w:rFonts w:ascii="Calibri" w:eastAsia="Times New Roman" w:hAnsi="Calibri" w:cs="Calibri"/>
                <w:color w:val="000000"/>
              </w:rPr>
              <w:t xml:space="preserve"> emissions</w:t>
            </w:r>
          </w:p>
        </w:tc>
        <w:tc>
          <w:tcPr>
            <w:tcW w:w="1980" w:type="dxa"/>
            <w:shd w:val="clear" w:color="auto" w:fill="auto"/>
            <w:noWrap/>
            <w:vAlign w:val="bottom"/>
            <w:hideMark/>
          </w:tcPr>
          <w:p w14:paraId="014B7C81"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2030" w:type="dxa"/>
            <w:shd w:val="clear" w:color="auto" w:fill="FFFFFF" w:themeFill="background1"/>
            <w:noWrap/>
            <w:vAlign w:val="bottom"/>
            <w:hideMark/>
          </w:tcPr>
          <w:p w14:paraId="47F423D9" w14:textId="5C774492" w:rsidR="00AB2009" w:rsidRPr="00AB2009" w:rsidRDefault="00AB2009" w:rsidP="00AB2009">
            <w:pPr>
              <w:spacing w:after="0" w:line="240" w:lineRule="auto"/>
              <w:jc w:val="right"/>
              <w:rPr>
                <w:rFonts w:ascii="Calibri" w:eastAsia="Times New Roman" w:hAnsi="Calibri" w:cs="Calibri"/>
                <w:color w:val="000000"/>
              </w:rPr>
            </w:pPr>
            <w:r w:rsidRPr="00A039F9">
              <w:rPr>
                <w:rFonts w:ascii="Calibri" w:eastAsia="Times New Roman" w:hAnsi="Calibri" w:cs="Calibri"/>
                <w:color w:val="000000"/>
              </w:rPr>
              <w:t xml:space="preserve">biogenic carbon </w:t>
            </w:r>
            <w:r>
              <w:rPr>
                <w:rFonts w:ascii="Calibri" w:eastAsia="Times New Roman" w:hAnsi="Calibri" w:cs="Calibri"/>
                <w:color w:val="000000"/>
              </w:rPr>
              <w:t xml:space="preserve">dioxide equivalent </w:t>
            </w:r>
            <w:r w:rsidRPr="00A039F9">
              <w:rPr>
                <w:rFonts w:ascii="Calibri" w:eastAsia="Times New Roman" w:hAnsi="Calibri" w:cs="Calibri"/>
                <w:color w:val="000000"/>
              </w:rPr>
              <w:t xml:space="preserve">in wood </w:t>
            </w:r>
            <w:r>
              <w:rPr>
                <w:rFonts w:ascii="Calibri" w:eastAsia="Times New Roman" w:hAnsi="Calibri" w:cs="Calibri"/>
                <w:color w:val="000000"/>
              </w:rPr>
              <w:t>is released as an emission</w:t>
            </w:r>
          </w:p>
        </w:tc>
        <w:tc>
          <w:tcPr>
            <w:tcW w:w="1270" w:type="dxa"/>
            <w:shd w:val="clear" w:color="auto" w:fill="FFFFFF" w:themeFill="background1"/>
            <w:noWrap/>
            <w:vAlign w:val="bottom"/>
            <w:hideMark/>
          </w:tcPr>
          <w:p w14:paraId="7C102481"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1920" w:type="dxa"/>
            <w:shd w:val="clear" w:color="auto" w:fill="auto"/>
            <w:noWrap/>
            <w:vAlign w:val="bottom"/>
            <w:hideMark/>
          </w:tcPr>
          <w:p w14:paraId="12556B04"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kgCO2e/kgODW</w:t>
            </w:r>
          </w:p>
        </w:tc>
      </w:tr>
      <w:tr w:rsidR="00AB2009" w:rsidRPr="00AB2009" w14:paraId="128A5AF5" w14:textId="77777777" w:rsidTr="00927427">
        <w:trPr>
          <w:trHeight w:val="285"/>
        </w:trPr>
        <w:tc>
          <w:tcPr>
            <w:tcW w:w="2820" w:type="dxa"/>
            <w:shd w:val="clear" w:color="auto" w:fill="auto"/>
            <w:noWrap/>
            <w:vAlign w:val="bottom"/>
            <w:hideMark/>
          </w:tcPr>
          <w:p w14:paraId="354E3940"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CH4 emissions</w:t>
            </w:r>
          </w:p>
        </w:tc>
        <w:tc>
          <w:tcPr>
            <w:tcW w:w="1980" w:type="dxa"/>
            <w:shd w:val="clear" w:color="auto" w:fill="FFFFFF" w:themeFill="background1"/>
            <w:noWrap/>
            <w:vAlign w:val="bottom"/>
            <w:hideMark/>
          </w:tcPr>
          <w:p w14:paraId="14F72019" w14:textId="77777777" w:rsidR="00AB2009" w:rsidRPr="00AB2009" w:rsidRDefault="00AB2009" w:rsidP="00AB2009">
            <w:pPr>
              <w:spacing w:after="0" w:line="240" w:lineRule="auto"/>
              <w:rPr>
                <w:rFonts w:ascii="Calibri" w:eastAsia="Times New Roman" w:hAnsi="Calibri" w:cs="Calibri"/>
              </w:rPr>
            </w:pPr>
            <w:r w:rsidRPr="00AB2009">
              <w:rPr>
                <w:rFonts w:ascii="Calibri" w:eastAsia="Times New Roman" w:hAnsi="Calibri" w:cs="Calibri"/>
              </w:rPr>
              <w:t> </w:t>
            </w:r>
          </w:p>
        </w:tc>
        <w:tc>
          <w:tcPr>
            <w:tcW w:w="2030" w:type="dxa"/>
            <w:shd w:val="clear" w:color="auto" w:fill="FFFFFF" w:themeFill="background1"/>
            <w:noWrap/>
            <w:vAlign w:val="bottom"/>
            <w:hideMark/>
          </w:tcPr>
          <w:p w14:paraId="67971C5F" w14:textId="77777777" w:rsidR="00AB2009" w:rsidRPr="00AB2009" w:rsidRDefault="00AB2009" w:rsidP="00AB2009">
            <w:pPr>
              <w:spacing w:after="0" w:line="240" w:lineRule="auto"/>
              <w:rPr>
                <w:rFonts w:ascii="Calibri" w:eastAsia="Times New Roman" w:hAnsi="Calibri" w:cs="Calibri"/>
              </w:rPr>
            </w:pPr>
            <w:r w:rsidRPr="00AB2009">
              <w:rPr>
                <w:rFonts w:ascii="Calibri" w:eastAsia="Times New Roman" w:hAnsi="Calibri" w:cs="Calibri"/>
              </w:rPr>
              <w:t> </w:t>
            </w:r>
          </w:p>
        </w:tc>
        <w:tc>
          <w:tcPr>
            <w:tcW w:w="1270" w:type="dxa"/>
            <w:shd w:val="clear" w:color="auto" w:fill="FFFFFF" w:themeFill="background1"/>
            <w:noWrap/>
            <w:vAlign w:val="bottom"/>
            <w:hideMark/>
          </w:tcPr>
          <w:p w14:paraId="2B2858AE"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1920" w:type="dxa"/>
            <w:shd w:val="clear" w:color="auto" w:fill="auto"/>
            <w:noWrap/>
            <w:vAlign w:val="bottom"/>
            <w:hideMark/>
          </w:tcPr>
          <w:p w14:paraId="45DEE1D4"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kgCO2e/kgODW</w:t>
            </w:r>
          </w:p>
        </w:tc>
      </w:tr>
      <w:tr w:rsidR="00AB2009" w:rsidRPr="00AB2009" w14:paraId="5DC5EEC7" w14:textId="77777777" w:rsidTr="00927427">
        <w:trPr>
          <w:trHeight w:val="285"/>
        </w:trPr>
        <w:tc>
          <w:tcPr>
            <w:tcW w:w="2820" w:type="dxa"/>
            <w:shd w:val="clear" w:color="auto" w:fill="auto"/>
            <w:noWrap/>
            <w:vAlign w:val="bottom"/>
            <w:hideMark/>
          </w:tcPr>
          <w:p w14:paraId="60D033C8" w14:textId="68141D78"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elec credit (CO2</w:t>
            </w:r>
            <w:r w:rsidR="00EA767F">
              <w:rPr>
                <w:rFonts w:ascii="Calibri" w:eastAsia="Times New Roman" w:hAnsi="Calibri" w:cs="Calibri"/>
                <w:color w:val="000000"/>
              </w:rPr>
              <w:t>e</w:t>
            </w:r>
            <w:r w:rsidRPr="00AB2009">
              <w:rPr>
                <w:rFonts w:ascii="Calibri" w:eastAsia="Times New Roman" w:hAnsi="Calibri" w:cs="Calibri"/>
                <w:color w:val="000000"/>
              </w:rPr>
              <w:t xml:space="preserve"> fossil)</w:t>
            </w:r>
          </w:p>
        </w:tc>
        <w:tc>
          <w:tcPr>
            <w:tcW w:w="1980" w:type="dxa"/>
            <w:shd w:val="clear" w:color="auto" w:fill="auto"/>
            <w:noWrap/>
            <w:vAlign w:val="bottom"/>
            <w:hideMark/>
          </w:tcPr>
          <w:p w14:paraId="2E5F6423"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2030" w:type="dxa"/>
            <w:shd w:val="clear" w:color="auto" w:fill="FFFFFF" w:themeFill="background1"/>
            <w:noWrap/>
            <w:vAlign w:val="bottom"/>
            <w:hideMark/>
          </w:tcPr>
          <w:p w14:paraId="1C915C72"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1270" w:type="dxa"/>
            <w:shd w:val="clear" w:color="auto" w:fill="FFFFFF" w:themeFill="background1"/>
            <w:noWrap/>
            <w:vAlign w:val="bottom"/>
            <w:hideMark/>
          </w:tcPr>
          <w:p w14:paraId="0F945111" w14:textId="77777777" w:rsidR="00AB2009" w:rsidRPr="00AB2009" w:rsidRDefault="00AB2009" w:rsidP="00AB2009">
            <w:pPr>
              <w:spacing w:after="0" w:line="240" w:lineRule="auto"/>
              <w:jc w:val="right"/>
              <w:rPr>
                <w:rFonts w:ascii="Calibri" w:eastAsia="Times New Roman" w:hAnsi="Calibri" w:cs="Calibri"/>
                <w:color w:val="000000"/>
              </w:rPr>
            </w:pPr>
            <w:r w:rsidRPr="00AB2009">
              <w:rPr>
                <w:rFonts w:ascii="Calibri" w:eastAsia="Times New Roman" w:hAnsi="Calibri" w:cs="Calibri"/>
                <w:color w:val="000000"/>
              </w:rPr>
              <w:t>-0.364</w:t>
            </w:r>
          </w:p>
        </w:tc>
        <w:tc>
          <w:tcPr>
            <w:tcW w:w="1920" w:type="dxa"/>
            <w:shd w:val="clear" w:color="auto" w:fill="auto"/>
            <w:noWrap/>
            <w:vAlign w:val="bottom"/>
            <w:hideMark/>
          </w:tcPr>
          <w:p w14:paraId="47F6AFE0"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kgCO2e/kgODW</w:t>
            </w:r>
          </w:p>
        </w:tc>
      </w:tr>
      <w:tr w:rsidR="00AB2009" w:rsidRPr="00AB2009" w14:paraId="0E95EBCD" w14:textId="77777777" w:rsidTr="00927427">
        <w:trPr>
          <w:trHeight w:val="285"/>
        </w:trPr>
        <w:tc>
          <w:tcPr>
            <w:tcW w:w="2820" w:type="dxa"/>
            <w:shd w:val="clear" w:color="auto" w:fill="auto"/>
            <w:noWrap/>
            <w:vAlign w:val="bottom"/>
            <w:hideMark/>
          </w:tcPr>
          <w:p w14:paraId="0D66304C"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elec credit (CH4 fossil)</w:t>
            </w:r>
          </w:p>
        </w:tc>
        <w:tc>
          <w:tcPr>
            <w:tcW w:w="1980" w:type="dxa"/>
            <w:shd w:val="clear" w:color="auto" w:fill="auto"/>
            <w:noWrap/>
            <w:vAlign w:val="bottom"/>
            <w:hideMark/>
          </w:tcPr>
          <w:p w14:paraId="24578B95"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2030" w:type="dxa"/>
            <w:shd w:val="clear" w:color="auto" w:fill="FFFFFF" w:themeFill="background1"/>
            <w:noWrap/>
            <w:vAlign w:val="bottom"/>
            <w:hideMark/>
          </w:tcPr>
          <w:p w14:paraId="4D92A0E7"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1270" w:type="dxa"/>
            <w:shd w:val="clear" w:color="auto" w:fill="FFFFFF" w:themeFill="background1"/>
            <w:noWrap/>
            <w:vAlign w:val="bottom"/>
            <w:hideMark/>
          </w:tcPr>
          <w:p w14:paraId="0D33AC97" w14:textId="77777777" w:rsidR="00AB2009" w:rsidRPr="00AB2009" w:rsidRDefault="00AB2009" w:rsidP="00AB2009">
            <w:pPr>
              <w:spacing w:after="0" w:line="240" w:lineRule="auto"/>
              <w:jc w:val="right"/>
              <w:rPr>
                <w:rFonts w:ascii="Calibri" w:eastAsia="Times New Roman" w:hAnsi="Calibri" w:cs="Calibri"/>
                <w:color w:val="000000"/>
              </w:rPr>
            </w:pPr>
            <w:r w:rsidRPr="00AB2009">
              <w:rPr>
                <w:rFonts w:ascii="Calibri" w:eastAsia="Times New Roman" w:hAnsi="Calibri" w:cs="Calibri"/>
                <w:color w:val="000000"/>
              </w:rPr>
              <w:t>-0.045</w:t>
            </w:r>
          </w:p>
        </w:tc>
        <w:tc>
          <w:tcPr>
            <w:tcW w:w="1920" w:type="dxa"/>
            <w:shd w:val="clear" w:color="auto" w:fill="auto"/>
            <w:noWrap/>
            <w:vAlign w:val="bottom"/>
            <w:hideMark/>
          </w:tcPr>
          <w:p w14:paraId="1270DB33"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kgCO2e/kgODW</w:t>
            </w:r>
          </w:p>
        </w:tc>
      </w:tr>
      <w:tr w:rsidR="00AB2009" w:rsidRPr="00AB2009" w14:paraId="78DC7CC4" w14:textId="77777777" w:rsidTr="00927427">
        <w:trPr>
          <w:trHeight w:val="293"/>
        </w:trPr>
        <w:tc>
          <w:tcPr>
            <w:tcW w:w="2820" w:type="dxa"/>
            <w:shd w:val="clear" w:color="auto" w:fill="auto"/>
            <w:noWrap/>
            <w:vAlign w:val="bottom"/>
            <w:hideMark/>
          </w:tcPr>
          <w:p w14:paraId="2883DAC3"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steam energy credit</w:t>
            </w:r>
          </w:p>
        </w:tc>
        <w:tc>
          <w:tcPr>
            <w:tcW w:w="1980" w:type="dxa"/>
            <w:shd w:val="clear" w:color="auto" w:fill="auto"/>
            <w:noWrap/>
            <w:vAlign w:val="bottom"/>
            <w:hideMark/>
          </w:tcPr>
          <w:p w14:paraId="656C22A9"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2030" w:type="dxa"/>
            <w:shd w:val="clear" w:color="auto" w:fill="FFFFFF" w:themeFill="background1"/>
            <w:noWrap/>
            <w:vAlign w:val="bottom"/>
            <w:hideMark/>
          </w:tcPr>
          <w:p w14:paraId="007A939A"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 </w:t>
            </w:r>
          </w:p>
        </w:tc>
        <w:tc>
          <w:tcPr>
            <w:tcW w:w="1270" w:type="dxa"/>
            <w:shd w:val="clear" w:color="auto" w:fill="FFFFFF" w:themeFill="background1"/>
            <w:noWrap/>
            <w:vAlign w:val="bottom"/>
            <w:hideMark/>
          </w:tcPr>
          <w:p w14:paraId="797D2520" w14:textId="77777777" w:rsidR="00AB2009" w:rsidRPr="00AB2009" w:rsidRDefault="00AB2009" w:rsidP="00AB2009">
            <w:pPr>
              <w:spacing w:after="0" w:line="240" w:lineRule="auto"/>
              <w:jc w:val="right"/>
              <w:rPr>
                <w:rFonts w:ascii="Calibri" w:eastAsia="Times New Roman" w:hAnsi="Calibri" w:cs="Calibri"/>
                <w:color w:val="000000"/>
              </w:rPr>
            </w:pPr>
            <w:r w:rsidRPr="00AB2009">
              <w:rPr>
                <w:rFonts w:ascii="Calibri" w:eastAsia="Times New Roman" w:hAnsi="Calibri" w:cs="Calibri"/>
                <w:color w:val="000000"/>
              </w:rPr>
              <w:t>-0.045</w:t>
            </w:r>
          </w:p>
        </w:tc>
        <w:tc>
          <w:tcPr>
            <w:tcW w:w="1920" w:type="dxa"/>
            <w:shd w:val="clear" w:color="auto" w:fill="auto"/>
            <w:noWrap/>
            <w:vAlign w:val="bottom"/>
            <w:hideMark/>
          </w:tcPr>
          <w:p w14:paraId="510646F1" w14:textId="77777777" w:rsidR="00AB2009" w:rsidRPr="00AB2009" w:rsidRDefault="00AB2009" w:rsidP="00AB2009">
            <w:pPr>
              <w:spacing w:after="0" w:line="240" w:lineRule="auto"/>
              <w:rPr>
                <w:rFonts w:ascii="Calibri" w:eastAsia="Times New Roman" w:hAnsi="Calibri" w:cs="Calibri"/>
                <w:color w:val="000000"/>
              </w:rPr>
            </w:pPr>
            <w:r w:rsidRPr="00AB2009">
              <w:rPr>
                <w:rFonts w:ascii="Calibri" w:eastAsia="Times New Roman" w:hAnsi="Calibri" w:cs="Calibri"/>
                <w:color w:val="000000"/>
              </w:rPr>
              <w:t>kgCO2e/kgODW</w:t>
            </w:r>
          </w:p>
        </w:tc>
      </w:tr>
    </w:tbl>
    <w:p w14:paraId="20E5C528" w14:textId="77777777" w:rsidR="00C56739" w:rsidRDefault="00C56739" w:rsidP="00AB2009"/>
    <w:p w14:paraId="7601F09A" w14:textId="34D6DE45" w:rsidR="009B21DF" w:rsidRDefault="009B21DF" w:rsidP="009B21DF">
      <w:pPr>
        <w:pStyle w:val="ListParagraph"/>
        <w:numPr>
          <w:ilvl w:val="2"/>
          <w:numId w:val="4"/>
        </w:numPr>
      </w:pPr>
      <w:r w:rsidRPr="009B21DF">
        <w:rPr>
          <w:b/>
          <w:bCs/>
        </w:rPr>
        <w:t xml:space="preserve">Scenario 3 - </w:t>
      </w:r>
      <w:r w:rsidR="00F64D79" w:rsidRPr="009B21DF">
        <w:rPr>
          <w:b/>
          <w:bCs/>
        </w:rPr>
        <w:t>Recycling</w:t>
      </w:r>
      <w:r w:rsidRPr="009B21DF">
        <w:rPr>
          <w:b/>
          <w:bCs/>
        </w:rPr>
        <w:t>:</w:t>
      </w:r>
      <w:r>
        <w:t xml:space="preserve"> </w:t>
      </w:r>
      <w:r w:rsidR="004B1E63">
        <w:t xml:space="preserve">Tally doesn’t use any data sources for recycling, and instead interprets the LCA boundary to pass along any re-processing emissions to the next LCA, so there isn’t a net avoided burden of production </w:t>
      </w:r>
      <w:r w:rsidR="00D62FE8">
        <w:t xml:space="preserve">or transportation </w:t>
      </w:r>
      <w:r w:rsidR="004B1E63">
        <w:t>impact.  Additionally</w:t>
      </w:r>
      <w:r w:rsidR="00D62FE8">
        <w:t>,</w:t>
      </w:r>
      <w:r w:rsidR="004B1E63">
        <w:t xml:space="preserve"> other emissions associated with transportation or biogenic emissions get exported to the next LCA, so they end up as a credit</w:t>
      </w:r>
      <w:r w:rsidR="00845BD2">
        <w:t xml:space="preserve"> in Module D</w:t>
      </w:r>
      <w:r w:rsidR="004B1E63">
        <w:t xml:space="preserve"> since they leave the </w:t>
      </w:r>
      <w:r w:rsidR="00845BD2">
        <w:t>boundary</w:t>
      </w:r>
      <w:r w:rsidR="004B1E63">
        <w:t xml:space="preserve">.  This holds true for the biogenic carbon in the product as well, </w:t>
      </w:r>
      <w:r w:rsidR="00672105">
        <w:t xml:space="preserve">except </w:t>
      </w:r>
      <w:r w:rsidR="005B0AFE">
        <w:t xml:space="preserve">since its typically a credit it becomes a </w:t>
      </w:r>
      <w:r w:rsidR="004B1E63">
        <w:t xml:space="preserve">large biogenic CO2 emission </w:t>
      </w:r>
      <w:r w:rsidR="005B0AFE">
        <w:t xml:space="preserve">when it leaves the </w:t>
      </w:r>
      <w:r w:rsidR="004B1E63">
        <w:t xml:space="preserve">LCA scope boundary.  </w:t>
      </w:r>
      <w:r>
        <w:fldChar w:fldCharType="begin"/>
      </w:r>
      <w:r>
        <w:instrText xml:space="preserve"> REF _Ref77113376 \h </w:instrText>
      </w:r>
      <w:r>
        <w:fldChar w:fldCharType="separate"/>
      </w:r>
      <w:r>
        <w:t xml:space="preserve">Table </w:t>
      </w:r>
      <w:r>
        <w:rPr>
          <w:noProof/>
        </w:rPr>
        <w:t>9</w:t>
      </w:r>
      <w:r>
        <w:fldChar w:fldCharType="end"/>
      </w:r>
      <w:r>
        <w:t xml:space="preserve"> </w:t>
      </w:r>
      <w:r w:rsidR="004B1E63">
        <w:t>shows these two credits, and also the biogenic carbon leaving the boundary as a positive emission in the “CO2 (resource)” row.</w:t>
      </w:r>
    </w:p>
    <w:p w14:paraId="6176DF6C" w14:textId="60903391" w:rsidR="009B21DF" w:rsidRDefault="009B21DF" w:rsidP="009B21DF">
      <w:pPr>
        <w:pStyle w:val="Caption"/>
        <w:keepNext/>
      </w:pPr>
      <w:bookmarkStart w:id="67" w:name="_Ref77113376"/>
      <w:r>
        <w:lastRenderedPageBreak/>
        <w:t xml:space="preserve">Table </w:t>
      </w:r>
      <w:r>
        <w:fldChar w:fldCharType="begin"/>
      </w:r>
      <w:r>
        <w:instrText>SEQ Table \* ARABIC</w:instrText>
      </w:r>
      <w:r>
        <w:fldChar w:fldCharType="separate"/>
      </w:r>
      <w:r w:rsidR="004C5D4E">
        <w:rPr>
          <w:noProof/>
        </w:rPr>
        <w:t>10</w:t>
      </w:r>
      <w:r>
        <w:fldChar w:fldCharType="end"/>
      </w:r>
      <w:bookmarkEnd w:id="67"/>
      <w:r>
        <w:t xml:space="preserve"> </w:t>
      </w:r>
      <w:r w:rsidRPr="00897975">
        <w:t>Tally Factors for Recycling Scenario</w:t>
      </w:r>
    </w:p>
    <w:tbl>
      <w:tblPr>
        <w:tblW w:w="100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820"/>
        <w:gridCol w:w="1980"/>
        <w:gridCol w:w="1920"/>
        <w:gridCol w:w="1380"/>
        <w:gridCol w:w="1920"/>
      </w:tblGrid>
      <w:tr w:rsidR="004B1E63" w:rsidRPr="004B1E63" w14:paraId="0E5EE0BB" w14:textId="77777777" w:rsidTr="00927427">
        <w:trPr>
          <w:trHeight w:val="285"/>
        </w:trPr>
        <w:tc>
          <w:tcPr>
            <w:tcW w:w="2820" w:type="dxa"/>
            <w:vMerge w:val="restart"/>
            <w:shd w:val="clear" w:color="auto" w:fill="BFBFBF" w:themeFill="background1" w:themeFillShade="BF"/>
            <w:noWrap/>
            <w:vAlign w:val="bottom"/>
            <w:hideMark/>
          </w:tcPr>
          <w:p w14:paraId="785CD18F" w14:textId="77777777" w:rsidR="004B1E63" w:rsidRPr="004B1E63" w:rsidRDefault="004B1E63" w:rsidP="004B1E63">
            <w:pPr>
              <w:spacing w:after="0" w:line="240" w:lineRule="auto"/>
              <w:jc w:val="center"/>
              <w:rPr>
                <w:rFonts w:ascii="Calibri" w:eastAsia="Times New Roman" w:hAnsi="Calibri" w:cs="Calibri"/>
                <w:b/>
                <w:bCs/>
                <w:color w:val="000000"/>
              </w:rPr>
            </w:pPr>
            <w:r w:rsidRPr="004B1E63">
              <w:rPr>
                <w:rFonts w:ascii="Calibri" w:eastAsia="Times New Roman" w:hAnsi="Calibri" w:cs="Calibri"/>
                <w:b/>
                <w:bCs/>
                <w:color w:val="000000"/>
              </w:rPr>
              <w:t>Source</w:t>
            </w:r>
          </w:p>
        </w:tc>
        <w:tc>
          <w:tcPr>
            <w:tcW w:w="5280" w:type="dxa"/>
            <w:gridSpan w:val="3"/>
            <w:shd w:val="clear" w:color="auto" w:fill="BFBFBF" w:themeFill="background1" w:themeFillShade="BF"/>
            <w:noWrap/>
            <w:vAlign w:val="bottom"/>
            <w:hideMark/>
          </w:tcPr>
          <w:p w14:paraId="1BE0402E" w14:textId="77777777" w:rsidR="004B1E63" w:rsidRPr="004B1E63" w:rsidRDefault="004B1E63" w:rsidP="004B1E63">
            <w:pPr>
              <w:spacing w:after="0" w:line="240" w:lineRule="auto"/>
              <w:jc w:val="center"/>
              <w:rPr>
                <w:rFonts w:ascii="Calibri" w:eastAsia="Times New Roman" w:hAnsi="Calibri" w:cs="Calibri"/>
                <w:b/>
                <w:bCs/>
                <w:color w:val="000000"/>
              </w:rPr>
            </w:pPr>
            <w:r w:rsidRPr="004B1E63">
              <w:rPr>
                <w:rFonts w:ascii="Calibri" w:eastAsia="Times New Roman" w:hAnsi="Calibri" w:cs="Calibri"/>
                <w:b/>
                <w:bCs/>
                <w:color w:val="000000"/>
              </w:rPr>
              <w:t>100% Recycling</w:t>
            </w:r>
          </w:p>
        </w:tc>
        <w:tc>
          <w:tcPr>
            <w:tcW w:w="1920" w:type="dxa"/>
            <w:vMerge w:val="restart"/>
            <w:shd w:val="clear" w:color="auto" w:fill="BFBFBF" w:themeFill="background1" w:themeFillShade="BF"/>
            <w:noWrap/>
            <w:vAlign w:val="bottom"/>
            <w:hideMark/>
          </w:tcPr>
          <w:p w14:paraId="050AE77A" w14:textId="77777777" w:rsidR="004B1E63" w:rsidRPr="004B1E63" w:rsidRDefault="004B1E63" w:rsidP="004B1E63">
            <w:pPr>
              <w:spacing w:after="0" w:line="240" w:lineRule="auto"/>
              <w:jc w:val="center"/>
              <w:rPr>
                <w:rFonts w:ascii="Calibri" w:eastAsia="Times New Roman" w:hAnsi="Calibri" w:cs="Calibri"/>
                <w:b/>
                <w:bCs/>
                <w:color w:val="000000"/>
              </w:rPr>
            </w:pPr>
            <w:r w:rsidRPr="004B1E63">
              <w:rPr>
                <w:rFonts w:ascii="Calibri" w:eastAsia="Times New Roman" w:hAnsi="Calibri" w:cs="Calibri"/>
                <w:b/>
                <w:bCs/>
                <w:color w:val="000000"/>
              </w:rPr>
              <w:t>unit</w:t>
            </w:r>
          </w:p>
        </w:tc>
      </w:tr>
      <w:tr w:rsidR="004B1E63" w:rsidRPr="004B1E63" w14:paraId="234EFB03" w14:textId="77777777" w:rsidTr="00927427">
        <w:trPr>
          <w:trHeight w:val="570"/>
        </w:trPr>
        <w:tc>
          <w:tcPr>
            <w:tcW w:w="2820" w:type="dxa"/>
            <w:vMerge/>
            <w:vAlign w:val="center"/>
            <w:hideMark/>
          </w:tcPr>
          <w:p w14:paraId="68E01C41" w14:textId="77777777" w:rsidR="004B1E63" w:rsidRPr="004B1E63" w:rsidRDefault="004B1E63" w:rsidP="004B1E63">
            <w:pPr>
              <w:spacing w:after="0" w:line="240" w:lineRule="auto"/>
              <w:rPr>
                <w:rFonts w:ascii="Calibri" w:eastAsia="Times New Roman" w:hAnsi="Calibri" w:cs="Calibri"/>
                <w:b/>
                <w:bCs/>
                <w:color w:val="000000"/>
              </w:rPr>
            </w:pPr>
          </w:p>
        </w:tc>
        <w:tc>
          <w:tcPr>
            <w:tcW w:w="1980" w:type="dxa"/>
            <w:shd w:val="clear" w:color="auto" w:fill="BFBFBF" w:themeFill="background1" w:themeFillShade="BF"/>
            <w:vAlign w:val="bottom"/>
            <w:hideMark/>
          </w:tcPr>
          <w:p w14:paraId="78A8DDE6" w14:textId="77777777" w:rsidR="004B1E63" w:rsidRPr="004B1E63" w:rsidRDefault="004B1E63" w:rsidP="004B1E63">
            <w:pPr>
              <w:spacing w:after="0" w:line="240" w:lineRule="auto"/>
              <w:rPr>
                <w:rFonts w:ascii="Calibri" w:eastAsia="Times New Roman" w:hAnsi="Calibri" w:cs="Calibri"/>
                <w:b/>
                <w:bCs/>
                <w:color w:val="000000"/>
              </w:rPr>
            </w:pPr>
            <w:r w:rsidRPr="2C9F44C2">
              <w:rPr>
                <w:rFonts w:ascii="Calibri" w:eastAsia="Times New Roman" w:hAnsi="Calibri" w:cs="Calibri"/>
                <w:b/>
                <w:color w:val="000000" w:themeColor="text1"/>
              </w:rPr>
              <w:t>C2-4 - Non Biogenic Emissions</w:t>
            </w:r>
          </w:p>
        </w:tc>
        <w:tc>
          <w:tcPr>
            <w:tcW w:w="1920" w:type="dxa"/>
            <w:shd w:val="clear" w:color="auto" w:fill="BFBFBF" w:themeFill="background1" w:themeFillShade="BF"/>
            <w:vAlign w:val="bottom"/>
            <w:hideMark/>
          </w:tcPr>
          <w:p w14:paraId="0155BD2A" w14:textId="77777777" w:rsidR="004B1E63" w:rsidRPr="004B1E63" w:rsidRDefault="004B1E63" w:rsidP="004B1E63">
            <w:pPr>
              <w:spacing w:after="0" w:line="240" w:lineRule="auto"/>
              <w:rPr>
                <w:rFonts w:ascii="Calibri" w:eastAsia="Times New Roman" w:hAnsi="Calibri" w:cs="Calibri"/>
                <w:b/>
                <w:bCs/>
                <w:color w:val="000000"/>
              </w:rPr>
            </w:pPr>
            <w:r w:rsidRPr="004B1E63">
              <w:rPr>
                <w:rFonts w:ascii="Calibri" w:eastAsia="Times New Roman" w:hAnsi="Calibri" w:cs="Calibri"/>
                <w:b/>
                <w:bCs/>
                <w:color w:val="000000"/>
              </w:rPr>
              <w:t>C2-4 biogenic emissions</w:t>
            </w:r>
          </w:p>
        </w:tc>
        <w:tc>
          <w:tcPr>
            <w:tcW w:w="1380" w:type="dxa"/>
            <w:shd w:val="clear" w:color="auto" w:fill="BFBFBF" w:themeFill="background1" w:themeFillShade="BF"/>
            <w:noWrap/>
            <w:vAlign w:val="bottom"/>
            <w:hideMark/>
          </w:tcPr>
          <w:p w14:paraId="5146AA6E" w14:textId="77777777" w:rsidR="004B1E63" w:rsidRPr="004B1E63" w:rsidRDefault="004B1E63" w:rsidP="004B1E63">
            <w:pPr>
              <w:spacing w:after="0" w:line="240" w:lineRule="auto"/>
              <w:rPr>
                <w:rFonts w:ascii="Calibri" w:eastAsia="Times New Roman" w:hAnsi="Calibri" w:cs="Calibri"/>
                <w:b/>
                <w:bCs/>
                <w:color w:val="000000"/>
              </w:rPr>
            </w:pPr>
            <w:r w:rsidRPr="004B1E63">
              <w:rPr>
                <w:rFonts w:ascii="Calibri" w:eastAsia="Times New Roman" w:hAnsi="Calibri" w:cs="Calibri"/>
                <w:b/>
                <w:bCs/>
                <w:color w:val="000000"/>
              </w:rPr>
              <w:t>Module D</w:t>
            </w:r>
          </w:p>
        </w:tc>
        <w:tc>
          <w:tcPr>
            <w:tcW w:w="1920" w:type="dxa"/>
            <w:vMerge/>
            <w:vAlign w:val="center"/>
            <w:hideMark/>
          </w:tcPr>
          <w:p w14:paraId="1F052451" w14:textId="77777777" w:rsidR="004B1E63" w:rsidRPr="004B1E63" w:rsidRDefault="004B1E63" w:rsidP="004B1E63">
            <w:pPr>
              <w:spacing w:after="0" w:line="240" w:lineRule="auto"/>
              <w:rPr>
                <w:rFonts w:ascii="Calibri" w:eastAsia="Times New Roman" w:hAnsi="Calibri" w:cs="Calibri"/>
                <w:b/>
                <w:bCs/>
                <w:color w:val="000000"/>
              </w:rPr>
            </w:pPr>
          </w:p>
        </w:tc>
      </w:tr>
      <w:tr w:rsidR="004B1E63" w:rsidRPr="004B1E63" w14:paraId="39D40A03" w14:textId="77777777" w:rsidTr="00927427">
        <w:trPr>
          <w:trHeight w:val="285"/>
        </w:trPr>
        <w:tc>
          <w:tcPr>
            <w:tcW w:w="2820" w:type="dxa"/>
            <w:shd w:val="clear" w:color="auto" w:fill="FFFFFF" w:themeFill="background1"/>
            <w:noWrap/>
            <w:vAlign w:val="bottom"/>
            <w:hideMark/>
          </w:tcPr>
          <w:p w14:paraId="280075C9"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CO2 (fossil)</w:t>
            </w:r>
          </w:p>
        </w:tc>
        <w:tc>
          <w:tcPr>
            <w:tcW w:w="1980" w:type="dxa"/>
            <w:shd w:val="clear" w:color="auto" w:fill="FFFFFF" w:themeFill="background1"/>
            <w:vAlign w:val="bottom"/>
            <w:hideMark/>
          </w:tcPr>
          <w:p w14:paraId="34B375BD"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c>
          <w:tcPr>
            <w:tcW w:w="1920" w:type="dxa"/>
            <w:shd w:val="clear" w:color="auto" w:fill="FFFFFF" w:themeFill="background1"/>
            <w:noWrap/>
            <w:vAlign w:val="bottom"/>
            <w:hideMark/>
          </w:tcPr>
          <w:p w14:paraId="63B8A5B4"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c>
          <w:tcPr>
            <w:tcW w:w="1380" w:type="dxa"/>
            <w:shd w:val="clear" w:color="auto" w:fill="FFFFFF" w:themeFill="background1"/>
            <w:noWrap/>
            <w:vAlign w:val="bottom"/>
            <w:hideMark/>
          </w:tcPr>
          <w:p w14:paraId="3DB9E69F" w14:textId="77777777" w:rsidR="004B1E63" w:rsidRPr="004B1E63" w:rsidRDefault="004B1E63" w:rsidP="004B1E63">
            <w:pPr>
              <w:spacing w:after="0" w:line="240" w:lineRule="auto"/>
              <w:jc w:val="right"/>
              <w:rPr>
                <w:rFonts w:ascii="Calibri" w:eastAsia="Times New Roman" w:hAnsi="Calibri" w:cs="Calibri"/>
                <w:color w:val="000000"/>
              </w:rPr>
            </w:pPr>
            <w:r w:rsidRPr="004B1E63">
              <w:rPr>
                <w:rFonts w:ascii="Calibri" w:eastAsia="Times New Roman" w:hAnsi="Calibri" w:cs="Calibri"/>
                <w:color w:val="000000"/>
              </w:rPr>
              <w:t>-0.138</w:t>
            </w:r>
          </w:p>
        </w:tc>
        <w:tc>
          <w:tcPr>
            <w:tcW w:w="1920" w:type="dxa"/>
            <w:shd w:val="clear" w:color="auto" w:fill="FFFFFF" w:themeFill="background1"/>
            <w:noWrap/>
            <w:vAlign w:val="bottom"/>
            <w:hideMark/>
          </w:tcPr>
          <w:p w14:paraId="1FD141BF"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kgCO2e/kgODW</w:t>
            </w:r>
          </w:p>
        </w:tc>
      </w:tr>
      <w:tr w:rsidR="004B1E63" w:rsidRPr="004B1E63" w14:paraId="0983FABD" w14:textId="77777777" w:rsidTr="00927427">
        <w:trPr>
          <w:trHeight w:val="285"/>
        </w:trPr>
        <w:tc>
          <w:tcPr>
            <w:tcW w:w="2820" w:type="dxa"/>
            <w:shd w:val="clear" w:color="auto" w:fill="FFFFFF" w:themeFill="background1"/>
            <w:noWrap/>
            <w:vAlign w:val="bottom"/>
            <w:hideMark/>
          </w:tcPr>
          <w:p w14:paraId="1690F5D3"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CO2 (biogenic)</w:t>
            </w:r>
          </w:p>
        </w:tc>
        <w:tc>
          <w:tcPr>
            <w:tcW w:w="1980" w:type="dxa"/>
            <w:shd w:val="clear" w:color="auto" w:fill="FFFFFF" w:themeFill="background1"/>
            <w:noWrap/>
            <w:vAlign w:val="bottom"/>
            <w:hideMark/>
          </w:tcPr>
          <w:p w14:paraId="5233663C"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c>
          <w:tcPr>
            <w:tcW w:w="1920" w:type="dxa"/>
            <w:shd w:val="clear" w:color="auto" w:fill="FFFFFF" w:themeFill="background1"/>
            <w:noWrap/>
            <w:vAlign w:val="bottom"/>
            <w:hideMark/>
          </w:tcPr>
          <w:p w14:paraId="18E5E9AF"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c>
          <w:tcPr>
            <w:tcW w:w="1380" w:type="dxa"/>
            <w:shd w:val="clear" w:color="auto" w:fill="FFFFFF" w:themeFill="background1"/>
            <w:noWrap/>
            <w:vAlign w:val="bottom"/>
            <w:hideMark/>
          </w:tcPr>
          <w:p w14:paraId="4742A8E7" w14:textId="77777777" w:rsidR="004B1E63" w:rsidRPr="004B1E63" w:rsidRDefault="004B1E63" w:rsidP="004B1E63">
            <w:pPr>
              <w:spacing w:after="0" w:line="240" w:lineRule="auto"/>
              <w:jc w:val="right"/>
              <w:rPr>
                <w:rFonts w:ascii="Calibri" w:eastAsia="Times New Roman" w:hAnsi="Calibri" w:cs="Calibri"/>
                <w:color w:val="000000"/>
              </w:rPr>
            </w:pPr>
            <w:r w:rsidRPr="004B1E63">
              <w:rPr>
                <w:rFonts w:ascii="Calibri" w:eastAsia="Times New Roman" w:hAnsi="Calibri" w:cs="Calibri"/>
                <w:color w:val="000000"/>
              </w:rPr>
              <w:t>-0.345</w:t>
            </w:r>
          </w:p>
        </w:tc>
        <w:tc>
          <w:tcPr>
            <w:tcW w:w="1920" w:type="dxa"/>
            <w:shd w:val="clear" w:color="auto" w:fill="FFFFFF" w:themeFill="background1"/>
            <w:noWrap/>
            <w:vAlign w:val="bottom"/>
            <w:hideMark/>
          </w:tcPr>
          <w:p w14:paraId="635686F3"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r>
      <w:tr w:rsidR="004B1E63" w:rsidRPr="004B1E63" w14:paraId="389CC8D4" w14:textId="77777777" w:rsidTr="00927427">
        <w:trPr>
          <w:trHeight w:val="293"/>
        </w:trPr>
        <w:tc>
          <w:tcPr>
            <w:tcW w:w="2820" w:type="dxa"/>
            <w:shd w:val="clear" w:color="auto" w:fill="FFFFFF" w:themeFill="background1"/>
            <w:noWrap/>
            <w:vAlign w:val="bottom"/>
            <w:hideMark/>
          </w:tcPr>
          <w:p w14:paraId="2736CBB3"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CO2 (resource)</w:t>
            </w:r>
          </w:p>
        </w:tc>
        <w:tc>
          <w:tcPr>
            <w:tcW w:w="1980" w:type="dxa"/>
            <w:shd w:val="clear" w:color="auto" w:fill="FFFFFF" w:themeFill="background1"/>
            <w:vAlign w:val="bottom"/>
            <w:hideMark/>
          </w:tcPr>
          <w:p w14:paraId="7C315DDA"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c>
          <w:tcPr>
            <w:tcW w:w="1920" w:type="dxa"/>
            <w:shd w:val="clear" w:color="auto" w:fill="FFFFFF" w:themeFill="background1"/>
            <w:noWrap/>
            <w:vAlign w:val="bottom"/>
            <w:hideMark/>
          </w:tcPr>
          <w:p w14:paraId="0CEA6D82"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 </w:t>
            </w:r>
          </w:p>
        </w:tc>
        <w:tc>
          <w:tcPr>
            <w:tcW w:w="1380" w:type="dxa"/>
            <w:shd w:val="clear" w:color="auto" w:fill="FFFFFF" w:themeFill="background1"/>
            <w:noWrap/>
            <w:vAlign w:val="bottom"/>
            <w:hideMark/>
          </w:tcPr>
          <w:p w14:paraId="1877CAB4" w14:textId="77777777" w:rsidR="004B1E63" w:rsidRPr="004B1E63" w:rsidRDefault="004B1E63" w:rsidP="004B1E63">
            <w:pPr>
              <w:spacing w:after="0" w:line="240" w:lineRule="auto"/>
              <w:jc w:val="right"/>
              <w:rPr>
                <w:rFonts w:ascii="Calibri" w:eastAsia="Times New Roman" w:hAnsi="Calibri" w:cs="Calibri"/>
                <w:color w:val="000000"/>
              </w:rPr>
            </w:pPr>
            <w:r w:rsidRPr="004B1E63">
              <w:rPr>
                <w:rFonts w:ascii="Calibri" w:eastAsia="Times New Roman" w:hAnsi="Calibri" w:cs="Calibri"/>
                <w:color w:val="000000"/>
              </w:rPr>
              <w:t>2.345</w:t>
            </w:r>
          </w:p>
        </w:tc>
        <w:tc>
          <w:tcPr>
            <w:tcW w:w="1920" w:type="dxa"/>
            <w:shd w:val="clear" w:color="auto" w:fill="FFFFFF" w:themeFill="background1"/>
            <w:noWrap/>
            <w:vAlign w:val="bottom"/>
            <w:hideMark/>
          </w:tcPr>
          <w:p w14:paraId="46A810E4" w14:textId="77777777" w:rsidR="004B1E63" w:rsidRPr="004B1E63" w:rsidRDefault="004B1E63" w:rsidP="004B1E63">
            <w:pPr>
              <w:spacing w:after="0" w:line="240" w:lineRule="auto"/>
              <w:rPr>
                <w:rFonts w:ascii="Calibri" w:eastAsia="Times New Roman" w:hAnsi="Calibri" w:cs="Calibri"/>
                <w:color w:val="000000"/>
              </w:rPr>
            </w:pPr>
            <w:r w:rsidRPr="004B1E63">
              <w:rPr>
                <w:rFonts w:ascii="Calibri" w:eastAsia="Times New Roman" w:hAnsi="Calibri" w:cs="Calibri"/>
                <w:color w:val="000000"/>
              </w:rPr>
              <w:t>kgCO2e/kgODW</w:t>
            </w:r>
          </w:p>
        </w:tc>
      </w:tr>
    </w:tbl>
    <w:p w14:paraId="2FAA0D60" w14:textId="77777777" w:rsidR="004B1E63" w:rsidRDefault="004B1E63" w:rsidP="004B1E63"/>
    <w:p w14:paraId="77A1815E" w14:textId="6DC647B3" w:rsidR="00511C1A" w:rsidRDefault="00511C1A" w:rsidP="00511C1A">
      <w:pPr>
        <w:pStyle w:val="Heading3"/>
      </w:pPr>
      <w:bookmarkStart w:id="68" w:name="_Toc77661177"/>
      <w:r>
        <w:t>Step 5 Outputs</w:t>
      </w:r>
      <w:bookmarkEnd w:id="68"/>
    </w:p>
    <w:p w14:paraId="5FB412B9" w14:textId="77777777" w:rsidR="00511C1A" w:rsidRPr="00511C1A" w:rsidRDefault="00511C1A" w:rsidP="00511C1A"/>
    <w:p w14:paraId="304B54AD" w14:textId="0ACE5BCB" w:rsidR="006E0B90" w:rsidRDefault="006E0B90" w:rsidP="00C42037">
      <w:r>
        <w:t>There are th</w:t>
      </w:r>
      <w:r w:rsidR="00170FB0">
        <w:t>r</w:t>
      </w:r>
      <w:r>
        <w:t xml:space="preserve">ee different outputs and charts that are relevant to the </w:t>
      </w:r>
      <w:r w:rsidR="6FFD93EF">
        <w:t>end-of-life</w:t>
      </w:r>
      <w:r>
        <w:t xml:space="preserve"> module calculations</w:t>
      </w:r>
      <w:r w:rsidR="00C42037">
        <w:t>.</w:t>
      </w:r>
    </w:p>
    <w:p w14:paraId="7DFA7D34" w14:textId="22C378B3" w:rsidR="00C42037" w:rsidRDefault="00C42037" w:rsidP="00C42037">
      <w:r w:rsidRPr="00170FB0">
        <w:rPr>
          <w:b/>
          <w:bCs/>
        </w:rPr>
        <w:t>Output:</w:t>
      </w:r>
      <w:r>
        <w:t xml:space="preserve"> Scenario 1</w:t>
      </w:r>
      <w:r w:rsidR="006B4728">
        <w:t xml:space="preserve"> – kgCO2e by Life Cycle Stage</w:t>
      </w:r>
    </w:p>
    <w:p w14:paraId="7A268CCA" w14:textId="77777777" w:rsidR="006E0B90" w:rsidRDefault="006B4728" w:rsidP="000814F5">
      <w:pPr>
        <w:pStyle w:val="ListParagraph"/>
        <w:numPr>
          <w:ilvl w:val="0"/>
          <w:numId w:val="4"/>
        </w:numPr>
      </w:pPr>
      <w:r w:rsidRPr="000814F5">
        <w:rPr>
          <w:b/>
          <w:bCs/>
        </w:rPr>
        <w:t>Description:</w:t>
      </w:r>
      <w:r>
        <w:t xml:space="preserve"> </w:t>
      </w:r>
      <w:r>
        <w:fldChar w:fldCharType="begin"/>
      </w:r>
      <w:r>
        <w:instrText xml:space="preserve"> REF _Ref77113507 \h </w:instrText>
      </w:r>
      <w:r>
        <w:fldChar w:fldCharType="separate"/>
      </w:r>
      <w:r>
        <w:t xml:space="preserve">Figure </w:t>
      </w:r>
      <w:r>
        <w:rPr>
          <w:noProof/>
        </w:rPr>
        <w:t>4</w:t>
      </w:r>
      <w:r>
        <w:fldChar w:fldCharType="end"/>
      </w:r>
      <w:r>
        <w:t xml:space="preserve"> </w:t>
      </w:r>
      <w:r w:rsidR="006E0B90">
        <w:t xml:space="preserve">is the main output of UpStream, and as you complete the Module C inputs, the </w:t>
      </w:r>
      <w:r w:rsidR="00B543D6">
        <w:t>“</w:t>
      </w:r>
      <w:r w:rsidR="006E0B90">
        <w:t>C</w:t>
      </w:r>
      <w:r w:rsidR="00B543D6">
        <w:t>2-4 Biogenic Emissions from Product” and “C2-4 Non-Biogenic Emissions” update based on user selections.  The table below the chart also updates to call out the data source or programs that inform the calculations.</w:t>
      </w:r>
    </w:p>
    <w:p w14:paraId="2DCBBDCD" w14:textId="376CB03C" w:rsidR="006B4728" w:rsidRDefault="006B4728" w:rsidP="006B4728">
      <w:pPr>
        <w:pStyle w:val="Caption"/>
        <w:keepNext/>
      </w:pPr>
      <w:bookmarkStart w:id="69" w:name="_Ref77113507"/>
      <w:r>
        <w:t xml:space="preserve">Figure </w:t>
      </w:r>
      <w:r>
        <w:fldChar w:fldCharType="begin"/>
      </w:r>
      <w:r>
        <w:instrText>SEQ Figure \* ARABIC</w:instrText>
      </w:r>
      <w:r>
        <w:fldChar w:fldCharType="separate"/>
      </w:r>
      <w:r w:rsidR="00ED1A20">
        <w:rPr>
          <w:noProof/>
        </w:rPr>
        <w:t>5</w:t>
      </w:r>
      <w:r>
        <w:fldChar w:fldCharType="end"/>
      </w:r>
      <w:bookmarkEnd w:id="69"/>
      <w:r>
        <w:t xml:space="preserve"> </w:t>
      </w:r>
      <w:r w:rsidRPr="00607D89">
        <w:t>Example Output for 1 Meter Cubed of Glulam</w:t>
      </w:r>
    </w:p>
    <w:p w14:paraId="35377BAE" w14:textId="20E26D13" w:rsidR="00B543D6" w:rsidRDefault="0005574D" w:rsidP="006B4728">
      <w:r>
        <w:rPr>
          <w:noProof/>
        </w:rPr>
        <mc:AlternateContent>
          <mc:Choice Requires="wps">
            <w:drawing>
              <wp:anchor distT="0" distB="0" distL="114300" distR="114300" simplePos="0" relativeHeight="251659264" behindDoc="0" locked="0" layoutInCell="1" allowOverlap="1" wp14:anchorId="101F1B36" wp14:editId="6EB6B382">
                <wp:simplePos x="0" y="0"/>
                <wp:positionH relativeFrom="column">
                  <wp:posOffset>2989815</wp:posOffset>
                </wp:positionH>
                <wp:positionV relativeFrom="paragraph">
                  <wp:posOffset>308755</wp:posOffset>
                </wp:positionV>
                <wp:extent cx="1507581" cy="1131082"/>
                <wp:effectExtent l="0" t="0" r="16510" b="12065"/>
                <wp:wrapNone/>
                <wp:docPr id="14" name="Oval 14"/>
                <wp:cNvGraphicFramePr/>
                <a:graphic xmlns:a="http://schemas.openxmlformats.org/drawingml/2006/main">
                  <a:graphicData uri="http://schemas.microsoft.com/office/word/2010/wordprocessingShape">
                    <wps:wsp>
                      <wps:cNvSpPr/>
                      <wps:spPr>
                        <a:xfrm>
                          <a:off x="0" y="0"/>
                          <a:ext cx="1507581" cy="11310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81369" id="Oval 14" o:spid="_x0000_s1026" style="position:absolute;margin-left:235.4pt;margin-top:24.3pt;width:118.7pt;height:8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" filled="f" strokecolor="red" strokeweight="1pt">
                <v:stroke joinstyle="miter"/>
              </v:oval>
            </w:pict>
          </mc:Fallback>
        </mc:AlternateContent>
      </w:r>
      <w:r w:rsidR="00E90C9D">
        <w:rPr>
          <w:noProof/>
        </w:rPr>
        <w:drawing>
          <wp:inline distT="0" distB="0" distL="0" distR="0" wp14:anchorId="64E16A8E" wp14:editId="56D0A974">
            <wp:extent cx="5943600" cy="4270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270375"/>
                    </a:xfrm>
                    <a:prstGeom prst="rect">
                      <a:avLst/>
                    </a:prstGeom>
                  </pic:spPr>
                </pic:pic>
              </a:graphicData>
            </a:graphic>
          </wp:inline>
        </w:drawing>
      </w:r>
    </w:p>
    <w:p w14:paraId="1B75675A" w14:textId="40399C18" w:rsidR="006B4728" w:rsidRDefault="006B4728" w:rsidP="006B4728">
      <w:r w:rsidRPr="00A832B8">
        <w:rPr>
          <w:b/>
          <w:bCs/>
        </w:rPr>
        <w:lastRenderedPageBreak/>
        <w:t>Output:</w:t>
      </w:r>
      <w:r>
        <w:t xml:space="preserve"> Custom End of Life Scenarios – kgCO2e by Module</w:t>
      </w:r>
    </w:p>
    <w:p w14:paraId="14CFB4AC" w14:textId="3C117E37" w:rsidR="00B543D6" w:rsidRDefault="00A832B8" w:rsidP="000814F5">
      <w:pPr>
        <w:pStyle w:val="ListParagraph"/>
        <w:numPr>
          <w:ilvl w:val="0"/>
          <w:numId w:val="4"/>
        </w:numPr>
      </w:pPr>
      <w:r w:rsidRPr="000814F5">
        <w:rPr>
          <w:b/>
          <w:bCs/>
        </w:rPr>
        <w:t>Description:</w:t>
      </w:r>
      <w:r>
        <w:t xml:space="preserve"> </w:t>
      </w:r>
      <w:r>
        <w:fldChar w:fldCharType="begin"/>
      </w:r>
      <w:r>
        <w:instrText xml:space="preserve"> REF _Ref77113595 \h </w:instrText>
      </w:r>
      <w:r>
        <w:fldChar w:fldCharType="separate"/>
      </w:r>
      <w:r>
        <w:t xml:space="preserve">Figure </w:t>
      </w:r>
      <w:r>
        <w:rPr>
          <w:noProof/>
        </w:rPr>
        <w:t>5</w:t>
      </w:r>
      <w:r>
        <w:fldChar w:fldCharType="end"/>
      </w:r>
      <w:r>
        <w:t xml:space="preserve"> </w:t>
      </w:r>
      <w:r w:rsidR="00B543D6">
        <w:t>below gets populated only if the user selects the ‘custom’ end of life pathway.  It shows each of the five different scenarios available in UpStream, and break</w:t>
      </w:r>
      <w:r w:rsidR="005A4BC4">
        <w:t>s</w:t>
      </w:r>
      <w:r w:rsidR="00B543D6">
        <w:t xml:space="preserve"> down the data into the biogenic emissions, non-biogenic emissions, module D impacts (if the module is turned on), and the net both for each scenario and the total.  The latter of which gets relayed up into the main UpStream overview chart.  </w:t>
      </w:r>
    </w:p>
    <w:p w14:paraId="6BD7ACB8" w14:textId="70F5E4B2" w:rsidR="00A832B8" w:rsidRDefault="00A832B8" w:rsidP="00A832B8">
      <w:pPr>
        <w:pStyle w:val="Caption"/>
        <w:keepNext/>
      </w:pPr>
      <w:bookmarkStart w:id="70" w:name="_Ref77113595"/>
      <w:r>
        <w:t xml:space="preserve">Figure </w:t>
      </w:r>
      <w:r>
        <w:fldChar w:fldCharType="begin"/>
      </w:r>
      <w:r>
        <w:instrText>SEQ Figure \* ARABIC</w:instrText>
      </w:r>
      <w:r>
        <w:fldChar w:fldCharType="separate"/>
      </w:r>
      <w:r w:rsidR="00ED1A20">
        <w:rPr>
          <w:noProof/>
        </w:rPr>
        <w:t>6</w:t>
      </w:r>
      <w:r>
        <w:fldChar w:fldCharType="end"/>
      </w:r>
      <w:bookmarkEnd w:id="70"/>
      <w:r>
        <w:t xml:space="preserve"> </w:t>
      </w:r>
      <w:r w:rsidRPr="00687554">
        <w:t>Example Custom End of Life Chart based on 1 Meter Cubed of Glulam Evenly Distributed Across the Five UpStream Custom Scenarios.</w:t>
      </w:r>
    </w:p>
    <w:p w14:paraId="2B69F335" w14:textId="75CA3200" w:rsidR="00B543D6" w:rsidRDefault="00B543D6" w:rsidP="00A832B8">
      <w:r>
        <w:rPr>
          <w:noProof/>
        </w:rPr>
        <w:drawing>
          <wp:inline distT="0" distB="0" distL="0" distR="0" wp14:anchorId="102D8D51" wp14:editId="0C3B7434">
            <wp:extent cx="5933526" cy="25375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8213" cy="2543877"/>
                    </a:xfrm>
                    <a:prstGeom prst="rect">
                      <a:avLst/>
                    </a:prstGeom>
                  </pic:spPr>
                </pic:pic>
              </a:graphicData>
            </a:graphic>
          </wp:inline>
        </w:drawing>
      </w:r>
    </w:p>
    <w:p w14:paraId="71D3FC6D" w14:textId="5AE196A6" w:rsidR="00A832B8" w:rsidRDefault="00A832B8" w:rsidP="00A832B8">
      <w:r w:rsidRPr="00A832B8">
        <w:rPr>
          <w:b/>
          <w:bCs/>
        </w:rPr>
        <w:t>Output:</w:t>
      </w:r>
      <w:r>
        <w:t xml:space="preserve"> EPA WARM – Landfill w Landfill Gas Energy Recovery Calculations</w:t>
      </w:r>
    </w:p>
    <w:p w14:paraId="68ED2B79" w14:textId="7CF5FB74" w:rsidR="00302EA1" w:rsidRDefault="00A832B8" w:rsidP="000814F5">
      <w:pPr>
        <w:pStyle w:val="ListParagraph"/>
        <w:numPr>
          <w:ilvl w:val="0"/>
          <w:numId w:val="4"/>
        </w:numPr>
      </w:pPr>
      <w:r w:rsidRPr="000814F5">
        <w:rPr>
          <w:b/>
          <w:bCs/>
        </w:rPr>
        <w:t>Description:</w:t>
      </w:r>
      <w:r>
        <w:t xml:space="preserve"> </w:t>
      </w:r>
      <w:r w:rsidR="00302EA1">
        <w:t>For a deeper dive into how each scenario maps the factors from custom data source</w:t>
      </w:r>
      <w:r w:rsidR="005A4BC4">
        <w:t>s</w:t>
      </w:r>
      <w:r w:rsidR="00302EA1">
        <w:t xml:space="preserve"> to the UpStream reporting format</w:t>
      </w:r>
      <w:r w:rsidR="00932EB1">
        <w:t xml:space="preserve"> (biogenic emissions vs. non-biogenic emissions)</w:t>
      </w:r>
      <w:r w:rsidR="00302EA1">
        <w:t>, the “End of Life Factors” tabs contains tables and charts of each scenario</w:t>
      </w:r>
      <w:r w:rsidR="0072522E">
        <w:t xml:space="preserve"> for both current data sour</w:t>
      </w:r>
      <w:r w:rsidR="00932EB1">
        <w:t>c</w:t>
      </w:r>
      <w:r w:rsidR="0072522E">
        <w:t>es (EPA WARM and Tally)</w:t>
      </w:r>
      <w:r w:rsidR="00302EA1">
        <w:t xml:space="preserve">.  The first table shows the kgCO2e/kgODW factors for each scenario, while the second table calculates the overall kgCO2e based on the volume and mass inputs from UpStream. </w:t>
      </w:r>
      <w:r>
        <w:fldChar w:fldCharType="begin"/>
      </w:r>
      <w:r>
        <w:instrText xml:space="preserve"> REF _Ref77113703 \h </w:instrText>
      </w:r>
      <w:r>
        <w:fldChar w:fldCharType="separate"/>
      </w:r>
      <w:r>
        <w:t xml:space="preserve">Figure </w:t>
      </w:r>
      <w:r>
        <w:rPr>
          <w:noProof/>
        </w:rPr>
        <w:t>6</w:t>
      </w:r>
      <w:r>
        <w:fldChar w:fldCharType="end"/>
      </w:r>
      <w:r w:rsidR="005B0CEA">
        <w:t xml:space="preserve"> </w:t>
      </w:r>
      <w:r w:rsidR="00302EA1">
        <w:t xml:space="preserve">below reflects the overall kgCO2e calculations and breaks the data down into source information, UpStream reporting, and the overall </w:t>
      </w:r>
      <w:r w:rsidR="00932EB1">
        <w:t xml:space="preserve">kgCO2e </w:t>
      </w:r>
      <w:r w:rsidR="00302EA1">
        <w:t>net impact.</w:t>
      </w:r>
    </w:p>
    <w:p w14:paraId="233427E4" w14:textId="77777777" w:rsidR="00A832B8" w:rsidRDefault="00A832B8" w:rsidP="00A832B8"/>
    <w:p w14:paraId="7CA14435" w14:textId="6C8904AA" w:rsidR="00A832B8" w:rsidRDefault="00A832B8" w:rsidP="00A832B8">
      <w:pPr>
        <w:pStyle w:val="Caption"/>
        <w:keepNext/>
      </w:pPr>
      <w:bookmarkStart w:id="71" w:name="_Ref77113703"/>
      <w:r>
        <w:lastRenderedPageBreak/>
        <w:t xml:space="preserve">Figure </w:t>
      </w:r>
      <w:r>
        <w:fldChar w:fldCharType="begin"/>
      </w:r>
      <w:r>
        <w:instrText>SEQ Figure \* ARABIC</w:instrText>
      </w:r>
      <w:r>
        <w:fldChar w:fldCharType="separate"/>
      </w:r>
      <w:r w:rsidR="00ED1A20">
        <w:rPr>
          <w:noProof/>
        </w:rPr>
        <w:t>7</w:t>
      </w:r>
      <w:r>
        <w:fldChar w:fldCharType="end"/>
      </w:r>
      <w:bookmarkEnd w:id="71"/>
      <w:r>
        <w:t xml:space="preserve"> </w:t>
      </w:r>
      <w:r w:rsidRPr="00EA30AA">
        <w:t>Example Output for Custom End of Life Scenario, EPA WARM Landfill w/Landfill Gas Recovery Scenario – 20% Distribution for 1 Meter Cubed of Glulam</w:t>
      </w:r>
    </w:p>
    <w:p w14:paraId="2D37682A" w14:textId="25AEE4FE" w:rsidR="00302EA1" w:rsidRDefault="00302EA1" w:rsidP="00A832B8">
      <w:r>
        <w:rPr>
          <w:noProof/>
        </w:rPr>
        <w:drawing>
          <wp:inline distT="0" distB="0" distL="0" distR="0" wp14:anchorId="4193A5FC" wp14:editId="5F8F65B6">
            <wp:extent cx="6079488" cy="23428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6087790" cy="2346011"/>
                    </a:xfrm>
                    <a:prstGeom prst="rect">
                      <a:avLst/>
                    </a:prstGeom>
                  </pic:spPr>
                </pic:pic>
              </a:graphicData>
            </a:graphic>
          </wp:inline>
        </w:drawing>
      </w:r>
    </w:p>
    <w:p w14:paraId="53F72132" w14:textId="5F3B8B67" w:rsidR="00931465" w:rsidRDefault="00931465" w:rsidP="00931465"/>
    <w:p w14:paraId="19B48514" w14:textId="765916CE" w:rsidR="00931465" w:rsidRDefault="00931465" w:rsidP="00931465">
      <w:pPr>
        <w:pStyle w:val="Heading2"/>
      </w:pPr>
      <w:bookmarkStart w:id="72" w:name="_Toc77661178"/>
      <w:r>
        <w:t>2.7 Step 6 – Calculate Module D – Benefits Outside of Boundary</w:t>
      </w:r>
      <w:bookmarkEnd w:id="72"/>
    </w:p>
    <w:p w14:paraId="52CCCEF3" w14:textId="7619DFB8" w:rsidR="00931465" w:rsidRDefault="00931465" w:rsidP="00931465"/>
    <w:p w14:paraId="7D69E91F" w14:textId="161737AA" w:rsidR="00A832B8" w:rsidRDefault="00A832B8" w:rsidP="00A832B8">
      <w:pPr>
        <w:pStyle w:val="Heading3"/>
      </w:pPr>
      <w:bookmarkStart w:id="73" w:name="_Toc77661179"/>
      <w:r>
        <w:t>Step 6 Overview and Inputs</w:t>
      </w:r>
      <w:bookmarkEnd w:id="73"/>
    </w:p>
    <w:p w14:paraId="70580FFA" w14:textId="77777777" w:rsidR="00A832B8" w:rsidRDefault="00A832B8" w:rsidP="00931465"/>
    <w:p w14:paraId="59A8937F" w14:textId="23402F01" w:rsidR="00932EB1" w:rsidRDefault="00932EB1" w:rsidP="00931465">
      <w:r w:rsidRPr="00A832B8">
        <w:rPr>
          <w:b/>
          <w:bCs/>
        </w:rPr>
        <w:t>Overview:</w:t>
      </w:r>
      <w:r>
        <w:t xml:space="preserve"> This calculation section turns on or off the Module D impacts in all of the previous end of life calculations.  Thus, there is only a yes/no option for user input.  The list below represents how turning Module D on impacts the 5 different end of life selection options</w:t>
      </w:r>
      <w:r w:rsidR="00364892">
        <w:t xml:space="preserve"> and more detail can be found in the section above on C2-4 End of Life</w:t>
      </w:r>
      <w:r>
        <w:t>:</w:t>
      </w:r>
    </w:p>
    <w:p w14:paraId="27B59092" w14:textId="70072978" w:rsidR="00932EB1" w:rsidRPr="00A832B8" w:rsidRDefault="00932EB1" w:rsidP="00932EB1">
      <w:pPr>
        <w:pStyle w:val="ListParagraph"/>
        <w:numPr>
          <w:ilvl w:val="0"/>
          <w:numId w:val="4"/>
        </w:numPr>
        <w:rPr>
          <w:b/>
          <w:bCs/>
        </w:rPr>
      </w:pPr>
      <w:r w:rsidRPr="00A832B8">
        <w:rPr>
          <w:b/>
          <w:bCs/>
        </w:rPr>
        <w:t>Option 1 – EPD V1 – Biogenic Carbon Net Neutral</w:t>
      </w:r>
    </w:p>
    <w:p w14:paraId="5DCEDBC6" w14:textId="41E114BA" w:rsidR="006A3A57" w:rsidRDefault="004A6D87" w:rsidP="006A3A57">
      <w:pPr>
        <w:pStyle w:val="ListParagraph"/>
        <w:numPr>
          <w:ilvl w:val="1"/>
          <w:numId w:val="4"/>
        </w:numPr>
      </w:pPr>
      <w:r w:rsidRPr="004A6D87">
        <w:rPr>
          <w:b/>
          <w:bCs/>
        </w:rPr>
        <w:t>Description:</w:t>
      </w:r>
      <w:r>
        <w:t xml:space="preserve"> </w:t>
      </w:r>
      <w:r w:rsidR="006A3A57">
        <w:t xml:space="preserve">No impact </w:t>
      </w:r>
    </w:p>
    <w:p w14:paraId="3D4A3E3C" w14:textId="0D0AC8B5" w:rsidR="00932EB1" w:rsidRPr="00A832B8" w:rsidRDefault="00932EB1" w:rsidP="00932EB1">
      <w:pPr>
        <w:pStyle w:val="ListParagraph"/>
        <w:numPr>
          <w:ilvl w:val="0"/>
          <w:numId w:val="4"/>
        </w:numPr>
        <w:rPr>
          <w:b/>
          <w:bCs/>
        </w:rPr>
      </w:pPr>
      <w:r w:rsidRPr="00A832B8">
        <w:rPr>
          <w:b/>
          <w:bCs/>
        </w:rPr>
        <w:t>Option 2 – EPD V2 – w/Long Term Biogenic Carbon Sequestration</w:t>
      </w:r>
      <w:commentRangeStart w:id="74"/>
      <w:commentRangeEnd w:id="74"/>
      <w:r w:rsidRPr="00A832B8">
        <w:rPr>
          <w:rStyle w:val="CommentReference"/>
          <w:b/>
          <w:bCs/>
        </w:rPr>
        <w:commentReference w:id="74"/>
      </w:r>
    </w:p>
    <w:p w14:paraId="71C27C6D" w14:textId="406C7C40" w:rsidR="006A3A57" w:rsidRDefault="004A6D87" w:rsidP="006A3A57">
      <w:pPr>
        <w:pStyle w:val="ListParagraph"/>
        <w:numPr>
          <w:ilvl w:val="1"/>
          <w:numId w:val="4"/>
        </w:numPr>
      </w:pPr>
      <w:r w:rsidRPr="004A6D87">
        <w:rPr>
          <w:b/>
          <w:bCs/>
        </w:rPr>
        <w:t>Description:</w:t>
      </w:r>
      <w:r>
        <w:t xml:space="preserve"> </w:t>
      </w:r>
      <w:r w:rsidR="006A3A57">
        <w:t xml:space="preserve">No impact – the PCR addendum does not define a way to capture any Module D impacts from its 100% landfill assumption in its modified cradle-to-gate analysis.  </w:t>
      </w:r>
    </w:p>
    <w:p w14:paraId="59E87832" w14:textId="5C921E66" w:rsidR="006A3A57" w:rsidRPr="00A832B8" w:rsidRDefault="006A3A57" w:rsidP="006A3A57">
      <w:pPr>
        <w:pStyle w:val="ListParagraph"/>
        <w:numPr>
          <w:ilvl w:val="0"/>
          <w:numId w:val="4"/>
        </w:numPr>
        <w:rPr>
          <w:b/>
          <w:bCs/>
        </w:rPr>
      </w:pPr>
      <w:r w:rsidRPr="00A832B8">
        <w:rPr>
          <w:b/>
          <w:bCs/>
        </w:rPr>
        <w:t>Option 3 – Tally W/Biogenic Carbon</w:t>
      </w:r>
    </w:p>
    <w:p w14:paraId="6CA51D46" w14:textId="1CE77659" w:rsidR="006A3A57" w:rsidRDefault="004A6D87" w:rsidP="006A3A57">
      <w:pPr>
        <w:pStyle w:val="ListParagraph"/>
        <w:numPr>
          <w:ilvl w:val="1"/>
          <w:numId w:val="4"/>
        </w:numPr>
      </w:pPr>
      <w:r w:rsidRPr="004A6D87">
        <w:rPr>
          <w:b/>
          <w:bCs/>
        </w:rPr>
        <w:t>Description:</w:t>
      </w:r>
      <w:r>
        <w:t xml:space="preserve"> </w:t>
      </w:r>
      <w:r w:rsidR="00364892">
        <w:t xml:space="preserve">Avoided emission from energy production (electricity and natural gas) show up based on landfill gas energy recovery and incineration (electricity and steam credit).  For recycling, the biogenic carbon in the product is counted as an emission when it leaves the boundary, and similarly any transportation and processing emissions are claimed as credits as they get applied to the next LCA.   </w:t>
      </w:r>
    </w:p>
    <w:p w14:paraId="4657FC37" w14:textId="34490ADD" w:rsidR="006A3A57" w:rsidRPr="00A832B8" w:rsidRDefault="006A3A57" w:rsidP="006A3A57">
      <w:pPr>
        <w:pStyle w:val="ListParagraph"/>
        <w:numPr>
          <w:ilvl w:val="0"/>
          <w:numId w:val="4"/>
        </w:numPr>
        <w:rPr>
          <w:b/>
          <w:bCs/>
        </w:rPr>
      </w:pPr>
      <w:r w:rsidRPr="00A832B8">
        <w:rPr>
          <w:b/>
          <w:bCs/>
        </w:rPr>
        <w:t>Option 4 – Tally W/O Biogenic Carbon</w:t>
      </w:r>
    </w:p>
    <w:p w14:paraId="71329387" w14:textId="76B3F8AA" w:rsidR="00364892" w:rsidRDefault="004A6D87" w:rsidP="00364892">
      <w:pPr>
        <w:pStyle w:val="ListParagraph"/>
        <w:numPr>
          <w:ilvl w:val="1"/>
          <w:numId w:val="4"/>
        </w:numPr>
      </w:pPr>
      <w:r w:rsidRPr="004A6D87">
        <w:rPr>
          <w:b/>
          <w:bCs/>
        </w:rPr>
        <w:t>Description:</w:t>
      </w:r>
      <w:r>
        <w:t xml:space="preserve"> </w:t>
      </w:r>
      <w:r w:rsidR="00364892">
        <w:t>Landfill and incineration avoided energy productions are the same as with biogenic carbon turned on, but recycling is substantially different.  Credit is given for the avoided burden of material production.</w:t>
      </w:r>
    </w:p>
    <w:p w14:paraId="3FF99FB4" w14:textId="606BCF2E" w:rsidR="00932EB1" w:rsidRPr="00A832B8" w:rsidRDefault="006A3A57" w:rsidP="00932EB1">
      <w:pPr>
        <w:pStyle w:val="ListParagraph"/>
        <w:numPr>
          <w:ilvl w:val="0"/>
          <w:numId w:val="4"/>
        </w:numPr>
        <w:rPr>
          <w:b/>
          <w:bCs/>
        </w:rPr>
      </w:pPr>
      <w:r w:rsidRPr="00A832B8">
        <w:rPr>
          <w:b/>
          <w:bCs/>
        </w:rPr>
        <w:t>Option 5 – Custom – EPA WARM</w:t>
      </w:r>
    </w:p>
    <w:p w14:paraId="22F81298" w14:textId="715784C5" w:rsidR="00364892" w:rsidRDefault="004A6D87" w:rsidP="00364892">
      <w:pPr>
        <w:pStyle w:val="ListParagraph"/>
        <w:numPr>
          <w:ilvl w:val="1"/>
          <w:numId w:val="4"/>
        </w:numPr>
      </w:pPr>
      <w:r w:rsidRPr="004A6D87">
        <w:rPr>
          <w:b/>
          <w:bCs/>
        </w:rPr>
        <w:lastRenderedPageBreak/>
        <w:t>Description:</w:t>
      </w:r>
      <w:r>
        <w:t xml:space="preserve"> </w:t>
      </w:r>
      <w:r w:rsidR="0072146A">
        <w:t xml:space="preserve">An exported electricity </w:t>
      </w:r>
      <w:r w:rsidR="00364892">
        <w:t xml:space="preserve">credit is given </w:t>
      </w:r>
      <w:r w:rsidR="00616381">
        <w:t>for landfill gas recovery scenarios</w:t>
      </w:r>
      <w:r w:rsidR="0072146A">
        <w:t xml:space="preserve"> and incineration, and for the avoided emissions from transport and production for recycling. </w:t>
      </w:r>
    </w:p>
    <w:p w14:paraId="7CAE84BF" w14:textId="4CF01C97" w:rsidR="006A3A57" w:rsidRPr="00A832B8" w:rsidRDefault="006A3A57" w:rsidP="00932EB1">
      <w:pPr>
        <w:pStyle w:val="ListParagraph"/>
        <w:numPr>
          <w:ilvl w:val="0"/>
          <w:numId w:val="4"/>
        </w:numPr>
        <w:rPr>
          <w:b/>
          <w:bCs/>
        </w:rPr>
      </w:pPr>
      <w:r w:rsidRPr="00A832B8">
        <w:rPr>
          <w:b/>
          <w:bCs/>
        </w:rPr>
        <w:t>Option 5 – Custom – Tally</w:t>
      </w:r>
    </w:p>
    <w:p w14:paraId="5F5219A3" w14:textId="458D72E0" w:rsidR="006A3A57" w:rsidRDefault="004A6D87" w:rsidP="0072146A">
      <w:pPr>
        <w:pStyle w:val="ListParagraph"/>
        <w:numPr>
          <w:ilvl w:val="1"/>
          <w:numId w:val="4"/>
        </w:numPr>
      </w:pPr>
      <w:r w:rsidRPr="004A6D87">
        <w:rPr>
          <w:b/>
          <w:bCs/>
        </w:rPr>
        <w:t>Description:</w:t>
      </w:r>
      <w:r>
        <w:t xml:space="preserve"> </w:t>
      </w:r>
      <w:r w:rsidR="0072146A">
        <w:t>Selecting this custom data source applies the same module D impacts according to the “Tally W/Biogenic Carbon” scenario as outlined above.</w:t>
      </w:r>
    </w:p>
    <w:p w14:paraId="72386F66" w14:textId="72DADFE6" w:rsidR="00A832B8" w:rsidRDefault="00A832B8" w:rsidP="00A832B8">
      <w:pPr>
        <w:pStyle w:val="Heading3"/>
      </w:pPr>
      <w:bookmarkStart w:id="75" w:name="_Toc77661180"/>
      <w:r>
        <w:t>Step 6 Outputs</w:t>
      </w:r>
      <w:bookmarkEnd w:id="75"/>
    </w:p>
    <w:p w14:paraId="51CC5DC2" w14:textId="77777777" w:rsidR="00A832B8" w:rsidRPr="00A832B8" w:rsidRDefault="00A832B8" w:rsidP="00A832B8"/>
    <w:p w14:paraId="1F09CF29" w14:textId="353B1391" w:rsidR="00931465" w:rsidRPr="00931465" w:rsidRDefault="00D705E2" w:rsidP="00931465">
      <w:r>
        <w:rPr>
          <w:b/>
          <w:bCs/>
        </w:rPr>
        <w:t xml:space="preserve">Overview: </w:t>
      </w:r>
      <w:r w:rsidR="0072146A">
        <w:t xml:space="preserve">Same </w:t>
      </w:r>
      <w:r>
        <w:t xml:space="preserve">outputs </w:t>
      </w:r>
      <w:r w:rsidR="0072146A">
        <w:t xml:space="preserve">as </w:t>
      </w:r>
      <w:r>
        <w:t xml:space="preserve">the </w:t>
      </w:r>
      <w:r w:rsidR="0072146A">
        <w:t xml:space="preserve">“Step 5 </w:t>
      </w:r>
      <w:r w:rsidR="0072146A" w:rsidRPr="0072146A">
        <w:t>Calculate Module C2-4 – End of Life Emissions</w:t>
      </w:r>
      <w:r w:rsidR="0072146A">
        <w:t>” as outline</w:t>
      </w:r>
      <w:r>
        <w:t>d</w:t>
      </w:r>
      <w:r w:rsidR="0072146A">
        <w:t xml:space="preserve"> previously, but now numbers are populated for “Module D” labels and legend items instead of being blank.</w:t>
      </w:r>
    </w:p>
    <w:p w14:paraId="1FC920C8" w14:textId="0CAB690B" w:rsidR="00931465" w:rsidRDefault="00931465" w:rsidP="00931465">
      <w:pPr>
        <w:pStyle w:val="Heading2"/>
      </w:pPr>
      <w:bookmarkStart w:id="76" w:name="_Toc77661181"/>
      <w:r>
        <w:t>2.8 Step 7 – Calculate Module A0 – Impacts from Forestry</w:t>
      </w:r>
      <w:bookmarkEnd w:id="76"/>
    </w:p>
    <w:p w14:paraId="789BF2EA" w14:textId="77777777" w:rsidR="00A832B8" w:rsidRDefault="00A832B8" w:rsidP="0072146A">
      <w:pPr>
        <w:rPr>
          <w:b/>
          <w:bCs/>
        </w:rPr>
      </w:pPr>
    </w:p>
    <w:p w14:paraId="1AF4296B" w14:textId="5A4C2100" w:rsidR="00A832B8" w:rsidRDefault="00A832B8" w:rsidP="00A832B8">
      <w:pPr>
        <w:pStyle w:val="Heading3"/>
      </w:pPr>
      <w:bookmarkStart w:id="77" w:name="_Toc77661182"/>
      <w:r>
        <w:t>Step 7 Overview and Inputs</w:t>
      </w:r>
      <w:bookmarkEnd w:id="77"/>
    </w:p>
    <w:p w14:paraId="0114EDD1" w14:textId="77777777" w:rsidR="00A832B8" w:rsidRDefault="00A832B8" w:rsidP="0072146A">
      <w:pPr>
        <w:rPr>
          <w:b/>
          <w:bCs/>
        </w:rPr>
      </w:pPr>
    </w:p>
    <w:p w14:paraId="0BC9A155" w14:textId="177C33D9" w:rsidR="00427A10" w:rsidRDefault="00DB3359" w:rsidP="0072146A">
      <w:r w:rsidRPr="003C66CB">
        <w:rPr>
          <w:b/>
          <w:bCs/>
        </w:rPr>
        <w:t>Overview:</w:t>
      </w:r>
      <w:r>
        <w:t xml:space="preserve"> This calculation section </w:t>
      </w:r>
      <w:r w:rsidR="0072146A">
        <w:t xml:space="preserve">is designed to </w:t>
      </w:r>
      <w:r w:rsidR="008D0033">
        <w:t>integrate the</w:t>
      </w:r>
      <w:r w:rsidR="0072146A">
        <w:t xml:space="preserve"> carbon impacts from forest management into cradle-to-grave life cycle analysis.  </w:t>
      </w:r>
      <w:r w:rsidR="008D0033">
        <w:t>While other calculation modules</w:t>
      </w:r>
      <w:r w:rsidR="0072146A">
        <w:t xml:space="preserve"> pull data from Environmental Product Declarations (EPDs) and Tally to create ISO 21930:2017-compliant cradle-to-gate or cradle-to-grave analyses, </w:t>
      </w:r>
      <w:r w:rsidR="005A44D0">
        <w:t>it’s</w:t>
      </w:r>
      <w:r w:rsidR="008D0033">
        <w:t xml:space="preserve"> </w:t>
      </w:r>
      <w:r w:rsidR="0072146A">
        <w:t>important to note that when including upstream forest carbon impacts we step out of the bounds of the ISO 21930:2017 rules.  While</w:t>
      </w:r>
      <w:r w:rsidR="008D0033">
        <w:t xml:space="preserve"> the latest version of the American Wood Council’s</w:t>
      </w:r>
      <w:r w:rsidR="0072146A">
        <w:t xml:space="preserve"> EPDs describe the importance of eventually considering forest management, current product category rules (PCRs) do not provide a standardized way to calculate or integrate them into LCA.  </w:t>
      </w:r>
      <w:r w:rsidR="00427A10">
        <w:t>For instance</w:t>
      </w:r>
      <w:r w:rsidR="001A7257">
        <w:t xml:space="preserve">, from </w:t>
      </w:r>
      <w:r w:rsidR="004A35C6">
        <w:t xml:space="preserve">Section “4. LCA Interpretation” of the </w:t>
      </w:r>
      <w:r w:rsidR="001A7257">
        <w:t>2020 American Wood Council</w:t>
      </w:r>
      <w:r w:rsidR="00434E25">
        <w:t xml:space="preserve">’s </w:t>
      </w:r>
      <w:r w:rsidR="001929A7">
        <w:t>Environmental Product Declaration North American Glued Laminated Timber:</w:t>
      </w:r>
    </w:p>
    <w:p w14:paraId="3C34A7AA" w14:textId="4AE58EFD" w:rsidR="00427A10" w:rsidRPr="004A35C6" w:rsidRDefault="004A35C6" w:rsidP="004A35C6">
      <w:pPr>
        <w:ind w:left="810" w:right="1530"/>
        <w:rPr>
          <w:i/>
          <w:iCs/>
        </w:rPr>
      </w:pPr>
      <w:r w:rsidRPr="004A35C6">
        <w:rPr>
          <w:i/>
          <w:iCs/>
        </w:rPr>
        <w:t>While this EPD does not address all forest management activities that influence forest carbon, wildlife habitat, endangered species, and soil and water quality, these potential impacts may be addressed through other mechanisms such as regulatory frameworks and/or forest certification systems, which, combined with this EPD, will give a more complete picture of environmental and social performance of wood products.</w:t>
      </w:r>
    </w:p>
    <w:p w14:paraId="5E58CA5C" w14:textId="02731658" w:rsidR="0072146A" w:rsidRDefault="004A35C6" w:rsidP="0072146A">
      <w:r>
        <w:t xml:space="preserve">For now, </w:t>
      </w:r>
      <w:r w:rsidR="0072146A">
        <w:t>ISO 21930 currently uses the concept of “carbon neutrality” to deal with forest carbon,</w:t>
      </w:r>
      <w:r w:rsidR="008D0033">
        <w:t xml:space="preserve"> citing the </w:t>
      </w:r>
      <w:commentRangeStart w:id="78"/>
      <w:r w:rsidR="008D0033">
        <w:t>UNFCCC guidance</w:t>
      </w:r>
      <w:commentRangeEnd w:id="78"/>
      <w:r w:rsidR="008D0033">
        <w:rPr>
          <w:rStyle w:val="CommentReference"/>
        </w:rPr>
        <w:commentReference w:id="78"/>
      </w:r>
      <w:r w:rsidR="0072146A">
        <w:t xml:space="preserve"> saying that if forests demonstrate carbon removals with a factor of -1 kg CO2e/kg CO2, forest practices can be considered carbon neutral due to regeneration equaling </w:t>
      </w:r>
      <w:r w:rsidR="008D0033">
        <w:t xml:space="preserve">harvest </w:t>
      </w:r>
      <w:r w:rsidR="0072146A">
        <w:t>removal</w:t>
      </w:r>
      <w:r w:rsidR="008D0033">
        <w:t>s</w:t>
      </w:r>
      <w:r w:rsidR="0072146A">
        <w:t xml:space="preserve">.  This method relies on the fact that North American forests in aggregate meet this criterion, but it does not address the differences that might exist between the wide array of forest practices engaged across the landscape between ownership type.  Including forest factors </w:t>
      </w:r>
      <w:r w:rsidR="00B032F9">
        <w:t xml:space="preserve">in </w:t>
      </w:r>
      <w:r w:rsidR="0072146A">
        <w:t>Up</w:t>
      </w:r>
      <w:r w:rsidR="00014B8B">
        <w:t>S</w:t>
      </w:r>
      <w:r w:rsidR="0072146A">
        <w:t>tream relies on going beyond the assumption of carbon neutrality and calculating the carbon</w:t>
      </w:r>
      <w:r w:rsidR="00B032F9">
        <w:t xml:space="preserve"> </w:t>
      </w:r>
      <w:r w:rsidR="0072146A">
        <w:t>differences between different forest management methods.</w:t>
      </w:r>
    </w:p>
    <w:p w14:paraId="0F580FC1" w14:textId="088DAA57" w:rsidR="0072146A" w:rsidRDefault="0072146A" w:rsidP="0072146A">
      <w:r>
        <w:t xml:space="preserve">Until PCRs </w:t>
      </w:r>
      <w:r w:rsidR="00EF499A">
        <w:t xml:space="preserve">or some other industry-adopted standard </w:t>
      </w:r>
      <w:r>
        <w:t xml:space="preserve">define a standardized method of including forest management in EPDs and their constituent LCAs, Upstream </w:t>
      </w:r>
      <w:r w:rsidR="00623015">
        <w:t xml:space="preserve">aims to </w:t>
      </w:r>
      <w:r>
        <w:t>include any forest factors available to understand the magnitude of their impact</w:t>
      </w:r>
      <w:r w:rsidR="00AE4E3C">
        <w:t xml:space="preserve"> and facilitate discussion</w:t>
      </w:r>
      <w:r>
        <w:t xml:space="preserve">. Current factors included </w:t>
      </w:r>
      <w:r w:rsidR="00944610">
        <w:t xml:space="preserve">in this </w:t>
      </w:r>
      <w:r w:rsidR="00944610">
        <w:lastRenderedPageBreak/>
        <w:t xml:space="preserve">public Beta 1.0 </w:t>
      </w:r>
      <w:r w:rsidR="00623015">
        <w:t>version</w:t>
      </w:r>
      <w:r w:rsidR="00944610">
        <w:t xml:space="preserve"> were limited </w:t>
      </w:r>
      <w:r w:rsidR="00623015">
        <w:t>solely</w:t>
      </w:r>
      <w:r w:rsidR="00944610">
        <w:t xml:space="preserve"> to the custom </w:t>
      </w:r>
      <w:r w:rsidR="00623015">
        <w:t xml:space="preserve">user </w:t>
      </w:r>
      <w:r w:rsidR="00944610">
        <w:t xml:space="preserve">input (in kilograms of CO2e per meter cubed of roundwood) until </w:t>
      </w:r>
      <w:r>
        <w:t>Ecotrust</w:t>
      </w:r>
      <w:r w:rsidR="00FC676F">
        <w:t>’s</w:t>
      </w:r>
      <w:r w:rsidR="00DB798C">
        <w:t xml:space="preserve"> </w:t>
      </w:r>
      <w:r w:rsidR="00FC676F">
        <w:t xml:space="preserve">factors </w:t>
      </w:r>
      <w:r w:rsidR="00A314DE">
        <w:t>and other</w:t>
      </w:r>
      <w:r w:rsidR="00FC676F">
        <w:t>s</w:t>
      </w:r>
      <w:r w:rsidR="00A314DE">
        <w:t xml:space="preserve"> </w:t>
      </w:r>
      <w:r w:rsidR="00FC676F">
        <w:t xml:space="preserve">under development </w:t>
      </w:r>
      <w:r w:rsidR="00A314DE">
        <w:t>were reviewed through Carbon Leadership Forum incubation</w:t>
      </w:r>
      <w:r w:rsidR="008C0FB6">
        <w:t>.</w:t>
      </w:r>
    </w:p>
    <w:p w14:paraId="65470968" w14:textId="5420DC75" w:rsidR="00931465" w:rsidRDefault="00931465" w:rsidP="00931465">
      <w:r w:rsidRPr="00EC6056">
        <w:rPr>
          <w:b/>
          <w:bCs/>
        </w:rPr>
        <w:t>Input:</w:t>
      </w:r>
      <w:r>
        <w:t xml:space="preserve"> </w:t>
      </w:r>
      <w:r w:rsidRPr="00931465">
        <w:t>Would you like to go beyond cradle-to-gate AND cradle-to-grave ISO-approved LCA methodologies and include carbon impacts at the forest in your LCA analysis?</w:t>
      </w:r>
    </w:p>
    <w:p w14:paraId="4B906015" w14:textId="77777777" w:rsidR="004A6D87" w:rsidRDefault="004A6D87" w:rsidP="004A6D87">
      <w:pPr>
        <w:pStyle w:val="ListParagraph"/>
        <w:numPr>
          <w:ilvl w:val="0"/>
          <w:numId w:val="5"/>
        </w:numPr>
      </w:pPr>
      <w:r w:rsidRPr="00784DDA">
        <w:rPr>
          <w:b/>
          <w:bCs/>
        </w:rPr>
        <w:t>Options:</w:t>
      </w:r>
      <w:r>
        <w:t xml:space="preserve"> yes, no </w:t>
      </w:r>
    </w:p>
    <w:p w14:paraId="7CC2D8B9" w14:textId="77777777" w:rsidR="004A6D87" w:rsidRDefault="004A6D87" w:rsidP="004A6D87">
      <w:pPr>
        <w:pStyle w:val="ListParagraph"/>
        <w:numPr>
          <w:ilvl w:val="1"/>
          <w:numId w:val="5"/>
        </w:numPr>
      </w:pPr>
      <w:r>
        <w:rPr>
          <w:b/>
          <w:bCs/>
        </w:rPr>
        <w:t>Description:</w:t>
      </w:r>
      <w:r>
        <w:t xml:space="preserve"> a ‘no’ input grays out the module in the tool, while a ‘yes’ input illuminates the next step in the process. </w:t>
      </w:r>
    </w:p>
    <w:p w14:paraId="59F2E539" w14:textId="0BD8CA46" w:rsidR="002D46D7" w:rsidRDefault="003C66CB" w:rsidP="004844C2">
      <w:r w:rsidRPr="00EC6056">
        <w:rPr>
          <w:b/>
          <w:bCs/>
        </w:rPr>
        <w:t>Input:</w:t>
      </w:r>
      <w:r>
        <w:t xml:space="preserve"> </w:t>
      </w:r>
      <w:r w:rsidR="00931465">
        <w:t>Choose your forestry factor data source:</w:t>
      </w:r>
    </w:p>
    <w:p w14:paraId="34AA7448" w14:textId="16D49F45" w:rsidR="00D758C0" w:rsidRDefault="00931465" w:rsidP="00D758C0">
      <w:pPr>
        <w:pStyle w:val="ListParagraph"/>
        <w:numPr>
          <w:ilvl w:val="0"/>
          <w:numId w:val="4"/>
        </w:numPr>
      </w:pPr>
      <w:r w:rsidRPr="00D758C0">
        <w:rPr>
          <w:b/>
          <w:bCs/>
        </w:rPr>
        <w:t xml:space="preserve">Option </w:t>
      </w:r>
      <w:r w:rsidR="00C478C2">
        <w:rPr>
          <w:b/>
          <w:bCs/>
        </w:rPr>
        <w:t>1</w:t>
      </w:r>
      <w:r w:rsidR="00D758C0" w:rsidRPr="00D758C0">
        <w:rPr>
          <w:b/>
          <w:bCs/>
        </w:rPr>
        <w:t>:</w:t>
      </w:r>
      <w:r w:rsidR="00D758C0">
        <w:t xml:space="preserve"> </w:t>
      </w:r>
      <w:r>
        <w:t>Custom</w:t>
      </w:r>
    </w:p>
    <w:p w14:paraId="445577B2" w14:textId="33016FAD" w:rsidR="00EC6056" w:rsidRDefault="00EC6056" w:rsidP="00EC6056">
      <w:pPr>
        <w:pStyle w:val="ListParagraph"/>
        <w:numPr>
          <w:ilvl w:val="1"/>
          <w:numId w:val="4"/>
        </w:numPr>
      </w:pPr>
      <w:r>
        <w:rPr>
          <w:b/>
          <w:bCs/>
        </w:rPr>
        <w:t>Overview:</w:t>
      </w:r>
      <w:r>
        <w:t xml:space="preserve"> </w:t>
      </w:r>
      <w:r w:rsidR="002314D0">
        <w:t>This option allows the user to input any forest factor from any reference that isn’t included as a base dataset in UpStream.  The only caveat at this point is that the factor needs to be in kgCO2e</w:t>
      </w:r>
      <w:r w:rsidR="00A56AE0">
        <w:t xml:space="preserve"> per cubic meters of roundwood for all the calculation modules to work.</w:t>
      </w:r>
    </w:p>
    <w:p w14:paraId="59261244" w14:textId="37C05885" w:rsidR="00A56AE0" w:rsidRPr="001E4CBD" w:rsidRDefault="001E4CBD" w:rsidP="00EC6056">
      <w:pPr>
        <w:pStyle w:val="ListParagraph"/>
        <w:numPr>
          <w:ilvl w:val="1"/>
          <w:numId w:val="4"/>
        </w:numPr>
      </w:pPr>
      <w:r>
        <w:rPr>
          <w:b/>
          <w:bCs/>
        </w:rPr>
        <w:t>Input:</w:t>
      </w:r>
      <w:r>
        <w:t xml:space="preserve"> </w:t>
      </w:r>
      <w:r>
        <w:rPr>
          <w:rFonts w:ascii="Calibri" w:hAnsi="Calibri" w:cs="Calibri"/>
          <w:color w:val="444444"/>
          <w:shd w:val="clear" w:color="auto" w:fill="FFFFFF"/>
        </w:rPr>
        <w:t>Input Custom Factor (kgCO2 per meters cubed of industrial roundwood)</w:t>
      </w:r>
    </w:p>
    <w:p w14:paraId="6910CAB8" w14:textId="73615E9E" w:rsidR="001E4CBD" w:rsidRDefault="00171321" w:rsidP="001E4CBD">
      <w:pPr>
        <w:pStyle w:val="ListParagraph"/>
        <w:numPr>
          <w:ilvl w:val="2"/>
          <w:numId w:val="4"/>
        </w:numPr>
      </w:pPr>
      <w:r>
        <w:rPr>
          <w:b/>
          <w:bCs/>
        </w:rPr>
        <w:t xml:space="preserve">Options: </w:t>
      </w:r>
      <w:r w:rsidR="00A52AEF" w:rsidRPr="00A52AEF">
        <w:t>user</w:t>
      </w:r>
      <w:r w:rsidR="00A52AEF">
        <w:rPr>
          <w:b/>
          <w:bCs/>
        </w:rPr>
        <w:t xml:space="preserve"> </w:t>
      </w:r>
      <w:r w:rsidRPr="00A52AEF">
        <w:t>input field</w:t>
      </w:r>
      <w:r>
        <w:rPr>
          <w:b/>
          <w:bCs/>
        </w:rPr>
        <w:t xml:space="preserve"> </w:t>
      </w:r>
    </w:p>
    <w:p w14:paraId="20945CFE" w14:textId="33ADA074" w:rsidR="00D758C0" w:rsidRDefault="00D758C0" w:rsidP="00D758C0">
      <w:pPr>
        <w:pStyle w:val="Heading3"/>
      </w:pPr>
      <w:bookmarkStart w:id="79" w:name="_Toc77661183"/>
      <w:r>
        <w:t xml:space="preserve">Step 7 </w:t>
      </w:r>
      <w:r w:rsidR="00A52AEF">
        <w:t>Outputs</w:t>
      </w:r>
      <w:bookmarkEnd w:id="79"/>
    </w:p>
    <w:p w14:paraId="2EB59DAA" w14:textId="77777777" w:rsidR="00D758C0" w:rsidRPr="00D758C0" w:rsidRDefault="00D758C0" w:rsidP="00D758C0"/>
    <w:p w14:paraId="3EBAC11D" w14:textId="5917DFB4" w:rsidR="00A122A6" w:rsidRDefault="00F506B3" w:rsidP="00A122A6">
      <w:r>
        <w:t xml:space="preserve">If the A0 module is turned on, the </w:t>
      </w:r>
      <w:r w:rsidR="00B32ED9">
        <w:t xml:space="preserve">primary barchart and table will </w:t>
      </w:r>
      <w:r>
        <w:t>now show the calculated impact and data source</w:t>
      </w:r>
      <w:r w:rsidR="002A080F">
        <w:t xml:space="preserve">. </w:t>
      </w:r>
      <w:r w:rsidR="00A122A6">
        <w:fldChar w:fldCharType="begin"/>
      </w:r>
      <w:r w:rsidR="00A122A6">
        <w:instrText xml:space="preserve"> REF _Ref77372664 \h </w:instrText>
      </w:r>
      <w:r w:rsidR="00A122A6">
        <w:fldChar w:fldCharType="separate"/>
      </w:r>
      <w:r w:rsidR="00A122A6">
        <w:t xml:space="preserve">Figure </w:t>
      </w:r>
      <w:r w:rsidR="00A122A6">
        <w:rPr>
          <w:noProof/>
        </w:rPr>
        <w:t>8</w:t>
      </w:r>
      <w:r w:rsidR="00A122A6">
        <w:fldChar w:fldCharType="end"/>
      </w:r>
      <w:r w:rsidR="00A122A6">
        <w:t xml:space="preserve"> </w:t>
      </w:r>
      <w:r w:rsidR="00DC7AEA">
        <w:t>below</w:t>
      </w:r>
      <w:r>
        <w:t xml:space="preserve"> shows the </w:t>
      </w:r>
      <w:r w:rsidR="002A080F">
        <w:t>updated bar</w:t>
      </w:r>
      <w:r w:rsidR="00F92836">
        <w:t xml:space="preserve"> </w:t>
      </w:r>
      <w:r w:rsidR="002A080F">
        <w:t xml:space="preserve">chart with the </w:t>
      </w:r>
      <w:r>
        <w:t xml:space="preserve">inclusion of A0, but </w:t>
      </w:r>
      <w:r w:rsidR="00FD7212">
        <w:t xml:space="preserve">flags </w:t>
      </w:r>
      <w:r w:rsidR="00F92836">
        <w:t xml:space="preserve">in its title color </w:t>
      </w:r>
      <w:r w:rsidR="00FD7212">
        <w:t xml:space="preserve">that </w:t>
      </w:r>
      <w:r w:rsidR="00F92836">
        <w:t xml:space="preserve">its </w:t>
      </w:r>
      <w:r w:rsidR="00FD7212">
        <w:t>value is not included in the overall net calculation attr</w:t>
      </w:r>
      <w:r w:rsidR="0000556E">
        <w:t xml:space="preserve"> </w:t>
      </w:r>
      <w:r w:rsidR="00FD7212">
        <w:t xml:space="preserve">ibuted to the product. </w:t>
      </w:r>
    </w:p>
    <w:p w14:paraId="1D8F5393" w14:textId="6BEB4E11" w:rsidR="00A122A6" w:rsidRDefault="00A122A6" w:rsidP="00A122A6">
      <w:pPr>
        <w:pStyle w:val="Caption"/>
        <w:keepNext/>
      </w:pPr>
      <w:bookmarkStart w:id="80" w:name="_Ref77372664"/>
      <w:r>
        <w:lastRenderedPageBreak/>
        <w:t xml:space="preserve">Figure </w:t>
      </w:r>
      <w:r>
        <w:fldChar w:fldCharType="begin"/>
      </w:r>
      <w:r>
        <w:instrText>SEQ Figure \* ARABIC</w:instrText>
      </w:r>
      <w:r>
        <w:fldChar w:fldCharType="separate"/>
      </w:r>
      <w:r w:rsidR="00ED1A20">
        <w:rPr>
          <w:noProof/>
        </w:rPr>
        <w:t>8</w:t>
      </w:r>
      <w:r>
        <w:fldChar w:fldCharType="end"/>
      </w:r>
      <w:bookmarkEnd w:id="80"/>
      <w:r>
        <w:t xml:space="preserve"> Primary UpStream Output Barchart and Table - For 1 Cubic Meter of Glulam</w:t>
      </w:r>
    </w:p>
    <w:p w14:paraId="02D8C133" w14:textId="03EDE9A4" w:rsidR="00DC7AEA" w:rsidRDefault="00F479C0" w:rsidP="00931465">
      <w:pPr>
        <w:pStyle w:val="ListParagraph"/>
        <w:numPr>
          <w:ilvl w:val="0"/>
          <w:numId w:val="4"/>
        </w:numPr>
      </w:pPr>
      <w:r>
        <w:rPr>
          <w:noProof/>
        </w:rPr>
        <w:drawing>
          <wp:inline distT="0" distB="0" distL="0" distR="0" wp14:anchorId="6437E1B3" wp14:editId="22873C46">
            <wp:extent cx="5943600" cy="4270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270375"/>
                    </a:xfrm>
                    <a:prstGeom prst="rect">
                      <a:avLst/>
                    </a:prstGeom>
                  </pic:spPr>
                </pic:pic>
              </a:graphicData>
            </a:graphic>
          </wp:inline>
        </w:drawing>
      </w:r>
    </w:p>
    <w:p w14:paraId="46E6E0F7" w14:textId="77777777" w:rsidR="00CD4B25" w:rsidRDefault="00CD4B25" w:rsidP="0026286A">
      <w:pPr>
        <w:pStyle w:val="Heading2"/>
      </w:pPr>
    </w:p>
    <w:p w14:paraId="28F183DB" w14:textId="7E52BB42" w:rsidR="0026286A" w:rsidRDefault="0026286A" w:rsidP="0026286A">
      <w:pPr>
        <w:pStyle w:val="Heading2"/>
      </w:pPr>
      <w:bookmarkStart w:id="81" w:name="_Toc77661184"/>
      <w:r>
        <w:t>2.9 Step 8 – Calculate Uncertainty Factor – Add Factor to Net GWP</w:t>
      </w:r>
      <w:bookmarkEnd w:id="81"/>
    </w:p>
    <w:p w14:paraId="46AE1FAD" w14:textId="3F82F2D9" w:rsidR="0026286A" w:rsidRDefault="0026286A" w:rsidP="0026286A"/>
    <w:p w14:paraId="4CAB7BB4" w14:textId="4838A69F" w:rsidR="008B79F5" w:rsidRDefault="008B79F5" w:rsidP="008B79F5">
      <w:pPr>
        <w:pStyle w:val="Heading3"/>
      </w:pPr>
      <w:bookmarkStart w:id="82" w:name="_Toc77661185"/>
      <w:r>
        <w:t>Step 8 Overview and Inputs</w:t>
      </w:r>
      <w:bookmarkEnd w:id="82"/>
    </w:p>
    <w:p w14:paraId="1DAB38B7" w14:textId="77777777" w:rsidR="008B79F5" w:rsidRDefault="008B79F5" w:rsidP="0026286A"/>
    <w:p w14:paraId="7E638F2C" w14:textId="23FDCC39" w:rsidR="0070175E" w:rsidRDefault="0070175E" w:rsidP="0026286A">
      <w:r w:rsidRPr="008B79F5">
        <w:rPr>
          <w:b/>
          <w:bCs/>
        </w:rPr>
        <w:t>Overview:</w:t>
      </w:r>
      <w:r>
        <w:t xml:space="preserve"> This step was added with an EC3 </w:t>
      </w:r>
      <w:r w:rsidR="00E215D1">
        <w:t>post</w:t>
      </w:r>
      <w:r w:rsidR="00D96A81">
        <w:t>-</w:t>
      </w:r>
      <w:r w:rsidR="00E215D1">
        <w:t xml:space="preserve">processing </w:t>
      </w:r>
      <w:r>
        <w:t xml:space="preserve">workflow in mind.  Given that a user might try to match the A1-A3 module outputs from a different tool before adding forestry or custom end of life factors, this input allows the user to include an “uncertainty” factor that adds more carbon to the A1-A3 calculation based on the variability of the source (if </w:t>
      </w:r>
      <w:r w:rsidR="176D617B">
        <w:t>it's</w:t>
      </w:r>
      <w:r>
        <w:t xml:space="preserve"> an industry wide EPD or a supplier-specific EPD, for instance).  This number can be found within the EC3 tool and then transferred to UpStream, or a user could input their own uncertainty factor based on other references or judgement calls.</w:t>
      </w:r>
    </w:p>
    <w:p w14:paraId="313BC48A" w14:textId="29E0D340" w:rsidR="0070175E" w:rsidRDefault="0026286A" w:rsidP="0026286A">
      <w:r w:rsidRPr="008B79F5">
        <w:rPr>
          <w:b/>
          <w:bCs/>
        </w:rPr>
        <w:t>Input:</w:t>
      </w:r>
      <w:r>
        <w:t xml:space="preserve"> Would you like to add an uncertainty factor</w:t>
      </w:r>
      <w:r w:rsidR="0070175E">
        <w:t>?</w:t>
      </w:r>
    </w:p>
    <w:p w14:paraId="34A622FB" w14:textId="77777777" w:rsidR="00CF234D" w:rsidRDefault="00CF234D" w:rsidP="00CF234D">
      <w:pPr>
        <w:pStyle w:val="ListParagraph"/>
        <w:numPr>
          <w:ilvl w:val="0"/>
          <w:numId w:val="5"/>
        </w:numPr>
      </w:pPr>
      <w:r w:rsidRPr="00784DDA">
        <w:rPr>
          <w:b/>
          <w:bCs/>
        </w:rPr>
        <w:t>Options:</w:t>
      </w:r>
      <w:r>
        <w:t xml:space="preserve"> yes, no </w:t>
      </w:r>
    </w:p>
    <w:p w14:paraId="6498C243" w14:textId="77777777" w:rsidR="00CF234D" w:rsidRDefault="00CF234D" w:rsidP="00CF234D">
      <w:pPr>
        <w:pStyle w:val="ListParagraph"/>
        <w:numPr>
          <w:ilvl w:val="1"/>
          <w:numId w:val="5"/>
        </w:numPr>
      </w:pPr>
      <w:r>
        <w:rPr>
          <w:b/>
          <w:bCs/>
        </w:rPr>
        <w:t>Description:</w:t>
      </w:r>
      <w:r>
        <w:t xml:space="preserve"> a ‘no’ input grays out the module in the tool, while a ‘yes’ input illuminates the next step in the process. </w:t>
      </w:r>
    </w:p>
    <w:p w14:paraId="77E60FD3" w14:textId="4E0058E9" w:rsidR="0026286A" w:rsidRDefault="0026286A" w:rsidP="0026286A">
      <w:r w:rsidRPr="00D96A81">
        <w:rPr>
          <w:b/>
          <w:bCs/>
        </w:rPr>
        <w:t>Input:</w:t>
      </w:r>
      <w:r>
        <w:t xml:space="preserve"> Enter uncertainty factor as a % of A1-3 to add to the net GWP.</w:t>
      </w:r>
    </w:p>
    <w:p w14:paraId="7E5FC326" w14:textId="439E17D4" w:rsidR="0070175E" w:rsidRPr="0026286A" w:rsidRDefault="0070175E" w:rsidP="0070175E">
      <w:pPr>
        <w:pStyle w:val="ListParagraph"/>
        <w:numPr>
          <w:ilvl w:val="0"/>
          <w:numId w:val="5"/>
        </w:numPr>
      </w:pPr>
      <w:r w:rsidRPr="00D96A81">
        <w:rPr>
          <w:b/>
          <w:bCs/>
        </w:rPr>
        <w:lastRenderedPageBreak/>
        <w:t>Options:</w:t>
      </w:r>
      <w:r>
        <w:t xml:space="preserve"> this is a number input in percentage.  </w:t>
      </w:r>
      <w:r w:rsidRPr="0070175E">
        <w:t>For instance, a 20% input would be (.2)*(A1-A3 Total GWP</w:t>
      </w:r>
      <w:r>
        <w:t>), which would then get added to the rest of the module calculations to form the net kgCO2e total.</w:t>
      </w:r>
    </w:p>
    <w:p w14:paraId="0F314E4B" w14:textId="43599856" w:rsidR="002D672E" w:rsidRDefault="002D672E">
      <w:r>
        <w:br w:type="page"/>
      </w:r>
    </w:p>
    <w:bookmarkStart w:id="83" w:name="_Toc77661186" w:displacedByCustomXml="next"/>
    <w:sdt>
      <w:sdtPr>
        <w:rPr>
          <w:rFonts w:asciiTheme="minorHAnsi" w:eastAsiaTheme="minorHAnsi" w:hAnsiTheme="minorHAnsi" w:cstheme="minorBidi"/>
          <w:color w:val="auto"/>
          <w:sz w:val="22"/>
          <w:szCs w:val="22"/>
        </w:rPr>
        <w:id w:val="379913048"/>
        <w:docPartObj>
          <w:docPartGallery w:val="Bibliographies"/>
          <w:docPartUnique/>
        </w:docPartObj>
      </w:sdtPr>
      <w:sdtContent>
        <w:p w14:paraId="65FEBA60" w14:textId="4B8368A8" w:rsidR="002D672E" w:rsidRDefault="002D672E">
          <w:pPr>
            <w:pStyle w:val="Heading1"/>
          </w:pPr>
          <w:r>
            <w:t>References</w:t>
          </w:r>
          <w:bookmarkEnd w:id="83"/>
        </w:p>
        <w:sdt>
          <w:sdtPr>
            <w:id w:val="-573587230"/>
            <w:bibliography/>
          </w:sdtPr>
          <w:sdtContent>
            <w:p w14:paraId="648C2618" w14:textId="77777777" w:rsidR="002D672E" w:rsidRDefault="002D672E" w:rsidP="002D672E">
              <w:pPr>
                <w:pStyle w:val="Bibliography"/>
                <w:ind w:left="720" w:hanging="720"/>
                <w:rPr>
                  <w:noProof/>
                  <w:sz w:val="24"/>
                  <w:szCs w:val="24"/>
                </w:rPr>
              </w:pPr>
              <w:r>
                <w:fldChar w:fldCharType="begin"/>
              </w:r>
              <w:r>
                <w:instrText xml:space="preserve"> BIBLIOGRAPHY </w:instrText>
              </w:r>
              <w:r>
                <w:fldChar w:fldCharType="separate"/>
              </w:r>
              <w:r>
                <w:rPr>
                  <w:noProof/>
                </w:rPr>
                <w:t xml:space="preserve">Alison G. Kwok, H. Z. (2019). </w:t>
              </w:r>
              <w:r>
                <w:rPr>
                  <w:i/>
                  <w:iCs/>
                  <w:noProof/>
                </w:rPr>
                <w:t>Cross-Laminated Timber Buildings: A WBLCA Case Study Series.</w:t>
              </w:r>
              <w:r>
                <w:rPr>
                  <w:noProof/>
                </w:rPr>
                <w:t xml:space="preserve"> </w:t>
              </w:r>
            </w:p>
            <w:p w14:paraId="6F9E639F" w14:textId="77777777" w:rsidR="002D672E" w:rsidRDefault="002D672E" w:rsidP="002D672E">
              <w:pPr>
                <w:pStyle w:val="Bibliography"/>
                <w:ind w:left="720" w:hanging="720"/>
                <w:rPr>
                  <w:noProof/>
                </w:rPr>
              </w:pPr>
              <w:r>
                <w:rPr>
                  <w:noProof/>
                </w:rPr>
                <w:t xml:space="preserve">American and Canadian Wood Council. (2020). </w:t>
              </w:r>
              <w:r>
                <w:rPr>
                  <w:i/>
                  <w:iCs/>
                  <w:noProof/>
                </w:rPr>
                <w:t>Environmental Product Declaration - North American Glued Laminated Timber.</w:t>
              </w:r>
              <w:r>
                <w:rPr>
                  <w:noProof/>
                </w:rPr>
                <w:t xml:space="preserve"> </w:t>
              </w:r>
            </w:p>
            <w:p w14:paraId="2A60C319" w14:textId="77777777" w:rsidR="002D672E" w:rsidRDefault="002D672E" w:rsidP="002D672E">
              <w:pPr>
                <w:pStyle w:val="Bibliography"/>
                <w:ind w:left="720" w:hanging="720"/>
                <w:rPr>
                  <w:noProof/>
                </w:rPr>
              </w:pPr>
              <w:r>
                <w:rPr>
                  <w:noProof/>
                </w:rPr>
                <w:t xml:space="preserve">Dr. Morton Barlaz, N. C., &amp; Christopher Evans, A. (2009, October 30). </w:t>
              </w:r>
              <w:r>
                <w:rPr>
                  <w:i/>
                  <w:iCs/>
                  <w:noProof/>
                </w:rPr>
                <w:t>www.epa.gov.</w:t>
              </w:r>
              <w:r>
                <w:rPr>
                  <w:noProof/>
                </w:rPr>
                <w:t xml:space="preserve"> Retrieved from www.epa.gov: https://www.epa.gov/sites/default/files/2016-03/documents/warm_decay_rate_structure_10_30_2009.pdf</w:t>
              </w:r>
            </w:p>
            <w:p w14:paraId="5D296521" w14:textId="77777777" w:rsidR="002D672E" w:rsidRDefault="002D672E" w:rsidP="002D672E">
              <w:pPr>
                <w:pStyle w:val="Bibliography"/>
                <w:ind w:left="720" w:hanging="720"/>
                <w:rPr>
                  <w:noProof/>
                </w:rPr>
              </w:pPr>
              <w:r>
                <w:rPr>
                  <w:noProof/>
                </w:rPr>
                <w:t xml:space="preserve">FAL. (1994). </w:t>
              </w:r>
              <w:r>
                <w:rPr>
                  <w:i/>
                  <w:iCs/>
                  <w:noProof/>
                </w:rPr>
                <w:t>The Role of Recycling in Integrated Solid Waste Management for the Year 2000. Franklin Associates, Ltd. (Samford, CT: Keep America Beautiful, Inc), September, pp. 1-27, 30, and 31.</w:t>
              </w:r>
              <w:r>
                <w:rPr>
                  <w:noProof/>
                </w:rPr>
                <w:t xml:space="preserve"> </w:t>
              </w:r>
            </w:p>
            <w:p w14:paraId="18199508" w14:textId="77777777" w:rsidR="002D672E" w:rsidRDefault="002D672E" w:rsidP="002D672E">
              <w:pPr>
                <w:pStyle w:val="Bibliography"/>
                <w:ind w:left="720" w:hanging="720"/>
                <w:rPr>
                  <w:noProof/>
                </w:rPr>
              </w:pPr>
              <w:r>
                <w:rPr>
                  <w:noProof/>
                </w:rPr>
                <w:t xml:space="preserve">IPCC. (2006). </w:t>
              </w:r>
              <w:r>
                <w:rPr>
                  <w:i/>
                  <w:iCs/>
                  <w:noProof/>
                </w:rPr>
                <w:t>2006 IPCC Guidelines for National Greenhouse Gas Inventories.</w:t>
              </w:r>
              <w:r>
                <w:rPr>
                  <w:noProof/>
                </w:rPr>
                <w:t xml:space="preserve"> </w:t>
              </w:r>
            </w:p>
            <w:p w14:paraId="287718EB" w14:textId="77777777" w:rsidR="002D672E" w:rsidRDefault="002D672E" w:rsidP="002D672E">
              <w:pPr>
                <w:pStyle w:val="Bibliography"/>
                <w:ind w:left="720" w:hanging="720"/>
                <w:rPr>
                  <w:noProof/>
                </w:rPr>
              </w:pPr>
              <w:r>
                <w:rPr>
                  <w:noProof/>
                </w:rPr>
                <w:t xml:space="preserve">National Renewable Energy Laboratory. (2015). </w:t>
              </w:r>
              <w:r>
                <w:rPr>
                  <w:i/>
                  <w:iCs/>
                  <w:noProof/>
                </w:rPr>
                <w:t>"U.S. Life Cycle Inventory Database." Retrieved from https://www.lcacommons.gov/nrel/search.</w:t>
              </w:r>
              <w:r>
                <w:rPr>
                  <w:noProof/>
                </w:rPr>
                <w:t xml:space="preserve"> </w:t>
              </w:r>
            </w:p>
            <w:p w14:paraId="7C03AE02" w14:textId="77777777" w:rsidR="002D672E" w:rsidRDefault="002D672E" w:rsidP="002D672E">
              <w:pPr>
                <w:pStyle w:val="Bibliography"/>
                <w:ind w:left="720" w:hanging="720"/>
                <w:rPr>
                  <w:noProof/>
                </w:rPr>
              </w:pPr>
              <w:r>
                <w:rPr>
                  <w:noProof/>
                </w:rPr>
                <w:t xml:space="preserve">Thinkstep. (2020, January 16). </w:t>
              </w:r>
              <w:r>
                <w:rPr>
                  <w:i/>
                  <w:iCs/>
                  <w:noProof/>
                </w:rPr>
                <w:t>Webinar</w:t>
              </w:r>
              <w:r>
                <w:rPr>
                  <w:noProof/>
                </w:rPr>
                <w:t>. Retrieved from Choose Tally: https://choosetally.com/webinars/</w:t>
              </w:r>
            </w:p>
            <w:p w14:paraId="34377D3C" w14:textId="77777777" w:rsidR="002D672E" w:rsidRDefault="002D672E" w:rsidP="002D672E">
              <w:pPr>
                <w:pStyle w:val="Bibliography"/>
                <w:ind w:left="720" w:hanging="720"/>
                <w:rPr>
                  <w:noProof/>
                </w:rPr>
              </w:pPr>
              <w:r>
                <w:rPr>
                  <w:noProof/>
                </w:rPr>
                <w:t xml:space="preserve">U.S. Environmental Protection Agency - Office of Resource Conservation and Recovery. (2020). </w:t>
              </w:r>
              <w:r>
                <w:rPr>
                  <w:i/>
                  <w:iCs/>
                  <w:noProof/>
                </w:rPr>
                <w:t>Documentation for Greenhouse Gas Emission and Energy Factors Used in the Waste Reduction Model (WARM) - Management Practices Chapters.</w:t>
              </w:r>
              <w:r>
                <w:rPr>
                  <w:noProof/>
                </w:rPr>
                <w:t xml:space="preserve"> </w:t>
              </w:r>
            </w:p>
            <w:p w14:paraId="4FCC4009" w14:textId="77777777" w:rsidR="002D672E" w:rsidRDefault="002D672E" w:rsidP="002D672E">
              <w:pPr>
                <w:pStyle w:val="Bibliography"/>
                <w:ind w:left="720" w:hanging="720"/>
                <w:rPr>
                  <w:noProof/>
                </w:rPr>
              </w:pPr>
              <w:r>
                <w:rPr>
                  <w:noProof/>
                </w:rPr>
                <w:t xml:space="preserve">UL. (2019). </w:t>
              </w:r>
              <w:r>
                <w:rPr>
                  <w:i/>
                  <w:iCs/>
                  <w:noProof/>
                </w:rPr>
                <w:t>Product Category Rules for Building-Related Products and Services - Part B: Structural and Architectural Wood Products, EPD Requirements V10010-9v.10.</w:t>
              </w:r>
              <w:r>
                <w:rPr>
                  <w:noProof/>
                </w:rPr>
                <w:t xml:space="preserve"> </w:t>
              </w:r>
            </w:p>
            <w:p w14:paraId="69C17FEB" w14:textId="77777777" w:rsidR="002D672E" w:rsidRDefault="002D672E" w:rsidP="002D672E">
              <w:pPr>
                <w:pStyle w:val="Bibliography"/>
                <w:ind w:left="720" w:hanging="720"/>
                <w:rPr>
                  <w:noProof/>
                </w:rPr>
              </w:pPr>
              <w:r>
                <w:rPr>
                  <w:noProof/>
                </w:rPr>
                <w:t xml:space="preserve">US Environmental Protection Agency - Office of Resource Conservation and Recovery. (2020). </w:t>
              </w:r>
              <w:r>
                <w:rPr>
                  <w:i/>
                  <w:iCs/>
                  <w:noProof/>
                </w:rPr>
                <w:t>Documentation for Greenhouse Gas Emission and Eneryg Factors Used in the Waste Reduction Model (WARM) - Background Chapters.</w:t>
              </w:r>
              <w:r>
                <w:rPr>
                  <w:noProof/>
                </w:rPr>
                <w:t xml:space="preserve"> </w:t>
              </w:r>
            </w:p>
            <w:p w14:paraId="7840E3C4" w14:textId="6CEFEDD1" w:rsidR="002D672E" w:rsidRDefault="002D672E" w:rsidP="002D672E">
              <w:r>
                <w:rPr>
                  <w:b/>
                  <w:bCs/>
                  <w:noProof/>
                </w:rPr>
                <w:fldChar w:fldCharType="end"/>
              </w:r>
            </w:p>
          </w:sdtContent>
        </w:sdt>
      </w:sdtContent>
    </w:sdt>
    <w:p w14:paraId="08C33521" w14:textId="77777777" w:rsidR="002D672E" w:rsidRPr="009B2ABF" w:rsidRDefault="002D672E" w:rsidP="0026286A"/>
    <w:sectPr w:rsidR="002D672E" w:rsidRPr="009B2ABF" w:rsidSect="007C25BD">
      <w:headerReference w:type="default" r:id="rId31"/>
      <w:footerReference w:type="default" r:id="rId32"/>
      <w:pgSz w:w="12240" w:h="15840" w:code="1"/>
      <w:pgMar w:top="1440" w:right="1440" w:bottom="1440" w:left="1440" w:header="432"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unn, Jacob" w:date="2021-07-17T00:27:00Z" w:initials="DJ">
    <w:p w14:paraId="16F95407" w14:textId="6C8E85C8" w:rsidR="00133F51" w:rsidRDefault="00133F51">
      <w:pPr>
        <w:pStyle w:val="CommentText"/>
      </w:pPr>
      <w:r>
        <w:rPr>
          <w:rStyle w:val="CommentReference"/>
        </w:rPr>
        <w:annotationRef/>
      </w:r>
      <w:r>
        <w:t>Insert link</w:t>
      </w:r>
    </w:p>
  </w:comment>
  <w:comment w:id="3" w:author="Brennan, Marty" w:date="2021-07-20T09:36:00Z" w:initials="BM">
    <w:p w14:paraId="4A7074E3" w14:textId="77777777" w:rsidR="00133F51" w:rsidRDefault="00133F51" w:rsidP="00B859C2">
      <w:pPr>
        <w:pStyle w:val="CommentText"/>
      </w:pPr>
      <w:r>
        <w:t>should come first followed by Todd and Victoria</w:t>
      </w:r>
      <w:r>
        <w:rPr>
          <w:rStyle w:val="CommentReference"/>
        </w:rPr>
        <w:annotationRef/>
      </w:r>
    </w:p>
    <w:p w14:paraId="5740F6EA" w14:textId="77777777" w:rsidR="00133F51" w:rsidRDefault="00133F51" w:rsidP="00B859C2">
      <w:pPr>
        <w:pStyle w:val="CommentText"/>
      </w:pPr>
    </w:p>
  </w:comment>
  <w:comment w:id="4" w:author="Brennan, Marty" w:date="2021-07-20T09:35:00Z" w:initials="BM">
    <w:p w14:paraId="6B099B16" w14:textId="5532EC14" w:rsidR="00133F51" w:rsidRDefault="00133F51">
      <w:pPr>
        <w:pStyle w:val="CommentText"/>
      </w:pPr>
      <w:r>
        <w:t>Stacy has not engaged yet</w:t>
      </w:r>
      <w:r>
        <w:rPr>
          <w:rStyle w:val="CommentReference"/>
        </w:rPr>
        <w:annotationRef/>
      </w:r>
    </w:p>
  </w:comment>
  <w:comment w:id="7" w:author="Dunn, Jacob" w:date="2021-07-13T23:00:00Z" w:initials="DJ">
    <w:p w14:paraId="0E43AC1F" w14:textId="177C35C4" w:rsidR="00133F51" w:rsidRDefault="00133F51">
      <w:pPr>
        <w:pStyle w:val="CommentText"/>
      </w:pPr>
      <w:r>
        <w:t xml:space="preserve">old placeholder text - UpStream was conceived as an open source project that prioritizes transparency and documentation to help further the dialogue around the more variable aspects of wood product LCAs. In general, the tool attempts to be as agnostic as possible when including various data sources for both more typical LCA modules and proposed modules around forestry impacts. The open source framework will also hopefully allow the tool to more rapidly grow within the LCA community to accommodate the shifting landscape of wood analysis.   </w:t>
      </w:r>
      <w:r>
        <w:rPr>
          <w:rStyle w:val="CommentReference"/>
        </w:rPr>
        <w:annotationRef/>
      </w:r>
    </w:p>
  </w:comment>
  <w:comment w:id="8" w:author="Dunn, Jacob" w:date="2021-07-16T23:46:00Z" w:initials="DJ">
    <w:p w14:paraId="16DDEBA1" w14:textId="77777777" w:rsidR="00133F51" w:rsidRDefault="00133F51" w:rsidP="00474714">
      <w:r>
        <w:rPr>
          <w:rStyle w:val="CommentReference"/>
        </w:rPr>
        <w:annotationRef/>
      </w:r>
      <w:r>
        <w:t xml:space="preserve">UpStream was conceived as an transparent, agnostic, and open-source project.  Transparent in its attitude toward trying to with the aim for the LCA community to contriute and advance the tool as wood LCA rapidly evolves in the near future.   </w:t>
      </w:r>
    </w:p>
    <w:p w14:paraId="40484704" w14:textId="5AA52CBE" w:rsidR="00133F51" w:rsidRDefault="00133F51">
      <w:pPr>
        <w:pStyle w:val="CommentText"/>
      </w:pPr>
    </w:p>
  </w:comment>
  <w:comment w:id="9" w:author="Brennan, Marty" w:date="2021-07-20T09:52:00Z" w:initials="BM">
    <w:p w14:paraId="3B845697" w14:textId="3EC4D12D" w:rsidR="00133F51" w:rsidRDefault="00133F51">
      <w:pPr>
        <w:pStyle w:val="CommentText"/>
      </w:pPr>
      <w:r>
        <w:t>Jake, i am coming around to this intro. in general, i think it helps to be specific and clear for large audience</w:t>
      </w:r>
      <w:r>
        <w:rPr>
          <w:rStyle w:val="CommentReference"/>
        </w:rPr>
        <w:annotationRef/>
      </w:r>
    </w:p>
  </w:comment>
  <w:comment w:id="10" w:author="Brennan, Marty" w:date="2021-07-20T09:41:00Z" w:initials="BM">
    <w:p w14:paraId="0E78A73A" w14:textId="616E72DB" w:rsidR="00133F51" w:rsidRDefault="00133F51">
      <w:pPr>
        <w:pStyle w:val="CommentText"/>
      </w:pPr>
      <w:r>
        <w:t>isn't that true for all LCA modeling?</w:t>
      </w:r>
      <w:r>
        <w:rPr>
          <w:rStyle w:val="CommentReference"/>
        </w:rPr>
        <w:annotationRef/>
      </w:r>
    </w:p>
  </w:comment>
  <w:comment w:id="11" w:author="Dunn, Jacob" w:date="2021-07-21T10:09:00Z" w:initials="DJ">
    <w:p w14:paraId="2251F2A8" w14:textId="77777777" w:rsidR="00133F51" w:rsidRDefault="00133F51">
      <w:pPr>
        <w:pStyle w:val="CommentText"/>
      </w:pPr>
      <w:r>
        <w:rPr>
          <w:rStyle w:val="CommentReference"/>
        </w:rPr>
        <w:annotationRef/>
      </w:r>
      <w:r>
        <w:t>To some degree, although I think wood is particularly all over the place and more sensitive than other materials.</w:t>
      </w:r>
    </w:p>
    <w:p w14:paraId="427CA700" w14:textId="32C3F31A" w:rsidR="00133F51" w:rsidRDefault="00133F51">
      <w:pPr>
        <w:pStyle w:val="CommentText"/>
      </w:pPr>
    </w:p>
  </w:comment>
  <w:comment w:id="12" w:author="Dunn, Jacob" w:date="2021-07-21T10:10:00Z" w:initials="DJ">
    <w:p w14:paraId="3CD6D213" w14:textId="184601D7" w:rsidR="00133F51" w:rsidRDefault="00133F51">
      <w:pPr>
        <w:pStyle w:val="CommentText"/>
      </w:pPr>
      <w:r>
        <w:rPr>
          <w:rStyle w:val="CommentReference"/>
        </w:rPr>
        <w:annotationRef/>
      </w:r>
    </w:p>
  </w:comment>
  <w:comment w:id="14" w:author="Brennan, Marty" w:date="2021-07-20T09:34:00Z" w:initials="BM">
    <w:p w14:paraId="303431BA" w14:textId="4A62F659" w:rsidR="00133F51" w:rsidRDefault="00133F51">
      <w:pPr>
        <w:pStyle w:val="CommentText"/>
      </w:pPr>
      <w:r>
        <w:t>who is we?</w:t>
      </w:r>
      <w:r>
        <w:rPr>
          <w:rStyle w:val="CommentReference"/>
        </w:rPr>
        <w:annotationRef/>
      </w:r>
    </w:p>
  </w:comment>
  <w:comment w:id="15" w:author="Dunn, Jacob" w:date="2021-07-21T10:10:00Z" w:initials="DJ">
    <w:p w14:paraId="20A32233" w14:textId="46DAFCBE" w:rsidR="00133F51" w:rsidRDefault="00133F51">
      <w:pPr>
        <w:pStyle w:val="CommentText"/>
      </w:pPr>
      <w:r>
        <w:rPr>
          <w:rStyle w:val="CommentReference"/>
        </w:rPr>
        <w:annotationRef/>
      </w:r>
      <w:r>
        <w:t>The royal “we”</w:t>
      </w:r>
    </w:p>
  </w:comment>
  <w:comment w:id="16" w:author="Dunn, Jacob" w:date="2021-07-21T10:10:00Z" w:initials="DJ">
    <w:p w14:paraId="5A1EECA6" w14:textId="6F697E29" w:rsidR="00133F51" w:rsidRDefault="00133F51">
      <w:pPr>
        <w:pStyle w:val="CommentText"/>
      </w:pPr>
      <w:r>
        <w:rPr>
          <w:rStyle w:val="CommentReference"/>
        </w:rPr>
        <w:annotationRef/>
      </w:r>
    </w:p>
  </w:comment>
  <w:comment w:id="13" w:author="Dunn, Jacob" w:date="2021-07-19T22:45:00Z" w:initials="DJ">
    <w:p w14:paraId="67F6EC20" w14:textId="0BA241F4" w:rsidR="00133F51" w:rsidRDefault="00133F51">
      <w:pPr>
        <w:pStyle w:val="CommentText"/>
      </w:pPr>
      <w:r>
        <w:t xml:space="preserve">alt text - What we’ll find is that we’re often leaving carbon savings on the table by viewing all forests as the same, and thus not accounting for the true benefits of wood construction. </w:t>
      </w:r>
      <w:r>
        <w:rPr>
          <w:rStyle w:val="CommentReference"/>
        </w:rPr>
        <w:annotationRef/>
      </w:r>
    </w:p>
  </w:comment>
  <w:comment w:id="18" w:author="Dunn, Jacob" w:date="2021-07-06T09:22:00Z" w:initials="DJ">
    <w:p w14:paraId="5E73DC0E" w14:textId="0E88CD33" w:rsidR="00133F51" w:rsidRDefault="00133F51">
      <w:pPr>
        <w:pStyle w:val="CommentText"/>
      </w:pPr>
      <w:r>
        <w:t>add something about open-source</w:t>
      </w:r>
      <w:r>
        <w:rPr>
          <w:rStyle w:val="CommentReference"/>
        </w:rPr>
        <w:annotationRef/>
      </w:r>
      <w:r>
        <w:rPr>
          <w:rStyle w:val="CommentReference"/>
        </w:rPr>
        <w:annotationRef/>
      </w:r>
    </w:p>
  </w:comment>
  <w:comment w:id="19" w:author="Dunn, Jacob" w:date="2021-07-03T15:33:00Z" w:initials="DJ">
    <w:p w14:paraId="3A55EC6A" w14:textId="13BF6992" w:rsidR="00133F51" w:rsidRDefault="00133F51">
      <w:pPr>
        <w:pStyle w:val="CommentText"/>
      </w:pPr>
      <w:r>
        <w:rPr>
          <w:rStyle w:val="CommentReference"/>
        </w:rPr>
        <w:annotationRef/>
      </w:r>
      <w:r>
        <w:t>confirm</w:t>
      </w:r>
    </w:p>
  </w:comment>
  <w:comment w:id="32" w:author="Dunn, Jacob" w:date="2021-07-13T23:05:00Z" w:initials="DJ">
    <w:p w14:paraId="6E7DFE81" w14:textId="65BEE520" w:rsidR="00133F51" w:rsidRDefault="00133F51">
      <w:pPr>
        <w:pStyle w:val="CommentText"/>
      </w:pPr>
      <w:r>
        <w:rPr>
          <w:rStyle w:val="CommentReference"/>
        </w:rPr>
        <w:annotationRef/>
      </w:r>
      <w:r>
        <w:t xml:space="preserve">cite - (EPD Reference: </w:t>
      </w:r>
      <w:hyperlink r:id="rId1" w:history="1">
        <w:r>
          <w:rPr>
            <w:rStyle w:val="Hyperlink"/>
          </w:rPr>
          <w:t>North American Glued Laminated Timber – Environmental Product Declaration (awc.org)</w:t>
        </w:r>
      </w:hyperlink>
      <w:r>
        <w:t>)</w:t>
      </w:r>
      <w:r>
        <w:rPr>
          <w:rStyle w:val="CommentReference"/>
        </w:rPr>
        <w:annotationRef/>
      </w:r>
    </w:p>
  </w:comment>
  <w:comment w:id="40" w:author="Dunn, Jacob" w:date="2021-07-14T15:04:00Z" w:initials="DJ">
    <w:p w14:paraId="522088C1" w14:textId="08C90885" w:rsidR="00133F51" w:rsidRDefault="00133F51">
      <w:pPr>
        <w:pStyle w:val="CommentText"/>
      </w:pPr>
      <w:r>
        <w:rPr>
          <w:rStyle w:val="CommentReference"/>
        </w:rPr>
        <w:annotationRef/>
      </w:r>
      <w:r>
        <w:t>cite EPD</w:t>
      </w:r>
      <w:r>
        <w:rPr>
          <w:rStyle w:val="CommentReference"/>
        </w:rPr>
        <w:annotationRef/>
      </w:r>
    </w:p>
  </w:comment>
  <w:comment w:id="41" w:author="Dunn, Jacob" w:date="2021-07-14T15:03:00Z" w:initials="DJ">
    <w:p w14:paraId="36D7F95E" w14:textId="59CABF7A" w:rsidR="00133F51" w:rsidRDefault="00133F51">
      <w:pPr>
        <w:pStyle w:val="CommentText"/>
      </w:pPr>
      <w:r>
        <w:rPr>
          <w:rStyle w:val="CommentReference"/>
        </w:rPr>
        <w:annotationRef/>
      </w:r>
      <w:r>
        <w:t>cite?</w:t>
      </w:r>
      <w:r>
        <w:rPr>
          <w:rStyle w:val="CommentReference"/>
        </w:rPr>
        <w:annotationRef/>
      </w:r>
    </w:p>
  </w:comment>
  <w:comment w:id="39" w:author="Jacob D" w:date="2021-05-28T15:20:00Z" w:initials="JD">
    <w:p w14:paraId="5F870B40" w14:textId="1DAD69A2" w:rsidR="00133F51" w:rsidRDefault="00133F51">
      <w:pPr>
        <w:pStyle w:val="CommentText"/>
      </w:pPr>
      <w:r>
        <w:rPr>
          <w:rStyle w:val="CommentReference"/>
        </w:rPr>
        <w:annotationRef/>
      </w:r>
      <w:r>
        <w:t>Revisit these terms</w:t>
      </w:r>
      <w:r>
        <w:rPr>
          <w:rStyle w:val="CommentReference"/>
        </w:rPr>
        <w:annotationRef/>
      </w:r>
    </w:p>
  </w:comment>
  <w:comment w:id="42" w:author="Dunn, Jacob" w:date="2021-07-14T15:15:00Z" w:initials="DJ">
    <w:p w14:paraId="58CA77FF" w14:textId="379A04DA" w:rsidR="00133F51" w:rsidRDefault="00133F51">
      <w:pPr>
        <w:pStyle w:val="CommentText"/>
      </w:pPr>
      <w:r>
        <w:rPr>
          <w:rStyle w:val="CommentReference"/>
        </w:rPr>
        <w:annotationRef/>
      </w:r>
      <w:r>
        <w:t>Verify, I think I thought this at first, but then found that it did include it……..gotta double check.</w:t>
      </w:r>
    </w:p>
  </w:comment>
  <w:comment w:id="43" w:author="Dunn, Jacob" w:date="2021-07-14T15:24:00Z" w:initials="DJ">
    <w:p w14:paraId="661690DE" w14:textId="3845CB2C" w:rsidR="00133F51" w:rsidRDefault="00133F51">
      <w:pPr>
        <w:pStyle w:val="CommentText"/>
      </w:pPr>
      <w:r>
        <w:rPr>
          <w:rStyle w:val="CommentReference"/>
        </w:rPr>
        <w:annotationRef/>
      </w:r>
      <w:r>
        <w:t>Cite tallwood document?  Is that were I heard this…..</w:t>
      </w:r>
      <w:r>
        <w:rPr>
          <w:rStyle w:val="CommentReference"/>
        </w:rPr>
        <w:annotationRef/>
      </w:r>
    </w:p>
  </w:comment>
  <w:comment w:id="44" w:author="Dunn, Jacob" w:date="2021-07-14T15:24:00Z" w:initials="DJ">
    <w:p w14:paraId="0D64C024" w14:textId="75B5E6AF" w:rsidR="00133F51" w:rsidRDefault="00133F51">
      <w:pPr>
        <w:pStyle w:val="CommentText"/>
      </w:pPr>
      <w:r>
        <w:rPr>
          <w:rStyle w:val="CommentReference"/>
        </w:rPr>
        <w:annotationRef/>
      </w:r>
      <w:r>
        <w:t>Cite tallwood document</w:t>
      </w:r>
      <w:r>
        <w:rPr>
          <w:rStyle w:val="CommentReference"/>
        </w:rPr>
        <w:annotationRef/>
      </w:r>
    </w:p>
    <w:p w14:paraId="7B49210B" w14:textId="2C8BE1DE" w:rsidR="00133F51" w:rsidRDefault="00133F51">
      <w:pPr>
        <w:pStyle w:val="CommentText"/>
      </w:pPr>
    </w:p>
  </w:comment>
  <w:comment w:id="47" w:author="Jacob D" w:date="2021-06-24T13:40:00Z" w:initials="JD">
    <w:p w14:paraId="06A3B9F7" w14:textId="77777777" w:rsidR="00133F51" w:rsidRDefault="00133F51" w:rsidP="00492479">
      <w:pPr>
        <w:pStyle w:val="CommentText"/>
      </w:pPr>
      <w:r>
        <w:rPr>
          <w:rStyle w:val="CommentReference"/>
        </w:rPr>
        <w:annotationRef/>
      </w:r>
      <w:r>
        <w:t xml:space="preserve">Cite - U.S. Environmental Protection Agency </w:t>
      </w:r>
      <w:r>
        <w:rPr>
          <w:rStyle w:val="CommentReference"/>
        </w:rPr>
        <w:annotationRef/>
      </w:r>
    </w:p>
    <w:p w14:paraId="5221E802" w14:textId="77777777" w:rsidR="00133F51" w:rsidRDefault="00133F51" w:rsidP="00492479">
      <w:pPr>
        <w:pStyle w:val="CommentText"/>
      </w:pPr>
      <w:r>
        <w:t xml:space="preserve">Office of Resource Conservation and Recovery </w:t>
      </w:r>
    </w:p>
    <w:p w14:paraId="79CE862A" w14:textId="77777777" w:rsidR="00133F51" w:rsidRDefault="00133F51" w:rsidP="00492479">
      <w:pPr>
        <w:pStyle w:val="CommentText"/>
      </w:pPr>
      <w:r>
        <w:t xml:space="preserve"> </w:t>
      </w:r>
    </w:p>
    <w:p w14:paraId="02FDF99D" w14:textId="77777777" w:rsidR="00133F51" w:rsidRDefault="00133F51" w:rsidP="00492479">
      <w:pPr>
        <w:pStyle w:val="CommentText"/>
      </w:pPr>
      <w:r>
        <w:t xml:space="preserve">Documentation for Greenhouse Gas Emission and </w:t>
      </w:r>
    </w:p>
    <w:p w14:paraId="645DB55A" w14:textId="77777777" w:rsidR="00133F51" w:rsidRDefault="00133F51" w:rsidP="00492479">
      <w:pPr>
        <w:pStyle w:val="CommentText"/>
      </w:pPr>
      <w:r>
        <w:t xml:space="preserve">Energy Factors Used in the Waste Reduction Model </w:t>
      </w:r>
    </w:p>
    <w:p w14:paraId="7A033C2C" w14:textId="77777777" w:rsidR="00133F51" w:rsidRDefault="00133F51" w:rsidP="00492479">
      <w:pPr>
        <w:pStyle w:val="CommentText"/>
      </w:pPr>
      <w:r>
        <w:t xml:space="preserve">(WARM) </w:t>
      </w:r>
    </w:p>
    <w:p w14:paraId="69286C34" w14:textId="77777777" w:rsidR="00133F51" w:rsidRDefault="00133F51" w:rsidP="00492479">
      <w:pPr>
        <w:pStyle w:val="CommentText"/>
      </w:pPr>
      <w:r>
        <w:t xml:space="preserve"> </w:t>
      </w:r>
    </w:p>
    <w:p w14:paraId="4ECBE96C" w14:textId="77777777" w:rsidR="00133F51" w:rsidRDefault="00133F51" w:rsidP="00492479">
      <w:pPr>
        <w:pStyle w:val="CommentText"/>
      </w:pPr>
      <w:r>
        <w:t xml:space="preserve">Background Chapters </w:t>
      </w:r>
    </w:p>
    <w:p w14:paraId="79F67B0A" w14:textId="68AFEA73" w:rsidR="00133F51" w:rsidRDefault="00133F51" w:rsidP="00492479">
      <w:pPr>
        <w:pStyle w:val="CommentText"/>
      </w:pPr>
      <w:r>
        <w:t xml:space="preserve"> </w:t>
      </w:r>
    </w:p>
    <w:p w14:paraId="7EBAE286" w14:textId="7FDB282A" w:rsidR="00133F51" w:rsidRDefault="00133F51" w:rsidP="00492479">
      <w:pPr>
        <w:pStyle w:val="CommentText"/>
      </w:pPr>
      <w:r>
        <w:t>November 2020</w:t>
      </w:r>
    </w:p>
  </w:comment>
  <w:comment w:id="48" w:author="Jacob D" w:date="2021-06-24T13:51:00Z" w:initials="JD">
    <w:p w14:paraId="5C64823D" w14:textId="77777777" w:rsidR="00133F51" w:rsidRDefault="00133F51" w:rsidP="00AC6026">
      <w:pPr>
        <w:pStyle w:val="CommentText"/>
      </w:pPr>
      <w:r>
        <w:rPr>
          <w:rStyle w:val="CommentReference"/>
        </w:rPr>
        <w:annotationRef/>
      </w:r>
      <w:r>
        <w:t xml:space="preserve">Cite - FAL. (1994). The Role of Recycling in Integrated Solid Waste Management for the Year 2000. Franklin </w:t>
      </w:r>
    </w:p>
    <w:p w14:paraId="16E533F5" w14:textId="77777777" w:rsidR="00133F51" w:rsidRDefault="00133F51" w:rsidP="00AC6026">
      <w:pPr>
        <w:pStyle w:val="CommentText"/>
      </w:pPr>
      <w:r>
        <w:t>Associates, Ltd. (Stamford, CT: Keep America Beautiful, Inc.), September, pp. I–27, 30, and 31.</w:t>
      </w:r>
    </w:p>
  </w:comment>
  <w:comment w:id="49" w:author="Jacob D" w:date="2021-06-24T13:52:00Z" w:initials="JD">
    <w:p w14:paraId="7206F0A7" w14:textId="77777777" w:rsidR="00133F51" w:rsidRDefault="00133F51" w:rsidP="00AC6026">
      <w:pPr>
        <w:pStyle w:val="CommentText"/>
      </w:pPr>
      <w:r>
        <w:rPr>
          <w:rStyle w:val="CommentReference"/>
        </w:rPr>
        <w:annotationRef/>
      </w:r>
      <w:r>
        <w:t xml:space="preserve">Cite - National Renewable Energy Laboratory (2015). "U.S. Life Cycle Inventory Database." Retrieved from </w:t>
      </w:r>
      <w:r>
        <w:rPr>
          <w:rStyle w:val="CommentReference"/>
        </w:rPr>
        <w:annotationRef/>
      </w:r>
    </w:p>
    <w:p w14:paraId="0F4B2EC8" w14:textId="77777777" w:rsidR="00133F51" w:rsidRDefault="00133F51" w:rsidP="00AC6026">
      <w:pPr>
        <w:pStyle w:val="CommentText"/>
      </w:pPr>
      <w:r>
        <w:t>https://www.lcacommons.gov/nrel/search</w:t>
      </w:r>
    </w:p>
  </w:comment>
  <w:comment w:id="51" w:author="Jacob D" w:date="2021-06-24T10:32:00Z" w:initials="JD">
    <w:p w14:paraId="4124F19B" w14:textId="6544A254" w:rsidR="00133F51" w:rsidRDefault="00133F51">
      <w:pPr>
        <w:pStyle w:val="CommentText"/>
      </w:pPr>
      <w:r>
        <w:rPr>
          <w:rStyle w:val="CommentReference"/>
        </w:rPr>
        <w:annotationRef/>
      </w:r>
      <w:r>
        <w:t xml:space="preserve">Cite reference – 10_30_2009 Memo </w:t>
      </w:r>
      <w:r w:rsidRPr="000C68E7">
        <w:t>WARM component-specific decay rate methods</w:t>
      </w:r>
      <w:r>
        <w:rPr>
          <w:rStyle w:val="CommentReference"/>
        </w:rPr>
        <w:annotationRef/>
      </w:r>
    </w:p>
  </w:comment>
  <w:comment w:id="54" w:author="Jacob D" w:date="2021-06-24T14:55:00Z" w:initials="JD">
    <w:p w14:paraId="36F36AC4" w14:textId="1C5A75FE" w:rsidR="00133F51" w:rsidRDefault="00133F51">
      <w:pPr>
        <w:pStyle w:val="CommentText"/>
      </w:pPr>
      <w:r>
        <w:rPr>
          <w:rStyle w:val="CommentReference"/>
        </w:rPr>
        <w:annotationRef/>
      </w:r>
      <w:r>
        <w:t>Cite - U.S. Environmental Protection Agency Office of Resource Conservation and Recovery Documentation for Greenhouse Gas Emission and Energy Factors Used in the Waste Reduction Model (WARM) Construction Materials Chapters November 2020</w:t>
      </w:r>
      <w:r>
        <w:rPr>
          <w:rStyle w:val="CommentReference"/>
        </w:rPr>
        <w:annotationRef/>
      </w:r>
    </w:p>
  </w:comment>
  <w:comment w:id="56" w:author="Jacob D" w:date="2021-06-24T14:38:00Z" w:initials="JD">
    <w:p w14:paraId="34C064D5" w14:textId="08776920" w:rsidR="00133F51" w:rsidRDefault="00133F51">
      <w:pPr>
        <w:pStyle w:val="CommentText"/>
      </w:pPr>
      <w:r>
        <w:rPr>
          <w:rStyle w:val="CommentReference"/>
        </w:rPr>
        <w:annotationRef/>
      </w:r>
      <w:r>
        <w:t xml:space="preserve">Cite </w:t>
      </w:r>
      <w:r>
        <w:rPr>
          <w:rStyle w:val="CommentReference"/>
        </w:rPr>
        <w:annotationRef/>
      </w:r>
    </w:p>
  </w:comment>
  <w:comment w:id="57" w:author="Jacob D" w:date="2021-06-24T14:38:00Z" w:initials="JD">
    <w:p w14:paraId="3BE4CF19" w14:textId="77777777" w:rsidR="00133F51" w:rsidRDefault="00133F51" w:rsidP="00CD7191">
      <w:pPr>
        <w:pStyle w:val="CommentText"/>
      </w:pPr>
      <w:r>
        <w:rPr>
          <w:rStyle w:val="CommentReference"/>
        </w:rPr>
        <w:annotationRef/>
      </w:r>
      <w:r>
        <w:t xml:space="preserve">U.S. Environmental Protection Agency </w:t>
      </w:r>
      <w:r>
        <w:rPr>
          <w:rStyle w:val="CommentReference"/>
        </w:rPr>
        <w:annotationRef/>
      </w:r>
    </w:p>
    <w:p w14:paraId="53E9B657" w14:textId="77777777" w:rsidR="00133F51" w:rsidRDefault="00133F51" w:rsidP="00CD7191">
      <w:pPr>
        <w:pStyle w:val="CommentText"/>
      </w:pPr>
      <w:r>
        <w:t xml:space="preserve">Office of Resource Conservation and Recovery </w:t>
      </w:r>
    </w:p>
    <w:p w14:paraId="480513A7" w14:textId="77777777" w:rsidR="00133F51" w:rsidRDefault="00133F51" w:rsidP="00CD7191">
      <w:pPr>
        <w:pStyle w:val="CommentText"/>
      </w:pPr>
      <w:r>
        <w:t xml:space="preserve"> </w:t>
      </w:r>
    </w:p>
    <w:p w14:paraId="05CFC4AA" w14:textId="77777777" w:rsidR="00133F51" w:rsidRDefault="00133F51" w:rsidP="00CD7191">
      <w:pPr>
        <w:pStyle w:val="CommentText"/>
      </w:pPr>
      <w:r>
        <w:t xml:space="preserve">Documentation for Greenhouse Gas Emission and </w:t>
      </w:r>
    </w:p>
    <w:p w14:paraId="0EB85CD1" w14:textId="77777777" w:rsidR="00133F51" w:rsidRDefault="00133F51" w:rsidP="00CD7191">
      <w:pPr>
        <w:pStyle w:val="CommentText"/>
      </w:pPr>
      <w:r>
        <w:t xml:space="preserve">Energy Factors Used in the Waste Reduction Model </w:t>
      </w:r>
    </w:p>
    <w:p w14:paraId="51CD7419" w14:textId="77777777" w:rsidR="00133F51" w:rsidRDefault="00133F51" w:rsidP="00CD7191">
      <w:pPr>
        <w:pStyle w:val="CommentText"/>
      </w:pPr>
      <w:r>
        <w:t xml:space="preserve">(WARM) </w:t>
      </w:r>
    </w:p>
    <w:p w14:paraId="51EBC96F" w14:textId="77777777" w:rsidR="00133F51" w:rsidRDefault="00133F51" w:rsidP="00CD7191">
      <w:pPr>
        <w:pStyle w:val="CommentText"/>
      </w:pPr>
      <w:r>
        <w:t xml:space="preserve"> </w:t>
      </w:r>
    </w:p>
    <w:p w14:paraId="5D9B85CF" w14:textId="77777777" w:rsidR="00133F51" w:rsidRDefault="00133F51" w:rsidP="00CD7191">
      <w:pPr>
        <w:pStyle w:val="CommentText"/>
      </w:pPr>
      <w:r>
        <w:t xml:space="preserve">Background Chapters </w:t>
      </w:r>
    </w:p>
    <w:p w14:paraId="326931EA" w14:textId="77777777" w:rsidR="00133F51" w:rsidRDefault="00133F51" w:rsidP="00CD7191">
      <w:pPr>
        <w:pStyle w:val="CommentText"/>
      </w:pPr>
      <w:r>
        <w:t xml:space="preserve"> </w:t>
      </w:r>
    </w:p>
    <w:p w14:paraId="08AC9E13" w14:textId="77777777" w:rsidR="00133F51" w:rsidRDefault="00133F51" w:rsidP="00CD7191">
      <w:pPr>
        <w:pStyle w:val="CommentText"/>
      </w:pPr>
      <w:r>
        <w:t xml:space="preserve"> </w:t>
      </w:r>
    </w:p>
    <w:p w14:paraId="6138FDFE" w14:textId="77777777" w:rsidR="00133F51" w:rsidRDefault="00133F51" w:rsidP="00CD7191">
      <w:pPr>
        <w:pStyle w:val="CommentText"/>
      </w:pPr>
      <w:r>
        <w:t xml:space="preserve"> </w:t>
      </w:r>
    </w:p>
    <w:p w14:paraId="6274D0DD" w14:textId="77777777" w:rsidR="00133F51" w:rsidRDefault="00133F51" w:rsidP="00CD7191">
      <w:pPr>
        <w:pStyle w:val="CommentText"/>
      </w:pPr>
      <w:r>
        <w:t xml:space="preserve"> </w:t>
      </w:r>
    </w:p>
    <w:p w14:paraId="6808B81B" w14:textId="367D9516" w:rsidR="00133F51" w:rsidRDefault="00133F51" w:rsidP="00CD7191">
      <w:pPr>
        <w:pStyle w:val="CommentText"/>
      </w:pPr>
      <w:r>
        <w:t>November 2020</w:t>
      </w:r>
    </w:p>
  </w:comment>
  <w:comment w:id="59" w:author="Dunn, Jacob" w:date="2021-07-13T23:53:00Z" w:initials="DJ">
    <w:p w14:paraId="5E665F51" w14:textId="098458BA" w:rsidR="00133F51" w:rsidRDefault="00133F51">
      <w:pPr>
        <w:pStyle w:val="CommentText"/>
      </w:pPr>
      <w:r>
        <w:rPr>
          <w:rStyle w:val="CommentReference"/>
        </w:rPr>
        <w:annotationRef/>
      </w:r>
      <w:r>
        <w:t>Cite webinar</w:t>
      </w:r>
    </w:p>
  </w:comment>
  <w:comment w:id="61" w:author="Dunn, Jacob" w:date="2021-07-14T16:24:00Z" w:initials="DJ">
    <w:p w14:paraId="74169DBF" w14:textId="674D2687" w:rsidR="00133F51" w:rsidRDefault="00133F51">
      <w:pPr>
        <w:pStyle w:val="CommentText"/>
      </w:pPr>
      <w:r>
        <w:rPr>
          <w:rStyle w:val="CommentReference"/>
        </w:rPr>
        <w:annotationRef/>
      </w:r>
      <w:r>
        <w:t>Cite IPCC reference from Maggie?</w:t>
      </w:r>
    </w:p>
  </w:comment>
  <w:comment w:id="62" w:author="Jacob D" w:date="2021-06-24T16:02:00Z" w:initials="JD">
    <w:p w14:paraId="625C238D" w14:textId="200FDC4F" w:rsidR="00133F51" w:rsidRDefault="00133F51">
      <w:pPr>
        <w:pStyle w:val="CommentText"/>
      </w:pPr>
      <w:r>
        <w:rPr>
          <w:rStyle w:val="CommentReference"/>
        </w:rPr>
        <w:annotationRef/>
      </w:r>
      <w:r>
        <w:t>Cite – tallwood design institute CLT handbook</w:t>
      </w:r>
    </w:p>
  </w:comment>
  <w:comment w:id="64" w:author="Brennan, Marty" w:date="2021-07-20T10:10:00Z" w:initials="BM">
    <w:p w14:paraId="1D43F6D2" w14:textId="2A8436C0" w:rsidR="00133F51" w:rsidRDefault="00133F51">
      <w:pPr>
        <w:pStyle w:val="CommentText"/>
      </w:pPr>
      <w:r>
        <w:t>confirm correct grammar</w:t>
      </w:r>
      <w:r>
        <w:rPr>
          <w:rStyle w:val="CommentReference"/>
        </w:rPr>
        <w:annotationRef/>
      </w:r>
      <w:r>
        <w:rPr>
          <w:rStyle w:val="CommentReference"/>
        </w:rPr>
        <w:annotationRef/>
      </w:r>
    </w:p>
    <w:p w14:paraId="6810816B" w14:textId="0461D78E" w:rsidR="00133F51" w:rsidRDefault="00133F51">
      <w:pPr>
        <w:pStyle w:val="CommentText"/>
      </w:pPr>
    </w:p>
  </w:comment>
  <w:comment w:id="65" w:author="Jacob D" w:date="2021-06-24T16:18:00Z" w:initials="JD">
    <w:p w14:paraId="6405615E" w14:textId="77777777" w:rsidR="00133F51" w:rsidRDefault="00133F51">
      <w:pPr>
        <w:pStyle w:val="CommentText"/>
      </w:pPr>
      <w:r>
        <w:rPr>
          <w:rStyle w:val="CommentReference"/>
        </w:rPr>
        <w:annotationRef/>
      </w:r>
      <w:r>
        <w:t>Cite tallwood</w:t>
      </w:r>
    </w:p>
    <w:p w14:paraId="70DF732A" w14:textId="2D2E4B24" w:rsidR="00133F51" w:rsidRDefault="00133F51">
      <w:pPr>
        <w:pStyle w:val="CommentText"/>
      </w:pPr>
    </w:p>
  </w:comment>
  <w:comment w:id="74" w:author="Jacob D" w:date="2021-05-28T15:20:00Z" w:initials="JD">
    <w:p w14:paraId="644254A5" w14:textId="77777777" w:rsidR="00133F51" w:rsidRDefault="00133F51" w:rsidP="00932EB1">
      <w:pPr>
        <w:pStyle w:val="CommentText"/>
      </w:pPr>
      <w:r>
        <w:rPr>
          <w:rStyle w:val="CommentReference"/>
        </w:rPr>
        <w:annotationRef/>
      </w:r>
      <w:r>
        <w:t>Revisit these terms</w:t>
      </w:r>
      <w:r>
        <w:rPr>
          <w:rStyle w:val="CommentReference"/>
        </w:rPr>
        <w:annotationRef/>
      </w:r>
    </w:p>
  </w:comment>
  <w:comment w:id="78" w:author="Jacob D" w:date="2021-06-26T12:21:00Z" w:initials="JD">
    <w:p w14:paraId="02D19D42" w14:textId="156FBC9F" w:rsidR="00133F51" w:rsidRDefault="00133F51">
      <w:pPr>
        <w:pStyle w:val="CommentText"/>
      </w:pPr>
      <w:r>
        <w:rPr>
          <w:rStyle w:val="CommentReference"/>
        </w:rPr>
        <w:annotationRef/>
      </w:r>
      <w:r>
        <w:t>Cite?  Maybe look at David’s Beyond carbon neutral reference.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F95407" w15:done="1"/>
  <w15:commentEx w15:paraId="5740F6EA" w15:done="1"/>
  <w15:commentEx w15:paraId="6B099B16" w15:done="1"/>
  <w15:commentEx w15:paraId="0E43AC1F" w15:done="0"/>
  <w15:commentEx w15:paraId="40484704" w15:paraIdParent="0E43AC1F" w15:done="0"/>
  <w15:commentEx w15:paraId="3B845697" w15:done="0"/>
  <w15:commentEx w15:paraId="0E78A73A" w15:done="0"/>
  <w15:commentEx w15:paraId="427CA700" w15:paraIdParent="0E78A73A" w15:done="0"/>
  <w15:commentEx w15:paraId="3CD6D213" w15:paraIdParent="0E78A73A" w15:done="0"/>
  <w15:commentEx w15:paraId="303431BA" w15:done="0"/>
  <w15:commentEx w15:paraId="20A32233" w15:paraIdParent="303431BA" w15:done="0"/>
  <w15:commentEx w15:paraId="5A1EECA6" w15:paraIdParent="303431BA" w15:done="0"/>
  <w15:commentEx w15:paraId="67F6EC20" w15:done="0"/>
  <w15:commentEx w15:paraId="5E73DC0E" w15:done="1"/>
  <w15:commentEx w15:paraId="3A55EC6A" w15:done="0"/>
  <w15:commentEx w15:paraId="6E7DFE81" w15:done="1"/>
  <w15:commentEx w15:paraId="522088C1" w15:done="1"/>
  <w15:commentEx w15:paraId="36D7F95E" w15:done="1"/>
  <w15:commentEx w15:paraId="5F870B40" w15:done="1"/>
  <w15:commentEx w15:paraId="58CA77FF" w15:done="0"/>
  <w15:commentEx w15:paraId="661690DE" w15:done="1"/>
  <w15:commentEx w15:paraId="7B49210B" w15:done="1"/>
  <w15:commentEx w15:paraId="7EBAE286" w15:done="1"/>
  <w15:commentEx w15:paraId="16E533F5" w15:done="0"/>
  <w15:commentEx w15:paraId="0F4B2EC8" w15:done="1"/>
  <w15:commentEx w15:paraId="4124F19B" w15:done="1"/>
  <w15:commentEx w15:paraId="36F36AC4" w15:done="1"/>
  <w15:commentEx w15:paraId="34C064D5" w15:done="1"/>
  <w15:commentEx w15:paraId="6808B81B" w15:paraIdParent="34C064D5" w15:done="1"/>
  <w15:commentEx w15:paraId="5E665F51" w15:done="0"/>
  <w15:commentEx w15:paraId="74169DBF" w15:done="0"/>
  <w15:commentEx w15:paraId="625C238D" w15:done="0"/>
  <w15:commentEx w15:paraId="6810816B" w15:done="1"/>
  <w15:commentEx w15:paraId="70DF732A" w15:done="0"/>
  <w15:commentEx w15:paraId="644254A5" w15:done="1"/>
  <w15:commentEx w15:paraId="02D19D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CA28F" w16cex:dateUtc="2021-07-17T07:27:00Z"/>
  <w16cex:commentExtensible w16cex:durableId="24A26D16" w16cex:dateUtc="2021-07-20T16:36:00Z"/>
  <w16cex:commentExtensible w16cex:durableId="340735B6" w16cex:dateUtc="2021-07-20T16:35:00Z"/>
  <w16cex:commentExtensible w16cex:durableId="789B4C51" w16cex:dateUtc="2021-07-14T06:00:00Z"/>
  <w16cex:commentExtensible w16cex:durableId="249C98ED" w16cex:dateUtc="2021-07-17T06:46:00Z"/>
  <w16cex:commentExtensible w16cex:durableId="13CFE804" w16cex:dateUtc="2021-07-20T16:52:00Z"/>
  <w16cex:commentExtensible w16cex:durableId="02BE454F" w16cex:dateUtc="2021-07-20T16:41:00Z"/>
  <w16cex:commentExtensible w16cex:durableId="24A270E5" w16cex:dateUtc="2021-07-21T17:09:00Z"/>
  <w16cex:commentExtensible w16cex:durableId="24A27103" w16cex:dateUtc="2021-07-21T17:10:00Z"/>
  <w16cex:commentExtensible w16cex:durableId="56D76F70" w16cex:dateUtc="2021-07-20T16:34:00Z"/>
  <w16cex:commentExtensible w16cex:durableId="24A27122" w16cex:dateUtc="2021-07-21T17:10:00Z"/>
  <w16cex:commentExtensible w16cex:durableId="24A27126" w16cex:dateUtc="2021-07-21T17:10:00Z"/>
  <w16cex:commentExtensible w16cex:durableId="158002C3" w16cex:dateUtc="2021-07-20T05:45:00Z"/>
  <w16cex:commentExtensible w16cex:durableId="49A6AEBC" w16cex:dateUtc="2021-07-06T16:22:00Z"/>
  <w16cex:commentExtensible w16cex:durableId="248B01CA" w16cex:dateUtc="2021-07-03T22:33:00Z"/>
  <w16cex:commentExtensible w16cex:durableId="24989AAA" w16cex:dateUtc="2021-07-14T06:05:00Z"/>
  <w16cex:commentExtensible w16cex:durableId="24997B6F" w16cex:dateUtc="2021-07-14T22:04:00Z"/>
  <w16cex:commentExtensible w16cex:durableId="24997B5C" w16cex:dateUtc="2021-07-14T22:03:00Z"/>
  <w16cex:commentExtensible w16cex:durableId="245B88BE" w16cex:dateUtc="2021-05-28T22:20:00Z"/>
  <w16cex:commentExtensible w16cex:durableId="24997E27" w16cex:dateUtc="2021-07-14T22:15:00Z"/>
  <w16cex:commentExtensible w16cex:durableId="24998015" w16cex:dateUtc="2021-07-14T22:24:00Z"/>
  <w16cex:commentExtensible w16cex:durableId="2499803E" w16cex:dateUtc="2021-07-14T22:24:00Z"/>
  <w16cex:commentExtensible w16cex:durableId="247F09B8" w16cex:dateUtc="2021-06-24T20:40:00Z"/>
  <w16cex:commentExtensible w16cex:durableId="247F0C74" w16cex:dateUtc="2021-06-24T20:51:00Z"/>
  <w16cex:commentExtensible w16cex:durableId="247F0C83" w16cex:dateUtc="2021-06-24T20:52:00Z"/>
  <w16cex:commentExtensible w16cex:durableId="247EDDAA" w16cex:dateUtc="2021-06-24T17:32:00Z"/>
  <w16cex:commentExtensible w16cex:durableId="247F1B6D" w16cex:dateUtc="2021-06-24T21:55:00Z"/>
  <w16cex:commentExtensible w16cex:durableId="247F175D" w16cex:dateUtc="2021-06-24T21:38:00Z"/>
  <w16cex:commentExtensible w16cex:durableId="247F1773" w16cex:dateUtc="2021-06-24T21:38:00Z"/>
  <w16cex:commentExtensible w16cex:durableId="2498A613" w16cex:dateUtc="2021-07-14T06:53:00Z"/>
  <w16cex:commentExtensible w16cex:durableId="24998E33" w16cex:dateUtc="2021-07-14T23:24:00Z"/>
  <w16cex:commentExtensible w16cex:durableId="247F2B07" w16cex:dateUtc="2021-06-24T23:02:00Z"/>
  <w16cex:commentExtensible w16cex:durableId="402F601E" w16cex:dateUtc="2021-07-20T17:10:00Z"/>
  <w16cex:commentExtensible w16cex:durableId="247F2EC2" w16cex:dateUtc="2021-06-24T23:18:00Z"/>
  <w16cex:commentExtensible w16cex:durableId="248179A5" w16cex:dateUtc="2021-05-28T22:20:00Z"/>
  <w16cex:commentExtensible w16cex:durableId="24819A64" w16cex:dateUtc="2021-06-26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F95407" w16cid:durableId="249CA28F"/>
  <w16cid:commentId w16cid:paraId="5740F6EA" w16cid:durableId="24A26D16"/>
  <w16cid:commentId w16cid:paraId="6B099B16" w16cid:durableId="340735B6"/>
  <w16cid:commentId w16cid:paraId="0E43AC1F" w16cid:durableId="789B4C51"/>
  <w16cid:commentId w16cid:paraId="40484704" w16cid:durableId="249C98ED"/>
  <w16cid:commentId w16cid:paraId="3B845697" w16cid:durableId="13CFE804"/>
  <w16cid:commentId w16cid:paraId="0E78A73A" w16cid:durableId="02BE454F"/>
  <w16cid:commentId w16cid:paraId="427CA700" w16cid:durableId="24A270E5"/>
  <w16cid:commentId w16cid:paraId="3CD6D213" w16cid:durableId="24A27103"/>
  <w16cid:commentId w16cid:paraId="303431BA" w16cid:durableId="56D76F70"/>
  <w16cid:commentId w16cid:paraId="20A32233" w16cid:durableId="24A27122"/>
  <w16cid:commentId w16cid:paraId="5A1EECA6" w16cid:durableId="24A27126"/>
  <w16cid:commentId w16cid:paraId="67F6EC20" w16cid:durableId="158002C3"/>
  <w16cid:commentId w16cid:paraId="5E73DC0E" w16cid:durableId="49A6AEBC"/>
  <w16cid:commentId w16cid:paraId="3A55EC6A" w16cid:durableId="248B01CA"/>
  <w16cid:commentId w16cid:paraId="6E7DFE81" w16cid:durableId="24989AAA"/>
  <w16cid:commentId w16cid:paraId="522088C1" w16cid:durableId="24997B6F"/>
  <w16cid:commentId w16cid:paraId="36D7F95E" w16cid:durableId="24997B5C"/>
  <w16cid:commentId w16cid:paraId="5F870B40" w16cid:durableId="245B88BE"/>
  <w16cid:commentId w16cid:paraId="58CA77FF" w16cid:durableId="24997E27"/>
  <w16cid:commentId w16cid:paraId="661690DE" w16cid:durableId="24998015"/>
  <w16cid:commentId w16cid:paraId="7B49210B" w16cid:durableId="2499803E"/>
  <w16cid:commentId w16cid:paraId="7EBAE286" w16cid:durableId="247F09B8"/>
  <w16cid:commentId w16cid:paraId="16E533F5" w16cid:durableId="247F0C74"/>
  <w16cid:commentId w16cid:paraId="0F4B2EC8" w16cid:durableId="247F0C83"/>
  <w16cid:commentId w16cid:paraId="4124F19B" w16cid:durableId="247EDDAA"/>
  <w16cid:commentId w16cid:paraId="36F36AC4" w16cid:durableId="247F1B6D"/>
  <w16cid:commentId w16cid:paraId="34C064D5" w16cid:durableId="247F175D"/>
  <w16cid:commentId w16cid:paraId="6808B81B" w16cid:durableId="247F1773"/>
  <w16cid:commentId w16cid:paraId="5E665F51" w16cid:durableId="2498A613"/>
  <w16cid:commentId w16cid:paraId="74169DBF" w16cid:durableId="24998E33"/>
  <w16cid:commentId w16cid:paraId="625C238D" w16cid:durableId="247F2B07"/>
  <w16cid:commentId w16cid:paraId="6810816B" w16cid:durableId="402F601E"/>
  <w16cid:commentId w16cid:paraId="70DF732A" w16cid:durableId="247F2EC2"/>
  <w16cid:commentId w16cid:paraId="644254A5" w16cid:durableId="248179A5"/>
  <w16cid:commentId w16cid:paraId="02D19D42" w16cid:durableId="24819A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0C2A0" w14:textId="77777777" w:rsidR="00133F51" w:rsidRDefault="00133F51" w:rsidP="00F97CAB">
      <w:pPr>
        <w:spacing w:after="0" w:line="240" w:lineRule="auto"/>
      </w:pPr>
      <w:r>
        <w:separator/>
      </w:r>
    </w:p>
  </w:endnote>
  <w:endnote w:type="continuationSeparator" w:id="0">
    <w:p w14:paraId="0C3C9CF3" w14:textId="77777777" w:rsidR="00133F51" w:rsidRDefault="00133F51" w:rsidP="00F97CAB">
      <w:pPr>
        <w:spacing w:after="0" w:line="240" w:lineRule="auto"/>
      </w:pPr>
      <w:r>
        <w:continuationSeparator/>
      </w:r>
    </w:p>
  </w:endnote>
  <w:endnote w:type="continuationNotice" w:id="1">
    <w:p w14:paraId="08563D28" w14:textId="77777777" w:rsidR="00133F51" w:rsidRDefault="00133F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734406"/>
      <w:docPartObj>
        <w:docPartGallery w:val="Page Numbers (Bottom of Page)"/>
        <w:docPartUnique/>
      </w:docPartObj>
    </w:sdtPr>
    <w:sdtEndPr>
      <w:rPr>
        <w:noProof/>
      </w:rPr>
    </w:sdtEndPr>
    <w:sdtContent>
      <w:p w14:paraId="12633904" w14:textId="69C16302" w:rsidR="00133F51" w:rsidRDefault="00133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CBD147" w14:textId="2CC811E5" w:rsidR="00133F51" w:rsidRPr="007C25BD" w:rsidRDefault="00133F51">
    <w:pPr>
      <w:pStyle w:val="Footer"/>
      <w:rPr>
        <w:i/>
        <w:iCs/>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BC651" w14:textId="77777777" w:rsidR="00133F51" w:rsidRDefault="00133F51" w:rsidP="00F97CAB">
      <w:pPr>
        <w:spacing w:after="0" w:line="240" w:lineRule="auto"/>
      </w:pPr>
      <w:r>
        <w:separator/>
      </w:r>
    </w:p>
  </w:footnote>
  <w:footnote w:type="continuationSeparator" w:id="0">
    <w:p w14:paraId="58EB0A69" w14:textId="77777777" w:rsidR="00133F51" w:rsidRDefault="00133F51" w:rsidP="00F97CAB">
      <w:pPr>
        <w:spacing w:after="0" w:line="240" w:lineRule="auto"/>
      </w:pPr>
      <w:r>
        <w:continuationSeparator/>
      </w:r>
    </w:p>
  </w:footnote>
  <w:footnote w:type="continuationNotice" w:id="1">
    <w:p w14:paraId="018B311C" w14:textId="77777777" w:rsidR="00133F51" w:rsidRDefault="00133F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E5452" w14:textId="1F62BF2E" w:rsidR="00133F51" w:rsidRPr="007C25BD" w:rsidRDefault="00133F51" w:rsidP="007C25BD">
    <w:pPr>
      <w:pStyle w:val="Header"/>
      <w:jc w:val="right"/>
      <w:rPr>
        <w:i/>
        <w:iCs/>
      </w:rPr>
    </w:pPr>
    <w:r w:rsidRPr="007C25BD">
      <w:rPr>
        <w:i/>
        <w:iCs/>
        <w:noProof/>
      </w:rPr>
      <w:drawing>
        <wp:anchor distT="0" distB="0" distL="114300" distR="114300" simplePos="0" relativeHeight="251658240" behindDoc="0" locked="0" layoutInCell="1" allowOverlap="1" wp14:anchorId="6399714D" wp14:editId="7EEE91E5">
          <wp:simplePos x="0" y="0"/>
          <wp:positionH relativeFrom="margin">
            <wp:align>left</wp:align>
          </wp:positionH>
          <wp:positionV relativeFrom="paragraph">
            <wp:posOffset>-123880</wp:posOffset>
          </wp:positionV>
          <wp:extent cx="669925" cy="659765"/>
          <wp:effectExtent l="0" t="0" r="0" b="0"/>
          <wp:wrapSquare wrapText="bothSides"/>
          <wp:docPr id="21" name="Picture 2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Stream Icon_Color.png"/>
                  <pic:cNvPicPr/>
                </pic:nvPicPr>
                <pic:blipFill>
                  <a:blip r:embed="rId1">
                    <a:extLst>
                      <a:ext uri="{28A0092B-C50C-407E-A947-70E740481C1C}">
                        <a14:useLocalDpi xmlns:a14="http://schemas.microsoft.com/office/drawing/2010/main" val="0"/>
                      </a:ext>
                    </a:extLst>
                  </a:blip>
                  <a:stretch>
                    <a:fillRect/>
                  </a:stretch>
                </pic:blipFill>
                <pic:spPr>
                  <a:xfrm>
                    <a:off x="0" y="0"/>
                    <a:ext cx="669925" cy="659765"/>
                  </a:xfrm>
                  <a:prstGeom prst="rect">
                    <a:avLst/>
                  </a:prstGeom>
                </pic:spPr>
              </pic:pic>
            </a:graphicData>
          </a:graphic>
        </wp:anchor>
      </w:drawing>
    </w:r>
    <w:r>
      <w:rPr>
        <w:i/>
        <w:iCs/>
      </w:rPr>
      <w:t xml:space="preserve">                         </w:t>
    </w:r>
    <w:r w:rsidRPr="007C25BD">
      <w:rPr>
        <w:i/>
        <w:iCs/>
      </w:rPr>
      <w:t>UpStream pvb1.0_08092021</w:t>
    </w:r>
  </w:p>
</w:hdr>
</file>

<file path=word/intelligence.xml><?xml version="1.0" encoding="utf-8"?>
<int:Intelligence xmlns:int="http://schemas.microsoft.com/office/intelligence/2019/intelligence">
  <int:IntelligenceSettings/>
  <int:Manifest>
    <int:WordHash hashCode="/VTVqgESdgt3r0" id="f9buP5V0"/>
  </int:Manifest>
  <int:Observations>
    <int:Content id="f9buP5V0"/>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08D"/>
    <w:multiLevelType w:val="hybridMultilevel"/>
    <w:tmpl w:val="E848B082"/>
    <w:lvl w:ilvl="0" w:tplc="64A2361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A09F6"/>
    <w:multiLevelType w:val="hybridMultilevel"/>
    <w:tmpl w:val="8C9E0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5655"/>
    <w:multiLevelType w:val="hybridMultilevel"/>
    <w:tmpl w:val="72A82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C7776"/>
    <w:multiLevelType w:val="hybridMultilevel"/>
    <w:tmpl w:val="AEA8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31E10"/>
    <w:multiLevelType w:val="hybridMultilevel"/>
    <w:tmpl w:val="17CEC282"/>
    <w:lvl w:ilvl="0" w:tplc="777C5AEE">
      <w:start w:val="1"/>
      <w:numFmt w:val="bullet"/>
      <w:lvlText w:val="-"/>
      <w:lvlJc w:val="left"/>
      <w:pPr>
        <w:ind w:left="720" w:hanging="360"/>
      </w:pPr>
      <w:rPr>
        <w:rFonts w:ascii="Calibri" w:hAnsi="Calibri" w:hint="default"/>
      </w:rPr>
    </w:lvl>
    <w:lvl w:ilvl="1" w:tplc="BEECEF46">
      <w:start w:val="1"/>
      <w:numFmt w:val="bullet"/>
      <w:lvlText w:val="o"/>
      <w:lvlJc w:val="left"/>
      <w:pPr>
        <w:ind w:left="1440" w:hanging="360"/>
      </w:pPr>
      <w:rPr>
        <w:rFonts w:ascii="Courier New" w:hAnsi="Courier New" w:hint="default"/>
      </w:rPr>
    </w:lvl>
    <w:lvl w:ilvl="2" w:tplc="DC065188">
      <w:start w:val="1"/>
      <w:numFmt w:val="bullet"/>
      <w:lvlText w:val=""/>
      <w:lvlJc w:val="left"/>
      <w:pPr>
        <w:ind w:left="2160" w:hanging="360"/>
      </w:pPr>
      <w:rPr>
        <w:rFonts w:ascii="Wingdings" w:hAnsi="Wingdings" w:hint="default"/>
      </w:rPr>
    </w:lvl>
    <w:lvl w:ilvl="3" w:tplc="3FD41F10">
      <w:start w:val="1"/>
      <w:numFmt w:val="bullet"/>
      <w:lvlText w:val=""/>
      <w:lvlJc w:val="left"/>
      <w:pPr>
        <w:ind w:left="2880" w:hanging="360"/>
      </w:pPr>
      <w:rPr>
        <w:rFonts w:ascii="Symbol" w:hAnsi="Symbol" w:hint="default"/>
      </w:rPr>
    </w:lvl>
    <w:lvl w:ilvl="4" w:tplc="12443496">
      <w:start w:val="1"/>
      <w:numFmt w:val="bullet"/>
      <w:lvlText w:val="o"/>
      <w:lvlJc w:val="left"/>
      <w:pPr>
        <w:ind w:left="3600" w:hanging="360"/>
      </w:pPr>
      <w:rPr>
        <w:rFonts w:ascii="Courier New" w:hAnsi="Courier New" w:hint="default"/>
      </w:rPr>
    </w:lvl>
    <w:lvl w:ilvl="5" w:tplc="D764D3AA">
      <w:start w:val="1"/>
      <w:numFmt w:val="bullet"/>
      <w:lvlText w:val=""/>
      <w:lvlJc w:val="left"/>
      <w:pPr>
        <w:ind w:left="4320" w:hanging="360"/>
      </w:pPr>
      <w:rPr>
        <w:rFonts w:ascii="Wingdings" w:hAnsi="Wingdings" w:hint="default"/>
      </w:rPr>
    </w:lvl>
    <w:lvl w:ilvl="6" w:tplc="96C6BFDA">
      <w:start w:val="1"/>
      <w:numFmt w:val="bullet"/>
      <w:lvlText w:val=""/>
      <w:lvlJc w:val="left"/>
      <w:pPr>
        <w:ind w:left="5040" w:hanging="360"/>
      </w:pPr>
      <w:rPr>
        <w:rFonts w:ascii="Symbol" w:hAnsi="Symbol" w:hint="default"/>
      </w:rPr>
    </w:lvl>
    <w:lvl w:ilvl="7" w:tplc="97E23DD4">
      <w:start w:val="1"/>
      <w:numFmt w:val="bullet"/>
      <w:lvlText w:val="o"/>
      <w:lvlJc w:val="left"/>
      <w:pPr>
        <w:ind w:left="5760" w:hanging="360"/>
      </w:pPr>
      <w:rPr>
        <w:rFonts w:ascii="Courier New" w:hAnsi="Courier New" w:hint="default"/>
      </w:rPr>
    </w:lvl>
    <w:lvl w:ilvl="8" w:tplc="7DE4F43A">
      <w:start w:val="1"/>
      <w:numFmt w:val="bullet"/>
      <w:lvlText w:val=""/>
      <w:lvlJc w:val="left"/>
      <w:pPr>
        <w:ind w:left="6480" w:hanging="360"/>
      </w:pPr>
      <w:rPr>
        <w:rFonts w:ascii="Wingdings" w:hAnsi="Wingdings" w:hint="default"/>
      </w:rPr>
    </w:lvl>
  </w:abstractNum>
  <w:abstractNum w:abstractNumId="5" w15:restartNumberingAfterBreak="0">
    <w:nsid w:val="33975792"/>
    <w:multiLevelType w:val="hybridMultilevel"/>
    <w:tmpl w:val="4ACCFD38"/>
    <w:lvl w:ilvl="0" w:tplc="72C2D67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F1BC4"/>
    <w:multiLevelType w:val="multilevel"/>
    <w:tmpl w:val="D84C784E"/>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0F236B"/>
    <w:multiLevelType w:val="hybridMultilevel"/>
    <w:tmpl w:val="F7FE865E"/>
    <w:lvl w:ilvl="0" w:tplc="8ABAA8A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6206"/>
    <w:multiLevelType w:val="multilevel"/>
    <w:tmpl w:val="905ED764"/>
    <w:lvl w:ilvl="0">
      <w:start w:val="1"/>
      <w:numFmt w:val="decimal"/>
      <w:lvlText w:val="%1.0"/>
      <w:lvlJc w:val="left"/>
      <w:pPr>
        <w:ind w:left="473" w:hanging="473"/>
      </w:pPr>
      <w:rPr>
        <w:rFonts w:hint="default"/>
      </w:rPr>
    </w:lvl>
    <w:lvl w:ilvl="1">
      <w:start w:val="1"/>
      <w:numFmt w:val="decimal"/>
      <w:lvlText w:val="%1.%2"/>
      <w:lvlJc w:val="left"/>
      <w:pPr>
        <w:ind w:left="1193" w:hanging="47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8A05FDB"/>
    <w:multiLevelType w:val="multilevel"/>
    <w:tmpl w:val="1C4AC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C9559D"/>
    <w:multiLevelType w:val="hybridMultilevel"/>
    <w:tmpl w:val="588446EA"/>
    <w:lvl w:ilvl="0" w:tplc="64A23614">
      <w:start w:val="2"/>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D5561AA"/>
    <w:multiLevelType w:val="hybridMultilevel"/>
    <w:tmpl w:val="CD24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E06CF"/>
    <w:multiLevelType w:val="multilevel"/>
    <w:tmpl w:val="E36677AC"/>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4BB6D34"/>
    <w:multiLevelType w:val="hybridMultilevel"/>
    <w:tmpl w:val="696E3E52"/>
    <w:lvl w:ilvl="0" w:tplc="3E909238">
      <w:start w:val="1"/>
      <w:numFmt w:val="bullet"/>
      <w:lvlText w:val="-"/>
      <w:lvlJc w:val="left"/>
      <w:pPr>
        <w:ind w:left="720" w:hanging="360"/>
      </w:pPr>
      <w:rPr>
        <w:rFonts w:ascii="Calibri" w:hAnsi="Calibri" w:hint="default"/>
      </w:rPr>
    </w:lvl>
    <w:lvl w:ilvl="1" w:tplc="0EE27002">
      <w:start w:val="1"/>
      <w:numFmt w:val="bullet"/>
      <w:lvlText w:val="o"/>
      <w:lvlJc w:val="left"/>
      <w:pPr>
        <w:ind w:left="1440" w:hanging="360"/>
      </w:pPr>
      <w:rPr>
        <w:rFonts w:ascii="Courier New" w:hAnsi="Courier New" w:hint="default"/>
      </w:rPr>
    </w:lvl>
    <w:lvl w:ilvl="2" w:tplc="55EA52B8">
      <w:start w:val="1"/>
      <w:numFmt w:val="bullet"/>
      <w:lvlText w:val=""/>
      <w:lvlJc w:val="left"/>
      <w:pPr>
        <w:ind w:left="2160" w:hanging="360"/>
      </w:pPr>
      <w:rPr>
        <w:rFonts w:ascii="Wingdings" w:hAnsi="Wingdings" w:hint="default"/>
      </w:rPr>
    </w:lvl>
    <w:lvl w:ilvl="3" w:tplc="AC98AF96">
      <w:start w:val="1"/>
      <w:numFmt w:val="bullet"/>
      <w:lvlText w:val=""/>
      <w:lvlJc w:val="left"/>
      <w:pPr>
        <w:ind w:left="2880" w:hanging="360"/>
      </w:pPr>
      <w:rPr>
        <w:rFonts w:ascii="Symbol" w:hAnsi="Symbol" w:hint="default"/>
      </w:rPr>
    </w:lvl>
    <w:lvl w:ilvl="4" w:tplc="82D6EF48">
      <w:start w:val="1"/>
      <w:numFmt w:val="bullet"/>
      <w:lvlText w:val="o"/>
      <w:lvlJc w:val="left"/>
      <w:pPr>
        <w:ind w:left="3600" w:hanging="360"/>
      </w:pPr>
      <w:rPr>
        <w:rFonts w:ascii="Courier New" w:hAnsi="Courier New" w:hint="default"/>
      </w:rPr>
    </w:lvl>
    <w:lvl w:ilvl="5" w:tplc="60B67DD8">
      <w:start w:val="1"/>
      <w:numFmt w:val="bullet"/>
      <w:lvlText w:val=""/>
      <w:lvlJc w:val="left"/>
      <w:pPr>
        <w:ind w:left="4320" w:hanging="360"/>
      </w:pPr>
      <w:rPr>
        <w:rFonts w:ascii="Wingdings" w:hAnsi="Wingdings" w:hint="default"/>
      </w:rPr>
    </w:lvl>
    <w:lvl w:ilvl="6" w:tplc="65EA4B18">
      <w:start w:val="1"/>
      <w:numFmt w:val="bullet"/>
      <w:lvlText w:val=""/>
      <w:lvlJc w:val="left"/>
      <w:pPr>
        <w:ind w:left="5040" w:hanging="360"/>
      </w:pPr>
      <w:rPr>
        <w:rFonts w:ascii="Symbol" w:hAnsi="Symbol" w:hint="default"/>
      </w:rPr>
    </w:lvl>
    <w:lvl w:ilvl="7" w:tplc="32763694">
      <w:start w:val="1"/>
      <w:numFmt w:val="bullet"/>
      <w:lvlText w:val="o"/>
      <w:lvlJc w:val="left"/>
      <w:pPr>
        <w:ind w:left="5760" w:hanging="360"/>
      </w:pPr>
      <w:rPr>
        <w:rFonts w:ascii="Courier New" w:hAnsi="Courier New" w:hint="default"/>
      </w:rPr>
    </w:lvl>
    <w:lvl w:ilvl="8" w:tplc="35F09FC8">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11"/>
  </w:num>
  <w:num w:numId="8">
    <w:abstractNumId w:val="10"/>
  </w:num>
  <w:num w:numId="9">
    <w:abstractNumId w:val="12"/>
  </w:num>
  <w:num w:numId="10">
    <w:abstractNumId w:val="8"/>
  </w:num>
  <w:num w:numId="11">
    <w:abstractNumId w:val="9"/>
  </w:num>
  <w:num w:numId="12">
    <w:abstractNumId w:val="7"/>
  </w:num>
  <w:num w:numId="13">
    <w:abstractNumId w:val="13"/>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nn, Jacob">
    <w15:presenceInfo w15:providerId="AD" w15:userId="S::jacob.dunn@zgf.com::1081f788-c55c-4b89-a307-f95774849cb0"/>
  </w15:person>
  <w15:person w15:author="Jacob D">
    <w15:presenceInfo w15:providerId="Windows Live" w15:userId="264870c6696a2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BF"/>
    <w:rsid w:val="00000FC8"/>
    <w:rsid w:val="00003F47"/>
    <w:rsid w:val="0000520E"/>
    <w:rsid w:val="0000556E"/>
    <w:rsid w:val="00006BD4"/>
    <w:rsid w:val="00014B8B"/>
    <w:rsid w:val="00017B69"/>
    <w:rsid w:val="0002021A"/>
    <w:rsid w:val="00020D24"/>
    <w:rsid w:val="00022888"/>
    <w:rsid w:val="0002520D"/>
    <w:rsid w:val="00025C03"/>
    <w:rsid w:val="00027713"/>
    <w:rsid w:val="0003016A"/>
    <w:rsid w:val="0003173D"/>
    <w:rsid w:val="00033BA2"/>
    <w:rsid w:val="000414C1"/>
    <w:rsid w:val="000419AE"/>
    <w:rsid w:val="0004418B"/>
    <w:rsid w:val="000444B9"/>
    <w:rsid w:val="000449CB"/>
    <w:rsid w:val="000501A1"/>
    <w:rsid w:val="0005098B"/>
    <w:rsid w:val="00053DDC"/>
    <w:rsid w:val="00054698"/>
    <w:rsid w:val="0005574D"/>
    <w:rsid w:val="00060802"/>
    <w:rsid w:val="000668DD"/>
    <w:rsid w:val="000703EF"/>
    <w:rsid w:val="00070A74"/>
    <w:rsid w:val="00071213"/>
    <w:rsid w:val="00073562"/>
    <w:rsid w:val="000766D7"/>
    <w:rsid w:val="000814F5"/>
    <w:rsid w:val="0008418F"/>
    <w:rsid w:val="00087EB9"/>
    <w:rsid w:val="000904E7"/>
    <w:rsid w:val="0009055A"/>
    <w:rsid w:val="00094D11"/>
    <w:rsid w:val="00095BB1"/>
    <w:rsid w:val="000B3722"/>
    <w:rsid w:val="000B51CD"/>
    <w:rsid w:val="000B5C69"/>
    <w:rsid w:val="000B70EC"/>
    <w:rsid w:val="000B71E4"/>
    <w:rsid w:val="000C68E7"/>
    <w:rsid w:val="000C701A"/>
    <w:rsid w:val="000E03D7"/>
    <w:rsid w:val="000E3405"/>
    <w:rsid w:val="000E6F97"/>
    <w:rsid w:val="000F0BB4"/>
    <w:rsid w:val="00102489"/>
    <w:rsid w:val="00102636"/>
    <w:rsid w:val="00104DAB"/>
    <w:rsid w:val="0011224E"/>
    <w:rsid w:val="00113983"/>
    <w:rsid w:val="00117235"/>
    <w:rsid w:val="00127027"/>
    <w:rsid w:val="0013076B"/>
    <w:rsid w:val="00133F51"/>
    <w:rsid w:val="001403D4"/>
    <w:rsid w:val="00141A7C"/>
    <w:rsid w:val="00142482"/>
    <w:rsid w:val="0014268C"/>
    <w:rsid w:val="00146011"/>
    <w:rsid w:val="00164ABF"/>
    <w:rsid w:val="00166057"/>
    <w:rsid w:val="00170FB0"/>
    <w:rsid w:val="00171321"/>
    <w:rsid w:val="0017416E"/>
    <w:rsid w:val="00183805"/>
    <w:rsid w:val="001929A7"/>
    <w:rsid w:val="00197131"/>
    <w:rsid w:val="00197C69"/>
    <w:rsid w:val="001A38C1"/>
    <w:rsid w:val="001A7257"/>
    <w:rsid w:val="001B0F6B"/>
    <w:rsid w:val="001B5C8A"/>
    <w:rsid w:val="001C1ACC"/>
    <w:rsid w:val="001D42DC"/>
    <w:rsid w:val="001E27D8"/>
    <w:rsid w:val="001E41AE"/>
    <w:rsid w:val="001E4CBD"/>
    <w:rsid w:val="00203CF1"/>
    <w:rsid w:val="002042FE"/>
    <w:rsid w:val="002055EC"/>
    <w:rsid w:val="00206CD6"/>
    <w:rsid w:val="00210ACD"/>
    <w:rsid w:val="00215E56"/>
    <w:rsid w:val="002176AD"/>
    <w:rsid w:val="00217F40"/>
    <w:rsid w:val="00224F4C"/>
    <w:rsid w:val="002264AE"/>
    <w:rsid w:val="002314D0"/>
    <w:rsid w:val="00231785"/>
    <w:rsid w:val="002323E5"/>
    <w:rsid w:val="002369AC"/>
    <w:rsid w:val="00252813"/>
    <w:rsid w:val="00261A44"/>
    <w:rsid w:val="00262276"/>
    <w:rsid w:val="0026286A"/>
    <w:rsid w:val="002639F4"/>
    <w:rsid w:val="00263BC1"/>
    <w:rsid w:val="00273F44"/>
    <w:rsid w:val="00286C5E"/>
    <w:rsid w:val="00290C30"/>
    <w:rsid w:val="00291537"/>
    <w:rsid w:val="002922C5"/>
    <w:rsid w:val="0029636C"/>
    <w:rsid w:val="002974C5"/>
    <w:rsid w:val="00297F71"/>
    <w:rsid w:val="002A080F"/>
    <w:rsid w:val="002A0A9A"/>
    <w:rsid w:val="002A13DF"/>
    <w:rsid w:val="002A66FB"/>
    <w:rsid w:val="002B0207"/>
    <w:rsid w:val="002B1B9A"/>
    <w:rsid w:val="002B31A7"/>
    <w:rsid w:val="002C1C5B"/>
    <w:rsid w:val="002C7B59"/>
    <w:rsid w:val="002D07DE"/>
    <w:rsid w:val="002D3DAB"/>
    <w:rsid w:val="002D46D7"/>
    <w:rsid w:val="002D672E"/>
    <w:rsid w:val="002D778B"/>
    <w:rsid w:val="002E2BD8"/>
    <w:rsid w:val="002E2DAA"/>
    <w:rsid w:val="002E613A"/>
    <w:rsid w:val="002F323B"/>
    <w:rsid w:val="002F5045"/>
    <w:rsid w:val="002F5382"/>
    <w:rsid w:val="002F7447"/>
    <w:rsid w:val="002F7E1C"/>
    <w:rsid w:val="0030137D"/>
    <w:rsid w:val="0030194A"/>
    <w:rsid w:val="00302EA1"/>
    <w:rsid w:val="003135B8"/>
    <w:rsid w:val="00314893"/>
    <w:rsid w:val="00315804"/>
    <w:rsid w:val="00320663"/>
    <w:rsid w:val="00326A34"/>
    <w:rsid w:val="00330468"/>
    <w:rsid w:val="003306DF"/>
    <w:rsid w:val="00341622"/>
    <w:rsid w:val="00344B0D"/>
    <w:rsid w:val="00352401"/>
    <w:rsid w:val="00352FA8"/>
    <w:rsid w:val="00360958"/>
    <w:rsid w:val="00362FF3"/>
    <w:rsid w:val="00364892"/>
    <w:rsid w:val="00364FE2"/>
    <w:rsid w:val="003713CF"/>
    <w:rsid w:val="00375326"/>
    <w:rsid w:val="00377CBB"/>
    <w:rsid w:val="00380769"/>
    <w:rsid w:val="0038545F"/>
    <w:rsid w:val="00386D59"/>
    <w:rsid w:val="00390EEE"/>
    <w:rsid w:val="00395C41"/>
    <w:rsid w:val="003A0DBD"/>
    <w:rsid w:val="003A3A2F"/>
    <w:rsid w:val="003C1B55"/>
    <w:rsid w:val="003C25CC"/>
    <w:rsid w:val="003C3026"/>
    <w:rsid w:val="003C3EA5"/>
    <w:rsid w:val="003C66CB"/>
    <w:rsid w:val="003D2B5A"/>
    <w:rsid w:val="003D5780"/>
    <w:rsid w:val="003D7B87"/>
    <w:rsid w:val="003E4C91"/>
    <w:rsid w:val="003F5498"/>
    <w:rsid w:val="003F7D17"/>
    <w:rsid w:val="00416433"/>
    <w:rsid w:val="00416630"/>
    <w:rsid w:val="00420BAB"/>
    <w:rsid w:val="0042678F"/>
    <w:rsid w:val="00427A10"/>
    <w:rsid w:val="00431508"/>
    <w:rsid w:val="00434E25"/>
    <w:rsid w:val="004353C4"/>
    <w:rsid w:val="004375C1"/>
    <w:rsid w:val="00446B8A"/>
    <w:rsid w:val="00462D12"/>
    <w:rsid w:val="00466F9B"/>
    <w:rsid w:val="004736DD"/>
    <w:rsid w:val="00474714"/>
    <w:rsid w:val="00476BC8"/>
    <w:rsid w:val="004844C2"/>
    <w:rsid w:val="0048468C"/>
    <w:rsid w:val="00487E70"/>
    <w:rsid w:val="00492479"/>
    <w:rsid w:val="0049608C"/>
    <w:rsid w:val="00497F95"/>
    <w:rsid w:val="004A0589"/>
    <w:rsid w:val="004A29AD"/>
    <w:rsid w:val="004A35C6"/>
    <w:rsid w:val="004A6D87"/>
    <w:rsid w:val="004B1E63"/>
    <w:rsid w:val="004B1E7B"/>
    <w:rsid w:val="004C20E0"/>
    <w:rsid w:val="004C4A40"/>
    <w:rsid w:val="004C5D4E"/>
    <w:rsid w:val="004C6103"/>
    <w:rsid w:val="004D0025"/>
    <w:rsid w:val="004D0493"/>
    <w:rsid w:val="004D3307"/>
    <w:rsid w:val="004E28E4"/>
    <w:rsid w:val="004E35C0"/>
    <w:rsid w:val="004F14F7"/>
    <w:rsid w:val="004F3755"/>
    <w:rsid w:val="004F404F"/>
    <w:rsid w:val="004F4240"/>
    <w:rsid w:val="004F4B6E"/>
    <w:rsid w:val="004F723B"/>
    <w:rsid w:val="0050307A"/>
    <w:rsid w:val="00511925"/>
    <w:rsid w:val="00511C1A"/>
    <w:rsid w:val="00512189"/>
    <w:rsid w:val="00521742"/>
    <w:rsid w:val="00522C93"/>
    <w:rsid w:val="005247D4"/>
    <w:rsid w:val="00525BC8"/>
    <w:rsid w:val="00526DCB"/>
    <w:rsid w:val="00533419"/>
    <w:rsid w:val="005342DC"/>
    <w:rsid w:val="00536ED2"/>
    <w:rsid w:val="0053760A"/>
    <w:rsid w:val="00537F9E"/>
    <w:rsid w:val="00542278"/>
    <w:rsid w:val="00551C59"/>
    <w:rsid w:val="005549FB"/>
    <w:rsid w:val="005559AD"/>
    <w:rsid w:val="00564D1E"/>
    <w:rsid w:val="00565390"/>
    <w:rsid w:val="00565AA5"/>
    <w:rsid w:val="00566BE4"/>
    <w:rsid w:val="00566D73"/>
    <w:rsid w:val="00573998"/>
    <w:rsid w:val="00573B24"/>
    <w:rsid w:val="005740B0"/>
    <w:rsid w:val="005823DD"/>
    <w:rsid w:val="00585DE5"/>
    <w:rsid w:val="005866DF"/>
    <w:rsid w:val="00596731"/>
    <w:rsid w:val="005A0D17"/>
    <w:rsid w:val="005A44D0"/>
    <w:rsid w:val="005A4BC4"/>
    <w:rsid w:val="005A4FEC"/>
    <w:rsid w:val="005A68B6"/>
    <w:rsid w:val="005B0AFE"/>
    <w:rsid w:val="005B0CEA"/>
    <w:rsid w:val="005B1F58"/>
    <w:rsid w:val="005B246A"/>
    <w:rsid w:val="005B589E"/>
    <w:rsid w:val="005C2EF0"/>
    <w:rsid w:val="005C4B3C"/>
    <w:rsid w:val="005D1F9D"/>
    <w:rsid w:val="005D2360"/>
    <w:rsid w:val="005D4AE8"/>
    <w:rsid w:val="005E1578"/>
    <w:rsid w:val="005E758B"/>
    <w:rsid w:val="005F0577"/>
    <w:rsid w:val="00606122"/>
    <w:rsid w:val="0061025C"/>
    <w:rsid w:val="006137DE"/>
    <w:rsid w:val="00616381"/>
    <w:rsid w:val="00617E60"/>
    <w:rsid w:val="00620022"/>
    <w:rsid w:val="00621C27"/>
    <w:rsid w:val="00622799"/>
    <w:rsid w:val="00623015"/>
    <w:rsid w:val="0062338E"/>
    <w:rsid w:val="00630B2F"/>
    <w:rsid w:val="006317C6"/>
    <w:rsid w:val="00636B1E"/>
    <w:rsid w:val="006421D6"/>
    <w:rsid w:val="00645FFE"/>
    <w:rsid w:val="00660F76"/>
    <w:rsid w:val="00661EFD"/>
    <w:rsid w:val="0066352D"/>
    <w:rsid w:val="00670ADB"/>
    <w:rsid w:val="00672105"/>
    <w:rsid w:val="00672CAA"/>
    <w:rsid w:val="00682E90"/>
    <w:rsid w:val="00686DBE"/>
    <w:rsid w:val="00686FCA"/>
    <w:rsid w:val="00687C8D"/>
    <w:rsid w:val="006A0BF6"/>
    <w:rsid w:val="006A2E66"/>
    <w:rsid w:val="006A3A57"/>
    <w:rsid w:val="006A4638"/>
    <w:rsid w:val="006B11C1"/>
    <w:rsid w:val="006B2693"/>
    <w:rsid w:val="006B4728"/>
    <w:rsid w:val="006C4A10"/>
    <w:rsid w:val="006C6B6B"/>
    <w:rsid w:val="006D4BC9"/>
    <w:rsid w:val="006E0B90"/>
    <w:rsid w:val="006E2AE0"/>
    <w:rsid w:val="006F1106"/>
    <w:rsid w:val="006F3FFA"/>
    <w:rsid w:val="006F4218"/>
    <w:rsid w:val="006F54EE"/>
    <w:rsid w:val="0070028E"/>
    <w:rsid w:val="00700B00"/>
    <w:rsid w:val="00700BD5"/>
    <w:rsid w:val="0070175E"/>
    <w:rsid w:val="00703748"/>
    <w:rsid w:val="00720BE2"/>
    <w:rsid w:val="0072146A"/>
    <w:rsid w:val="00725212"/>
    <w:rsid w:val="0072522E"/>
    <w:rsid w:val="007263E5"/>
    <w:rsid w:val="00726C12"/>
    <w:rsid w:val="007317FF"/>
    <w:rsid w:val="00731CEE"/>
    <w:rsid w:val="007324B7"/>
    <w:rsid w:val="00735BD7"/>
    <w:rsid w:val="00747877"/>
    <w:rsid w:val="00754641"/>
    <w:rsid w:val="00756D61"/>
    <w:rsid w:val="007633C7"/>
    <w:rsid w:val="00764DD0"/>
    <w:rsid w:val="0077232E"/>
    <w:rsid w:val="00772376"/>
    <w:rsid w:val="007745C4"/>
    <w:rsid w:val="00781224"/>
    <w:rsid w:val="00782F4E"/>
    <w:rsid w:val="00784DDA"/>
    <w:rsid w:val="0078720B"/>
    <w:rsid w:val="007921C7"/>
    <w:rsid w:val="0079312B"/>
    <w:rsid w:val="0079531E"/>
    <w:rsid w:val="007A16D5"/>
    <w:rsid w:val="007A34BA"/>
    <w:rsid w:val="007C1271"/>
    <w:rsid w:val="007C25BD"/>
    <w:rsid w:val="007C681F"/>
    <w:rsid w:val="007D13D4"/>
    <w:rsid w:val="007D3A0F"/>
    <w:rsid w:val="007D721C"/>
    <w:rsid w:val="007D7F0B"/>
    <w:rsid w:val="007E1320"/>
    <w:rsid w:val="007E600D"/>
    <w:rsid w:val="007F07C8"/>
    <w:rsid w:val="007F3B3B"/>
    <w:rsid w:val="007F5EAC"/>
    <w:rsid w:val="008048BC"/>
    <w:rsid w:val="00805FFC"/>
    <w:rsid w:val="00806442"/>
    <w:rsid w:val="00806B6D"/>
    <w:rsid w:val="00806ED5"/>
    <w:rsid w:val="00823370"/>
    <w:rsid w:val="00826658"/>
    <w:rsid w:val="00826F94"/>
    <w:rsid w:val="00835ABE"/>
    <w:rsid w:val="00841FE6"/>
    <w:rsid w:val="0084487C"/>
    <w:rsid w:val="00845BD2"/>
    <w:rsid w:val="00845F3A"/>
    <w:rsid w:val="00872825"/>
    <w:rsid w:val="00873188"/>
    <w:rsid w:val="00877289"/>
    <w:rsid w:val="008831AC"/>
    <w:rsid w:val="00884E13"/>
    <w:rsid w:val="008873D0"/>
    <w:rsid w:val="00890168"/>
    <w:rsid w:val="00891CE4"/>
    <w:rsid w:val="00892D27"/>
    <w:rsid w:val="00894CE9"/>
    <w:rsid w:val="00894FE3"/>
    <w:rsid w:val="00895811"/>
    <w:rsid w:val="008971B5"/>
    <w:rsid w:val="008A6233"/>
    <w:rsid w:val="008A6483"/>
    <w:rsid w:val="008A7727"/>
    <w:rsid w:val="008B20D7"/>
    <w:rsid w:val="008B674E"/>
    <w:rsid w:val="008B79F5"/>
    <w:rsid w:val="008C0FB6"/>
    <w:rsid w:val="008C18CA"/>
    <w:rsid w:val="008C57D4"/>
    <w:rsid w:val="008D0033"/>
    <w:rsid w:val="008E102B"/>
    <w:rsid w:val="008E38F8"/>
    <w:rsid w:val="008E5831"/>
    <w:rsid w:val="008E5EF4"/>
    <w:rsid w:val="008E686F"/>
    <w:rsid w:val="008F194B"/>
    <w:rsid w:val="008F35A8"/>
    <w:rsid w:val="008F4DFC"/>
    <w:rsid w:val="008F7080"/>
    <w:rsid w:val="008F7BC9"/>
    <w:rsid w:val="009008F4"/>
    <w:rsid w:val="00916507"/>
    <w:rsid w:val="00921D35"/>
    <w:rsid w:val="00927427"/>
    <w:rsid w:val="00931465"/>
    <w:rsid w:val="00932EB1"/>
    <w:rsid w:val="009440CE"/>
    <w:rsid w:val="00944610"/>
    <w:rsid w:val="0094743A"/>
    <w:rsid w:val="009514A4"/>
    <w:rsid w:val="00951845"/>
    <w:rsid w:val="00970EEC"/>
    <w:rsid w:val="00981134"/>
    <w:rsid w:val="009A126D"/>
    <w:rsid w:val="009A1906"/>
    <w:rsid w:val="009A3869"/>
    <w:rsid w:val="009A5BC6"/>
    <w:rsid w:val="009B21DF"/>
    <w:rsid w:val="009B2ABF"/>
    <w:rsid w:val="009B542C"/>
    <w:rsid w:val="009B7FC4"/>
    <w:rsid w:val="009C50ED"/>
    <w:rsid w:val="009C5835"/>
    <w:rsid w:val="009C5908"/>
    <w:rsid w:val="009D3D00"/>
    <w:rsid w:val="009D50EA"/>
    <w:rsid w:val="009D7439"/>
    <w:rsid w:val="009D74EA"/>
    <w:rsid w:val="009E09BA"/>
    <w:rsid w:val="009F29AF"/>
    <w:rsid w:val="009F4E56"/>
    <w:rsid w:val="00A024A6"/>
    <w:rsid w:val="00A039F9"/>
    <w:rsid w:val="00A122A6"/>
    <w:rsid w:val="00A13E41"/>
    <w:rsid w:val="00A16EBE"/>
    <w:rsid w:val="00A17BB1"/>
    <w:rsid w:val="00A20833"/>
    <w:rsid w:val="00A21ED2"/>
    <w:rsid w:val="00A22F68"/>
    <w:rsid w:val="00A230D6"/>
    <w:rsid w:val="00A2656C"/>
    <w:rsid w:val="00A303E8"/>
    <w:rsid w:val="00A31067"/>
    <w:rsid w:val="00A314DE"/>
    <w:rsid w:val="00A35CB4"/>
    <w:rsid w:val="00A4146B"/>
    <w:rsid w:val="00A52AEF"/>
    <w:rsid w:val="00A52BAE"/>
    <w:rsid w:val="00A544AD"/>
    <w:rsid w:val="00A55120"/>
    <w:rsid w:val="00A5563D"/>
    <w:rsid w:val="00A56AE0"/>
    <w:rsid w:val="00A6211D"/>
    <w:rsid w:val="00A6296F"/>
    <w:rsid w:val="00A637F9"/>
    <w:rsid w:val="00A6609E"/>
    <w:rsid w:val="00A700B8"/>
    <w:rsid w:val="00A730DF"/>
    <w:rsid w:val="00A7377C"/>
    <w:rsid w:val="00A7546F"/>
    <w:rsid w:val="00A832B8"/>
    <w:rsid w:val="00A8559C"/>
    <w:rsid w:val="00A85FE3"/>
    <w:rsid w:val="00A8745F"/>
    <w:rsid w:val="00A91B80"/>
    <w:rsid w:val="00A93685"/>
    <w:rsid w:val="00A96AD2"/>
    <w:rsid w:val="00AA0983"/>
    <w:rsid w:val="00AA24C6"/>
    <w:rsid w:val="00AA7BD3"/>
    <w:rsid w:val="00AB196F"/>
    <w:rsid w:val="00AB2009"/>
    <w:rsid w:val="00AB2BDB"/>
    <w:rsid w:val="00AB58D1"/>
    <w:rsid w:val="00AC6026"/>
    <w:rsid w:val="00AC69B3"/>
    <w:rsid w:val="00AC71CC"/>
    <w:rsid w:val="00AC722E"/>
    <w:rsid w:val="00AD20F4"/>
    <w:rsid w:val="00AD3D33"/>
    <w:rsid w:val="00AD6028"/>
    <w:rsid w:val="00AE3E5D"/>
    <w:rsid w:val="00AE4440"/>
    <w:rsid w:val="00AE4E3C"/>
    <w:rsid w:val="00AE5CBD"/>
    <w:rsid w:val="00AF04D0"/>
    <w:rsid w:val="00AF0D61"/>
    <w:rsid w:val="00AF1AA2"/>
    <w:rsid w:val="00AF2DEB"/>
    <w:rsid w:val="00AF322E"/>
    <w:rsid w:val="00AF344D"/>
    <w:rsid w:val="00AF354F"/>
    <w:rsid w:val="00AF79CC"/>
    <w:rsid w:val="00B000FC"/>
    <w:rsid w:val="00B01EF9"/>
    <w:rsid w:val="00B032F9"/>
    <w:rsid w:val="00B15590"/>
    <w:rsid w:val="00B16822"/>
    <w:rsid w:val="00B21ABF"/>
    <w:rsid w:val="00B23CF0"/>
    <w:rsid w:val="00B260B3"/>
    <w:rsid w:val="00B301F6"/>
    <w:rsid w:val="00B32ED9"/>
    <w:rsid w:val="00B35003"/>
    <w:rsid w:val="00B36F6F"/>
    <w:rsid w:val="00B412CF"/>
    <w:rsid w:val="00B44566"/>
    <w:rsid w:val="00B543D6"/>
    <w:rsid w:val="00B64CDB"/>
    <w:rsid w:val="00B70FC2"/>
    <w:rsid w:val="00B713FB"/>
    <w:rsid w:val="00B714C0"/>
    <w:rsid w:val="00B76336"/>
    <w:rsid w:val="00B81862"/>
    <w:rsid w:val="00B8579B"/>
    <w:rsid w:val="00B859C2"/>
    <w:rsid w:val="00B92D8F"/>
    <w:rsid w:val="00BA0758"/>
    <w:rsid w:val="00BA306B"/>
    <w:rsid w:val="00BA385E"/>
    <w:rsid w:val="00BA47BA"/>
    <w:rsid w:val="00BA60C2"/>
    <w:rsid w:val="00BA6473"/>
    <w:rsid w:val="00BB29A9"/>
    <w:rsid w:val="00BB2BFC"/>
    <w:rsid w:val="00BB661D"/>
    <w:rsid w:val="00BC6750"/>
    <w:rsid w:val="00BC68C6"/>
    <w:rsid w:val="00BC6F73"/>
    <w:rsid w:val="00BD384E"/>
    <w:rsid w:val="00BE08D7"/>
    <w:rsid w:val="00BE6AB2"/>
    <w:rsid w:val="00BF394B"/>
    <w:rsid w:val="00BF74A0"/>
    <w:rsid w:val="00C0088D"/>
    <w:rsid w:val="00C00BFA"/>
    <w:rsid w:val="00C0362C"/>
    <w:rsid w:val="00C123A5"/>
    <w:rsid w:val="00C22197"/>
    <w:rsid w:val="00C41B90"/>
    <w:rsid w:val="00C42037"/>
    <w:rsid w:val="00C4404F"/>
    <w:rsid w:val="00C461A0"/>
    <w:rsid w:val="00C478C2"/>
    <w:rsid w:val="00C47F05"/>
    <w:rsid w:val="00C5163D"/>
    <w:rsid w:val="00C52E21"/>
    <w:rsid w:val="00C56524"/>
    <w:rsid w:val="00C56739"/>
    <w:rsid w:val="00C66BB6"/>
    <w:rsid w:val="00C66CC3"/>
    <w:rsid w:val="00C8393C"/>
    <w:rsid w:val="00C83EBA"/>
    <w:rsid w:val="00C91C7C"/>
    <w:rsid w:val="00C948BC"/>
    <w:rsid w:val="00C94C6B"/>
    <w:rsid w:val="00CA03D3"/>
    <w:rsid w:val="00CA1338"/>
    <w:rsid w:val="00CA1943"/>
    <w:rsid w:val="00CA213C"/>
    <w:rsid w:val="00CA21A3"/>
    <w:rsid w:val="00CA5FF5"/>
    <w:rsid w:val="00CB60A2"/>
    <w:rsid w:val="00CC169D"/>
    <w:rsid w:val="00CC16B0"/>
    <w:rsid w:val="00CC18F3"/>
    <w:rsid w:val="00CC5DCD"/>
    <w:rsid w:val="00CD31F0"/>
    <w:rsid w:val="00CD3702"/>
    <w:rsid w:val="00CD3F46"/>
    <w:rsid w:val="00CD4B25"/>
    <w:rsid w:val="00CD7191"/>
    <w:rsid w:val="00CE164E"/>
    <w:rsid w:val="00CE5EBC"/>
    <w:rsid w:val="00CF234D"/>
    <w:rsid w:val="00CF25D4"/>
    <w:rsid w:val="00D023B1"/>
    <w:rsid w:val="00D024E6"/>
    <w:rsid w:val="00D04279"/>
    <w:rsid w:val="00D2295E"/>
    <w:rsid w:val="00D24B61"/>
    <w:rsid w:val="00D33656"/>
    <w:rsid w:val="00D50EB3"/>
    <w:rsid w:val="00D51E52"/>
    <w:rsid w:val="00D527DE"/>
    <w:rsid w:val="00D5501E"/>
    <w:rsid w:val="00D62FE8"/>
    <w:rsid w:val="00D64F57"/>
    <w:rsid w:val="00D67111"/>
    <w:rsid w:val="00D705E2"/>
    <w:rsid w:val="00D758C0"/>
    <w:rsid w:val="00D75C14"/>
    <w:rsid w:val="00D91758"/>
    <w:rsid w:val="00D91C80"/>
    <w:rsid w:val="00D9406C"/>
    <w:rsid w:val="00D94946"/>
    <w:rsid w:val="00D96A81"/>
    <w:rsid w:val="00DA25F0"/>
    <w:rsid w:val="00DA489A"/>
    <w:rsid w:val="00DB1A4F"/>
    <w:rsid w:val="00DB3359"/>
    <w:rsid w:val="00DB3439"/>
    <w:rsid w:val="00DB5BAD"/>
    <w:rsid w:val="00DB647C"/>
    <w:rsid w:val="00DB75CC"/>
    <w:rsid w:val="00DB798C"/>
    <w:rsid w:val="00DC2C04"/>
    <w:rsid w:val="00DC7AEA"/>
    <w:rsid w:val="00DD11B7"/>
    <w:rsid w:val="00DD46EA"/>
    <w:rsid w:val="00DD7F20"/>
    <w:rsid w:val="00DF5CF8"/>
    <w:rsid w:val="00DF7C0C"/>
    <w:rsid w:val="00E02091"/>
    <w:rsid w:val="00E07587"/>
    <w:rsid w:val="00E10A69"/>
    <w:rsid w:val="00E1201D"/>
    <w:rsid w:val="00E1282E"/>
    <w:rsid w:val="00E1584A"/>
    <w:rsid w:val="00E16D6A"/>
    <w:rsid w:val="00E1737C"/>
    <w:rsid w:val="00E215D1"/>
    <w:rsid w:val="00E218D3"/>
    <w:rsid w:val="00E22C15"/>
    <w:rsid w:val="00E24628"/>
    <w:rsid w:val="00E27825"/>
    <w:rsid w:val="00E37D01"/>
    <w:rsid w:val="00E51D7F"/>
    <w:rsid w:val="00E55136"/>
    <w:rsid w:val="00E6775E"/>
    <w:rsid w:val="00E72256"/>
    <w:rsid w:val="00E74981"/>
    <w:rsid w:val="00E77B8D"/>
    <w:rsid w:val="00E77C2E"/>
    <w:rsid w:val="00E87EEB"/>
    <w:rsid w:val="00E90C9D"/>
    <w:rsid w:val="00E93E15"/>
    <w:rsid w:val="00EA0098"/>
    <w:rsid w:val="00EA22F2"/>
    <w:rsid w:val="00EA59F5"/>
    <w:rsid w:val="00EA767F"/>
    <w:rsid w:val="00EB3471"/>
    <w:rsid w:val="00EB6572"/>
    <w:rsid w:val="00EC6056"/>
    <w:rsid w:val="00EC6F78"/>
    <w:rsid w:val="00ED1A20"/>
    <w:rsid w:val="00ED2E7F"/>
    <w:rsid w:val="00ED4BEF"/>
    <w:rsid w:val="00EE7AAB"/>
    <w:rsid w:val="00EF499A"/>
    <w:rsid w:val="00F00916"/>
    <w:rsid w:val="00F02843"/>
    <w:rsid w:val="00F0704B"/>
    <w:rsid w:val="00F11BEB"/>
    <w:rsid w:val="00F21B5A"/>
    <w:rsid w:val="00F228D1"/>
    <w:rsid w:val="00F2412C"/>
    <w:rsid w:val="00F27224"/>
    <w:rsid w:val="00F30465"/>
    <w:rsid w:val="00F313CB"/>
    <w:rsid w:val="00F315C2"/>
    <w:rsid w:val="00F4467F"/>
    <w:rsid w:val="00F451B3"/>
    <w:rsid w:val="00F46EFB"/>
    <w:rsid w:val="00F479C0"/>
    <w:rsid w:val="00F506B3"/>
    <w:rsid w:val="00F60128"/>
    <w:rsid w:val="00F60644"/>
    <w:rsid w:val="00F64D79"/>
    <w:rsid w:val="00F66D0C"/>
    <w:rsid w:val="00F67CBD"/>
    <w:rsid w:val="00F73DCF"/>
    <w:rsid w:val="00F76875"/>
    <w:rsid w:val="00F77E85"/>
    <w:rsid w:val="00F8684F"/>
    <w:rsid w:val="00F87410"/>
    <w:rsid w:val="00F92836"/>
    <w:rsid w:val="00F9340D"/>
    <w:rsid w:val="00F97CAB"/>
    <w:rsid w:val="00FA4CDD"/>
    <w:rsid w:val="00FA7CF4"/>
    <w:rsid w:val="00FB06A7"/>
    <w:rsid w:val="00FB1360"/>
    <w:rsid w:val="00FC1362"/>
    <w:rsid w:val="00FC245C"/>
    <w:rsid w:val="00FC4074"/>
    <w:rsid w:val="00FC676F"/>
    <w:rsid w:val="00FD2122"/>
    <w:rsid w:val="00FD5ED3"/>
    <w:rsid w:val="00FD7212"/>
    <w:rsid w:val="00FE1251"/>
    <w:rsid w:val="00FF0493"/>
    <w:rsid w:val="00FF1178"/>
    <w:rsid w:val="00FF17F8"/>
    <w:rsid w:val="00FF7913"/>
    <w:rsid w:val="01701677"/>
    <w:rsid w:val="018F6371"/>
    <w:rsid w:val="01E02119"/>
    <w:rsid w:val="01EBA6C3"/>
    <w:rsid w:val="023FD3A2"/>
    <w:rsid w:val="02789314"/>
    <w:rsid w:val="02AA4653"/>
    <w:rsid w:val="02CAE4DB"/>
    <w:rsid w:val="031FAEC1"/>
    <w:rsid w:val="035A0905"/>
    <w:rsid w:val="03B3029B"/>
    <w:rsid w:val="03E1576A"/>
    <w:rsid w:val="03EECC7E"/>
    <w:rsid w:val="041B2753"/>
    <w:rsid w:val="04386E27"/>
    <w:rsid w:val="0444D2B6"/>
    <w:rsid w:val="0493A346"/>
    <w:rsid w:val="049759C1"/>
    <w:rsid w:val="04BD8597"/>
    <w:rsid w:val="04C25813"/>
    <w:rsid w:val="04D271D8"/>
    <w:rsid w:val="04E96952"/>
    <w:rsid w:val="050E748A"/>
    <w:rsid w:val="05632F03"/>
    <w:rsid w:val="05CD5718"/>
    <w:rsid w:val="05F6714F"/>
    <w:rsid w:val="066E4239"/>
    <w:rsid w:val="0699C7A6"/>
    <w:rsid w:val="069AC4E9"/>
    <w:rsid w:val="06BC9D9C"/>
    <w:rsid w:val="076A3F88"/>
    <w:rsid w:val="07AA67F5"/>
    <w:rsid w:val="07BA152E"/>
    <w:rsid w:val="07E40584"/>
    <w:rsid w:val="07F0EA3D"/>
    <w:rsid w:val="07F67365"/>
    <w:rsid w:val="07F85B17"/>
    <w:rsid w:val="0857B042"/>
    <w:rsid w:val="086E8DBA"/>
    <w:rsid w:val="08A60A72"/>
    <w:rsid w:val="090855E8"/>
    <w:rsid w:val="092B8042"/>
    <w:rsid w:val="093955F7"/>
    <w:rsid w:val="097437F0"/>
    <w:rsid w:val="098CBA9E"/>
    <w:rsid w:val="09A5C783"/>
    <w:rsid w:val="09B09CA5"/>
    <w:rsid w:val="09F395F3"/>
    <w:rsid w:val="0A18A0BA"/>
    <w:rsid w:val="0A48DE39"/>
    <w:rsid w:val="0A9B59DC"/>
    <w:rsid w:val="0AAFDA84"/>
    <w:rsid w:val="0B149ADD"/>
    <w:rsid w:val="0B162852"/>
    <w:rsid w:val="0B4FA7E8"/>
    <w:rsid w:val="0B591472"/>
    <w:rsid w:val="0B5B00BC"/>
    <w:rsid w:val="0B668690"/>
    <w:rsid w:val="0B6FF4D0"/>
    <w:rsid w:val="0B83906E"/>
    <w:rsid w:val="0B8E6F98"/>
    <w:rsid w:val="0BB68F45"/>
    <w:rsid w:val="0BEBEFF3"/>
    <w:rsid w:val="0BF3E3F7"/>
    <w:rsid w:val="0C2616AB"/>
    <w:rsid w:val="0C3F7EE7"/>
    <w:rsid w:val="0C784019"/>
    <w:rsid w:val="0CA0286F"/>
    <w:rsid w:val="0CF25BDD"/>
    <w:rsid w:val="0D08235F"/>
    <w:rsid w:val="0D2A3FF9"/>
    <w:rsid w:val="0D429612"/>
    <w:rsid w:val="0D4DCD3F"/>
    <w:rsid w:val="0D5AF57F"/>
    <w:rsid w:val="0DDAD884"/>
    <w:rsid w:val="0E2FBF10"/>
    <w:rsid w:val="0E79002E"/>
    <w:rsid w:val="0E9C6157"/>
    <w:rsid w:val="0EA71FA7"/>
    <w:rsid w:val="0EA7FD0B"/>
    <w:rsid w:val="0EBA1ED3"/>
    <w:rsid w:val="0EC691A7"/>
    <w:rsid w:val="0EC99C10"/>
    <w:rsid w:val="0ECAA8A1"/>
    <w:rsid w:val="0EDB0558"/>
    <w:rsid w:val="0F19631B"/>
    <w:rsid w:val="0F2390B5"/>
    <w:rsid w:val="0F5FDE68"/>
    <w:rsid w:val="0F7B12D1"/>
    <w:rsid w:val="0FDC6522"/>
    <w:rsid w:val="1082FF05"/>
    <w:rsid w:val="108CB730"/>
    <w:rsid w:val="10ADF40D"/>
    <w:rsid w:val="110C7BDA"/>
    <w:rsid w:val="1139A29F"/>
    <w:rsid w:val="118E0AC7"/>
    <w:rsid w:val="1218E7F5"/>
    <w:rsid w:val="12359DBD"/>
    <w:rsid w:val="1236CE0A"/>
    <w:rsid w:val="125EC807"/>
    <w:rsid w:val="13033033"/>
    <w:rsid w:val="1335D28B"/>
    <w:rsid w:val="133957AA"/>
    <w:rsid w:val="137764E3"/>
    <w:rsid w:val="13AEDAE0"/>
    <w:rsid w:val="1485D837"/>
    <w:rsid w:val="14A11BA9"/>
    <w:rsid w:val="14EBA2CE"/>
    <w:rsid w:val="1563E587"/>
    <w:rsid w:val="15703FA1"/>
    <w:rsid w:val="15F225F8"/>
    <w:rsid w:val="1642006A"/>
    <w:rsid w:val="166D734D"/>
    <w:rsid w:val="1693E737"/>
    <w:rsid w:val="16B62297"/>
    <w:rsid w:val="1754835D"/>
    <w:rsid w:val="176D617B"/>
    <w:rsid w:val="17BD78F9"/>
    <w:rsid w:val="17DCA485"/>
    <w:rsid w:val="184A82D2"/>
    <w:rsid w:val="18B93EA2"/>
    <w:rsid w:val="18C53F82"/>
    <w:rsid w:val="19147712"/>
    <w:rsid w:val="1924746D"/>
    <w:rsid w:val="1926D13F"/>
    <w:rsid w:val="1929C6BA"/>
    <w:rsid w:val="196C2F25"/>
    <w:rsid w:val="197C6829"/>
    <w:rsid w:val="19EC1FE2"/>
    <w:rsid w:val="19FA89C3"/>
    <w:rsid w:val="1A4C8B00"/>
    <w:rsid w:val="1A51894D"/>
    <w:rsid w:val="1AD3E6AB"/>
    <w:rsid w:val="1B58B19F"/>
    <w:rsid w:val="1C3271BC"/>
    <w:rsid w:val="1C329DC6"/>
    <w:rsid w:val="1C6B7A95"/>
    <w:rsid w:val="1C7066AE"/>
    <w:rsid w:val="1C87B915"/>
    <w:rsid w:val="1CA16AE3"/>
    <w:rsid w:val="1CE4345F"/>
    <w:rsid w:val="1CFB0AC7"/>
    <w:rsid w:val="1D23C0A4"/>
    <w:rsid w:val="1DA08C04"/>
    <w:rsid w:val="1E59A273"/>
    <w:rsid w:val="1EA972A0"/>
    <w:rsid w:val="1EEC8018"/>
    <w:rsid w:val="1F013EF4"/>
    <w:rsid w:val="1F3D22E8"/>
    <w:rsid w:val="1F4A28AB"/>
    <w:rsid w:val="1F64456F"/>
    <w:rsid w:val="1F65C37A"/>
    <w:rsid w:val="1F781586"/>
    <w:rsid w:val="1FA9E46B"/>
    <w:rsid w:val="204FB054"/>
    <w:rsid w:val="20AB6837"/>
    <w:rsid w:val="20AC6456"/>
    <w:rsid w:val="20C8BA22"/>
    <w:rsid w:val="20DB67C7"/>
    <w:rsid w:val="20F8FE26"/>
    <w:rsid w:val="212053DC"/>
    <w:rsid w:val="214A1701"/>
    <w:rsid w:val="21792D1A"/>
    <w:rsid w:val="219A1741"/>
    <w:rsid w:val="21CE6293"/>
    <w:rsid w:val="21D161D4"/>
    <w:rsid w:val="21D4EEEF"/>
    <w:rsid w:val="21E45097"/>
    <w:rsid w:val="21FC54DD"/>
    <w:rsid w:val="2223FF6D"/>
    <w:rsid w:val="222ABD9D"/>
    <w:rsid w:val="227BA62A"/>
    <w:rsid w:val="22DDB5F2"/>
    <w:rsid w:val="22FFB78F"/>
    <w:rsid w:val="2322DA49"/>
    <w:rsid w:val="239DDCE3"/>
    <w:rsid w:val="23AE830B"/>
    <w:rsid w:val="24245B44"/>
    <w:rsid w:val="24E4464A"/>
    <w:rsid w:val="25766DAD"/>
    <w:rsid w:val="2596FAFC"/>
    <w:rsid w:val="25D814D2"/>
    <w:rsid w:val="260E5BF5"/>
    <w:rsid w:val="261497FE"/>
    <w:rsid w:val="265F08CA"/>
    <w:rsid w:val="267AEED2"/>
    <w:rsid w:val="26B4092F"/>
    <w:rsid w:val="26B844B6"/>
    <w:rsid w:val="26BDCC09"/>
    <w:rsid w:val="26DF5205"/>
    <w:rsid w:val="27581960"/>
    <w:rsid w:val="27CC3846"/>
    <w:rsid w:val="282C7EA6"/>
    <w:rsid w:val="282FD901"/>
    <w:rsid w:val="28368761"/>
    <w:rsid w:val="28541517"/>
    <w:rsid w:val="286E60D1"/>
    <w:rsid w:val="288E98AF"/>
    <w:rsid w:val="28EAE7AE"/>
    <w:rsid w:val="295D2B59"/>
    <w:rsid w:val="2A4B53EF"/>
    <w:rsid w:val="2A602533"/>
    <w:rsid w:val="2A633017"/>
    <w:rsid w:val="2A72A486"/>
    <w:rsid w:val="2A93908C"/>
    <w:rsid w:val="2AAC3C52"/>
    <w:rsid w:val="2AC459FA"/>
    <w:rsid w:val="2AE2E2DB"/>
    <w:rsid w:val="2AE52200"/>
    <w:rsid w:val="2AEBDAC2"/>
    <w:rsid w:val="2B132B0B"/>
    <w:rsid w:val="2B2E2CE1"/>
    <w:rsid w:val="2B3476FE"/>
    <w:rsid w:val="2B43FB94"/>
    <w:rsid w:val="2B6779C3"/>
    <w:rsid w:val="2B69A6EF"/>
    <w:rsid w:val="2BB9F49C"/>
    <w:rsid w:val="2C3A99B1"/>
    <w:rsid w:val="2C3FF3FC"/>
    <w:rsid w:val="2C7C645F"/>
    <w:rsid w:val="2C7EF306"/>
    <w:rsid w:val="2C9F44C2"/>
    <w:rsid w:val="2CB53ED4"/>
    <w:rsid w:val="2CBBD0BB"/>
    <w:rsid w:val="2D832AD1"/>
    <w:rsid w:val="2DB865C4"/>
    <w:rsid w:val="2DE1D631"/>
    <w:rsid w:val="2E11424A"/>
    <w:rsid w:val="2E33C64A"/>
    <w:rsid w:val="2E6F0311"/>
    <w:rsid w:val="2E7939C2"/>
    <w:rsid w:val="2EA118BC"/>
    <w:rsid w:val="2EB4A804"/>
    <w:rsid w:val="2F21A31A"/>
    <w:rsid w:val="2F6EFB71"/>
    <w:rsid w:val="2F772977"/>
    <w:rsid w:val="30973087"/>
    <w:rsid w:val="30EDBBE9"/>
    <w:rsid w:val="313E8D31"/>
    <w:rsid w:val="31460950"/>
    <w:rsid w:val="31527126"/>
    <w:rsid w:val="316F8F88"/>
    <w:rsid w:val="32599BD6"/>
    <w:rsid w:val="326499A1"/>
    <w:rsid w:val="328CB117"/>
    <w:rsid w:val="32D9F2A9"/>
    <w:rsid w:val="32F05F99"/>
    <w:rsid w:val="334A9390"/>
    <w:rsid w:val="33AF7305"/>
    <w:rsid w:val="33EF07ED"/>
    <w:rsid w:val="3415F635"/>
    <w:rsid w:val="3435627F"/>
    <w:rsid w:val="345D5E78"/>
    <w:rsid w:val="3462316D"/>
    <w:rsid w:val="34776F6D"/>
    <w:rsid w:val="348A6983"/>
    <w:rsid w:val="34A0F002"/>
    <w:rsid w:val="34A2740B"/>
    <w:rsid w:val="34B10E20"/>
    <w:rsid w:val="35215D48"/>
    <w:rsid w:val="3533BB7C"/>
    <w:rsid w:val="35347039"/>
    <w:rsid w:val="359C136B"/>
    <w:rsid w:val="359ECF2E"/>
    <w:rsid w:val="35D2C7EB"/>
    <w:rsid w:val="3640D302"/>
    <w:rsid w:val="3670C6AA"/>
    <w:rsid w:val="36748C0C"/>
    <w:rsid w:val="3683FFD0"/>
    <w:rsid w:val="36A153EC"/>
    <w:rsid w:val="36BEEC6C"/>
    <w:rsid w:val="374BA984"/>
    <w:rsid w:val="380418B7"/>
    <w:rsid w:val="38276D01"/>
    <w:rsid w:val="384BEA9A"/>
    <w:rsid w:val="3972CB81"/>
    <w:rsid w:val="3A0C400D"/>
    <w:rsid w:val="3A34B32A"/>
    <w:rsid w:val="3A950100"/>
    <w:rsid w:val="3AC29C1C"/>
    <w:rsid w:val="3AD1475C"/>
    <w:rsid w:val="3AD5757E"/>
    <w:rsid w:val="3B3263C9"/>
    <w:rsid w:val="3B5AE415"/>
    <w:rsid w:val="3BC7026E"/>
    <w:rsid w:val="3BFE1270"/>
    <w:rsid w:val="3C20ECF3"/>
    <w:rsid w:val="3C225FA6"/>
    <w:rsid w:val="3C2ECF37"/>
    <w:rsid w:val="3C34561C"/>
    <w:rsid w:val="3C37C7EF"/>
    <w:rsid w:val="3C9DC00C"/>
    <w:rsid w:val="3CCA2C94"/>
    <w:rsid w:val="3CCBF846"/>
    <w:rsid w:val="3D835EEE"/>
    <w:rsid w:val="3DC61C1F"/>
    <w:rsid w:val="3DF38C9E"/>
    <w:rsid w:val="3E7A371B"/>
    <w:rsid w:val="3EB354A2"/>
    <w:rsid w:val="3EC83F8E"/>
    <w:rsid w:val="3ED8C8EB"/>
    <w:rsid w:val="3F31BDEA"/>
    <w:rsid w:val="3F5CB2A2"/>
    <w:rsid w:val="3F6D8BE5"/>
    <w:rsid w:val="408252DA"/>
    <w:rsid w:val="40AAD584"/>
    <w:rsid w:val="40B7AFD6"/>
    <w:rsid w:val="41126D7A"/>
    <w:rsid w:val="4120958D"/>
    <w:rsid w:val="41557138"/>
    <w:rsid w:val="419AC455"/>
    <w:rsid w:val="41A0BA4D"/>
    <w:rsid w:val="41B6D74C"/>
    <w:rsid w:val="41FFE050"/>
    <w:rsid w:val="423E72B8"/>
    <w:rsid w:val="428336D6"/>
    <w:rsid w:val="429FE014"/>
    <w:rsid w:val="42A2902B"/>
    <w:rsid w:val="42B8A7F7"/>
    <w:rsid w:val="4357E682"/>
    <w:rsid w:val="436EF098"/>
    <w:rsid w:val="4372BBE5"/>
    <w:rsid w:val="43BCBA99"/>
    <w:rsid w:val="43EC035A"/>
    <w:rsid w:val="43F15AF8"/>
    <w:rsid w:val="4410BE92"/>
    <w:rsid w:val="44A5CDE7"/>
    <w:rsid w:val="44DE37B5"/>
    <w:rsid w:val="452885D7"/>
    <w:rsid w:val="4537016E"/>
    <w:rsid w:val="45BE4FE4"/>
    <w:rsid w:val="45C4777E"/>
    <w:rsid w:val="45F08C51"/>
    <w:rsid w:val="45F5FAD4"/>
    <w:rsid w:val="45FC0077"/>
    <w:rsid w:val="463D1933"/>
    <w:rsid w:val="46428AFD"/>
    <w:rsid w:val="46852E51"/>
    <w:rsid w:val="468B1710"/>
    <w:rsid w:val="46BA2916"/>
    <w:rsid w:val="46BC0752"/>
    <w:rsid w:val="471D790F"/>
    <w:rsid w:val="475822C0"/>
    <w:rsid w:val="479266C7"/>
    <w:rsid w:val="47F6731C"/>
    <w:rsid w:val="48173B30"/>
    <w:rsid w:val="48503D20"/>
    <w:rsid w:val="4871AB5D"/>
    <w:rsid w:val="487B729E"/>
    <w:rsid w:val="48A5B969"/>
    <w:rsid w:val="48CE3530"/>
    <w:rsid w:val="48E26C73"/>
    <w:rsid w:val="48FDC450"/>
    <w:rsid w:val="493F5BD4"/>
    <w:rsid w:val="493F8339"/>
    <w:rsid w:val="497E3300"/>
    <w:rsid w:val="4983BB96"/>
    <w:rsid w:val="4988DA8F"/>
    <w:rsid w:val="49A19A96"/>
    <w:rsid w:val="4A307455"/>
    <w:rsid w:val="4AA44732"/>
    <w:rsid w:val="4AE58CCB"/>
    <w:rsid w:val="4B07F602"/>
    <w:rsid w:val="4B160F77"/>
    <w:rsid w:val="4B7E6586"/>
    <w:rsid w:val="4BEDA754"/>
    <w:rsid w:val="4C74C318"/>
    <w:rsid w:val="4CB8ABFD"/>
    <w:rsid w:val="4D1BA196"/>
    <w:rsid w:val="4D2E7F79"/>
    <w:rsid w:val="4E6D6EAB"/>
    <w:rsid w:val="4E7023F0"/>
    <w:rsid w:val="4EEA5565"/>
    <w:rsid w:val="4F0BDE50"/>
    <w:rsid w:val="4F93B0A8"/>
    <w:rsid w:val="4FAF220E"/>
    <w:rsid w:val="4FB54ED5"/>
    <w:rsid w:val="4FB7E0B0"/>
    <w:rsid w:val="50AEC3B7"/>
    <w:rsid w:val="50DD5BEA"/>
    <w:rsid w:val="50E1C5CF"/>
    <w:rsid w:val="50F9F8E2"/>
    <w:rsid w:val="51308B07"/>
    <w:rsid w:val="516EF6E5"/>
    <w:rsid w:val="51850412"/>
    <w:rsid w:val="519DB5BA"/>
    <w:rsid w:val="51D9A9FD"/>
    <w:rsid w:val="523E4BD6"/>
    <w:rsid w:val="526F60B0"/>
    <w:rsid w:val="529904DB"/>
    <w:rsid w:val="52C1A8F0"/>
    <w:rsid w:val="52F1B384"/>
    <w:rsid w:val="53143EFE"/>
    <w:rsid w:val="5318255B"/>
    <w:rsid w:val="53311AE7"/>
    <w:rsid w:val="5339861B"/>
    <w:rsid w:val="53C3395E"/>
    <w:rsid w:val="53CDA2C9"/>
    <w:rsid w:val="53D06B5F"/>
    <w:rsid w:val="53DE2083"/>
    <w:rsid w:val="53E9E0CB"/>
    <w:rsid w:val="53FF9CAD"/>
    <w:rsid w:val="54CBA331"/>
    <w:rsid w:val="54D0B4B5"/>
    <w:rsid w:val="55128C0B"/>
    <w:rsid w:val="553BEA61"/>
    <w:rsid w:val="55AC7066"/>
    <w:rsid w:val="55B064E3"/>
    <w:rsid w:val="560456EB"/>
    <w:rsid w:val="5624A296"/>
    <w:rsid w:val="565E1289"/>
    <w:rsid w:val="5685729E"/>
    <w:rsid w:val="56F60021"/>
    <w:rsid w:val="573228E1"/>
    <w:rsid w:val="57485B23"/>
    <w:rsid w:val="5758CEA1"/>
    <w:rsid w:val="5787B142"/>
    <w:rsid w:val="5795D751"/>
    <w:rsid w:val="57BF13A3"/>
    <w:rsid w:val="57CF304E"/>
    <w:rsid w:val="57D11CC5"/>
    <w:rsid w:val="57E0717D"/>
    <w:rsid w:val="57EC6CC4"/>
    <w:rsid w:val="5892D381"/>
    <w:rsid w:val="58AB5D4C"/>
    <w:rsid w:val="58E6D419"/>
    <w:rsid w:val="59022F13"/>
    <w:rsid w:val="5979F40A"/>
    <w:rsid w:val="598DBFD3"/>
    <w:rsid w:val="59C407CD"/>
    <w:rsid w:val="59E2F57A"/>
    <w:rsid w:val="59E31B0F"/>
    <w:rsid w:val="59E336BA"/>
    <w:rsid w:val="59E818A7"/>
    <w:rsid w:val="59F48BF3"/>
    <w:rsid w:val="5A2E0C6A"/>
    <w:rsid w:val="5A45DA23"/>
    <w:rsid w:val="5AE65FAD"/>
    <w:rsid w:val="5B1CCA8E"/>
    <w:rsid w:val="5B210A99"/>
    <w:rsid w:val="5B55518A"/>
    <w:rsid w:val="5B7B7C70"/>
    <w:rsid w:val="5B7EEB70"/>
    <w:rsid w:val="5B83A9F3"/>
    <w:rsid w:val="5BD7DE2F"/>
    <w:rsid w:val="5BEB5487"/>
    <w:rsid w:val="5C11E36D"/>
    <w:rsid w:val="5C1E74DB"/>
    <w:rsid w:val="5C385AF3"/>
    <w:rsid w:val="5C5AEF56"/>
    <w:rsid w:val="5C6DB184"/>
    <w:rsid w:val="5CC8A5EB"/>
    <w:rsid w:val="5CCB5FA5"/>
    <w:rsid w:val="5CD1CC45"/>
    <w:rsid w:val="5CD747D5"/>
    <w:rsid w:val="5D240DD0"/>
    <w:rsid w:val="5D5BCED0"/>
    <w:rsid w:val="5D65CA36"/>
    <w:rsid w:val="5DB8EC90"/>
    <w:rsid w:val="5E03B19C"/>
    <w:rsid w:val="5E3851FB"/>
    <w:rsid w:val="5E5CE64E"/>
    <w:rsid w:val="5E69EB37"/>
    <w:rsid w:val="5EA0F7FB"/>
    <w:rsid w:val="5ED28989"/>
    <w:rsid w:val="5EEA63F5"/>
    <w:rsid w:val="5F11B6C8"/>
    <w:rsid w:val="5F348A14"/>
    <w:rsid w:val="5F3D6E8D"/>
    <w:rsid w:val="5F66A2D1"/>
    <w:rsid w:val="5F6E6CD2"/>
    <w:rsid w:val="5FB3C3B4"/>
    <w:rsid w:val="5FFA5547"/>
    <w:rsid w:val="60922C19"/>
    <w:rsid w:val="60B4515E"/>
    <w:rsid w:val="60F2674B"/>
    <w:rsid w:val="6112027D"/>
    <w:rsid w:val="612509A3"/>
    <w:rsid w:val="612D690C"/>
    <w:rsid w:val="619EF1EF"/>
    <w:rsid w:val="61AC333C"/>
    <w:rsid w:val="624341B2"/>
    <w:rsid w:val="62C0DA04"/>
    <w:rsid w:val="637E8474"/>
    <w:rsid w:val="6392E13A"/>
    <w:rsid w:val="63AF82BC"/>
    <w:rsid w:val="64091ED8"/>
    <w:rsid w:val="64240953"/>
    <w:rsid w:val="65455DE2"/>
    <w:rsid w:val="654A317B"/>
    <w:rsid w:val="65FB68CA"/>
    <w:rsid w:val="6672C119"/>
    <w:rsid w:val="66E8E370"/>
    <w:rsid w:val="67056616"/>
    <w:rsid w:val="67442F69"/>
    <w:rsid w:val="67567E8F"/>
    <w:rsid w:val="67B4334F"/>
    <w:rsid w:val="68515455"/>
    <w:rsid w:val="68563D69"/>
    <w:rsid w:val="6882BC79"/>
    <w:rsid w:val="68B1E599"/>
    <w:rsid w:val="690AC885"/>
    <w:rsid w:val="69241CC3"/>
    <w:rsid w:val="69398C84"/>
    <w:rsid w:val="69F11933"/>
    <w:rsid w:val="69F5BF45"/>
    <w:rsid w:val="6A0719D2"/>
    <w:rsid w:val="6A2754E8"/>
    <w:rsid w:val="6AB624A5"/>
    <w:rsid w:val="6AC6616D"/>
    <w:rsid w:val="6ACE079F"/>
    <w:rsid w:val="6ADA3815"/>
    <w:rsid w:val="6ADE01BC"/>
    <w:rsid w:val="6BCCD18B"/>
    <w:rsid w:val="6C1377D3"/>
    <w:rsid w:val="6C882A70"/>
    <w:rsid w:val="6C900EF2"/>
    <w:rsid w:val="6CCD30A9"/>
    <w:rsid w:val="6CE3D68C"/>
    <w:rsid w:val="6D53617A"/>
    <w:rsid w:val="6D7D2B9D"/>
    <w:rsid w:val="6D97F848"/>
    <w:rsid w:val="6E1E009E"/>
    <w:rsid w:val="6E22B06F"/>
    <w:rsid w:val="6EE65BB3"/>
    <w:rsid w:val="6EF51C74"/>
    <w:rsid w:val="6F1A7D24"/>
    <w:rsid w:val="6F2D6FB5"/>
    <w:rsid w:val="6F415806"/>
    <w:rsid w:val="6F861E4B"/>
    <w:rsid w:val="6F91E274"/>
    <w:rsid w:val="6FFD93EF"/>
    <w:rsid w:val="700BB5F1"/>
    <w:rsid w:val="704E364C"/>
    <w:rsid w:val="705C4B3D"/>
    <w:rsid w:val="70837593"/>
    <w:rsid w:val="709C586A"/>
    <w:rsid w:val="70A445A6"/>
    <w:rsid w:val="70D1091D"/>
    <w:rsid w:val="70F7503E"/>
    <w:rsid w:val="71680BC4"/>
    <w:rsid w:val="716FDB0C"/>
    <w:rsid w:val="71ABABE0"/>
    <w:rsid w:val="71BD3BFC"/>
    <w:rsid w:val="71F10725"/>
    <w:rsid w:val="720D2CF5"/>
    <w:rsid w:val="7211A138"/>
    <w:rsid w:val="72321C8D"/>
    <w:rsid w:val="725CD833"/>
    <w:rsid w:val="727E03E8"/>
    <w:rsid w:val="72B0605A"/>
    <w:rsid w:val="72B9172E"/>
    <w:rsid w:val="72E1B241"/>
    <w:rsid w:val="73189026"/>
    <w:rsid w:val="737EF60C"/>
    <w:rsid w:val="73E3E91E"/>
    <w:rsid w:val="740CAC04"/>
    <w:rsid w:val="7417CCD8"/>
    <w:rsid w:val="7418D11C"/>
    <w:rsid w:val="7466A8D2"/>
    <w:rsid w:val="74973603"/>
    <w:rsid w:val="74B02657"/>
    <w:rsid w:val="750F9B85"/>
    <w:rsid w:val="7539D3AD"/>
    <w:rsid w:val="757A41F5"/>
    <w:rsid w:val="75883D82"/>
    <w:rsid w:val="75B6BA05"/>
    <w:rsid w:val="75FE9FE5"/>
    <w:rsid w:val="766641AE"/>
    <w:rsid w:val="7715D634"/>
    <w:rsid w:val="771B89E0"/>
    <w:rsid w:val="772F219C"/>
    <w:rsid w:val="775F51DF"/>
    <w:rsid w:val="77663C6C"/>
    <w:rsid w:val="7769994E"/>
    <w:rsid w:val="777345BC"/>
    <w:rsid w:val="77C5F433"/>
    <w:rsid w:val="77C9E9C4"/>
    <w:rsid w:val="7805E516"/>
    <w:rsid w:val="780AACAD"/>
    <w:rsid w:val="782BE608"/>
    <w:rsid w:val="7843148F"/>
    <w:rsid w:val="7864E0A3"/>
    <w:rsid w:val="78710AB7"/>
    <w:rsid w:val="7940BDE3"/>
    <w:rsid w:val="796CF931"/>
    <w:rsid w:val="796F4A4D"/>
    <w:rsid w:val="797929F9"/>
    <w:rsid w:val="79D40318"/>
    <w:rsid w:val="79D48DE6"/>
    <w:rsid w:val="7A49D47E"/>
    <w:rsid w:val="7A62C2D2"/>
    <w:rsid w:val="7A878451"/>
    <w:rsid w:val="7AA5CD64"/>
    <w:rsid w:val="7ABD4E84"/>
    <w:rsid w:val="7AC0256A"/>
    <w:rsid w:val="7AE9FD39"/>
    <w:rsid w:val="7B3E8EF2"/>
    <w:rsid w:val="7B70DD77"/>
    <w:rsid w:val="7B70DF94"/>
    <w:rsid w:val="7BCC507E"/>
    <w:rsid w:val="7BFA8515"/>
    <w:rsid w:val="7C1B5531"/>
    <w:rsid w:val="7C606538"/>
    <w:rsid w:val="7D3218BF"/>
    <w:rsid w:val="7D9F5DA6"/>
    <w:rsid w:val="7DB8AEDA"/>
    <w:rsid w:val="7DC6FCE4"/>
    <w:rsid w:val="7E91E8AA"/>
    <w:rsid w:val="7EB71E32"/>
    <w:rsid w:val="7EDFEBAA"/>
    <w:rsid w:val="7EE50293"/>
    <w:rsid w:val="7F4892E5"/>
    <w:rsid w:val="7F53D2F8"/>
    <w:rsid w:val="7F547F3B"/>
    <w:rsid w:val="7FB6675A"/>
    <w:rsid w:val="7FE4EDD4"/>
    <w:rsid w:val="7FF3EC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665D98"/>
  <w15:chartTrackingRefBased/>
  <w15:docId w15:val="{5F5FB0A1-A6CF-4A73-A45D-AFFE7746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7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A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A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2ABF"/>
    <w:pPr>
      <w:ind w:left="720"/>
      <w:contextualSpacing/>
    </w:pPr>
  </w:style>
  <w:style w:type="character" w:styleId="CommentReference">
    <w:name w:val="annotation reference"/>
    <w:basedOn w:val="DefaultParagraphFont"/>
    <w:uiPriority w:val="99"/>
    <w:semiHidden/>
    <w:unhideWhenUsed/>
    <w:rsid w:val="00197C69"/>
    <w:rPr>
      <w:sz w:val="16"/>
      <w:szCs w:val="16"/>
    </w:rPr>
  </w:style>
  <w:style w:type="paragraph" w:styleId="CommentText">
    <w:name w:val="annotation text"/>
    <w:basedOn w:val="Normal"/>
    <w:link w:val="CommentTextChar"/>
    <w:uiPriority w:val="99"/>
    <w:semiHidden/>
    <w:unhideWhenUsed/>
    <w:rsid w:val="00197C69"/>
    <w:pPr>
      <w:spacing w:line="240" w:lineRule="auto"/>
    </w:pPr>
    <w:rPr>
      <w:sz w:val="20"/>
      <w:szCs w:val="20"/>
    </w:rPr>
  </w:style>
  <w:style w:type="character" w:customStyle="1" w:styleId="CommentTextChar">
    <w:name w:val="Comment Text Char"/>
    <w:basedOn w:val="DefaultParagraphFont"/>
    <w:link w:val="CommentText"/>
    <w:uiPriority w:val="99"/>
    <w:semiHidden/>
    <w:rsid w:val="00197C69"/>
    <w:rPr>
      <w:sz w:val="20"/>
      <w:szCs w:val="20"/>
    </w:rPr>
  </w:style>
  <w:style w:type="paragraph" w:styleId="CommentSubject">
    <w:name w:val="annotation subject"/>
    <w:basedOn w:val="CommentText"/>
    <w:next w:val="CommentText"/>
    <w:link w:val="CommentSubjectChar"/>
    <w:uiPriority w:val="99"/>
    <w:semiHidden/>
    <w:unhideWhenUsed/>
    <w:rsid w:val="00197C69"/>
    <w:rPr>
      <w:b/>
      <w:bCs/>
    </w:rPr>
  </w:style>
  <w:style w:type="character" w:customStyle="1" w:styleId="CommentSubjectChar">
    <w:name w:val="Comment Subject Char"/>
    <w:basedOn w:val="CommentTextChar"/>
    <w:link w:val="CommentSubject"/>
    <w:uiPriority w:val="99"/>
    <w:semiHidden/>
    <w:rsid w:val="00197C69"/>
    <w:rPr>
      <w:b/>
      <w:bCs/>
      <w:sz w:val="20"/>
      <w:szCs w:val="20"/>
    </w:rPr>
  </w:style>
  <w:style w:type="character" w:styleId="Hyperlink">
    <w:name w:val="Hyperlink"/>
    <w:basedOn w:val="DefaultParagraphFont"/>
    <w:uiPriority w:val="99"/>
    <w:unhideWhenUsed/>
    <w:rsid w:val="002922C5"/>
    <w:rPr>
      <w:color w:val="0000FF"/>
      <w:u w:val="single"/>
    </w:rPr>
  </w:style>
  <w:style w:type="paragraph" w:styleId="BalloonText">
    <w:name w:val="Balloon Text"/>
    <w:basedOn w:val="Normal"/>
    <w:link w:val="BalloonTextChar"/>
    <w:uiPriority w:val="99"/>
    <w:semiHidden/>
    <w:unhideWhenUsed/>
    <w:rsid w:val="00AF0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D61"/>
    <w:rPr>
      <w:rFonts w:ascii="Segoe UI" w:hAnsi="Segoe UI" w:cs="Segoe UI"/>
      <w:sz w:val="18"/>
      <w:szCs w:val="18"/>
    </w:rPr>
  </w:style>
  <w:style w:type="paragraph" w:styleId="NormalWeb">
    <w:name w:val="Normal (Web)"/>
    <w:basedOn w:val="Normal"/>
    <w:uiPriority w:val="99"/>
    <w:semiHidden/>
    <w:unhideWhenUsed/>
    <w:rsid w:val="00537F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7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CAB"/>
  </w:style>
  <w:style w:type="paragraph" w:styleId="Footer">
    <w:name w:val="footer"/>
    <w:basedOn w:val="Normal"/>
    <w:link w:val="FooterChar"/>
    <w:uiPriority w:val="99"/>
    <w:unhideWhenUsed/>
    <w:rsid w:val="00F97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CAB"/>
  </w:style>
  <w:style w:type="character" w:customStyle="1" w:styleId="Heading3Char">
    <w:name w:val="Heading 3 Char"/>
    <w:basedOn w:val="DefaultParagraphFont"/>
    <w:link w:val="Heading3"/>
    <w:uiPriority w:val="9"/>
    <w:rsid w:val="0038076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24F4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758C0"/>
    <w:rPr>
      <w:color w:val="605E5C"/>
      <w:shd w:val="clear" w:color="auto" w:fill="E1DFDD"/>
    </w:rPr>
  </w:style>
  <w:style w:type="paragraph" w:customStyle="1" w:styleId="paragraph">
    <w:name w:val="paragraph"/>
    <w:basedOn w:val="Normal"/>
    <w:rsid w:val="00D758C0"/>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758C0"/>
  </w:style>
  <w:style w:type="character" w:customStyle="1" w:styleId="scxp208731928">
    <w:name w:val="scxp208731928"/>
    <w:basedOn w:val="DefaultParagraphFont"/>
    <w:rsid w:val="00D758C0"/>
  </w:style>
  <w:style w:type="character" w:customStyle="1" w:styleId="eop">
    <w:name w:val="eop"/>
    <w:basedOn w:val="DefaultParagraphFont"/>
    <w:rsid w:val="00D758C0"/>
  </w:style>
  <w:style w:type="paragraph" w:styleId="EndnoteText">
    <w:name w:val="endnote text"/>
    <w:basedOn w:val="Normal"/>
    <w:link w:val="EndnoteTextChar"/>
    <w:uiPriority w:val="99"/>
    <w:semiHidden/>
    <w:unhideWhenUsed/>
    <w:rsid w:val="008F19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194B"/>
    <w:rPr>
      <w:sz w:val="20"/>
      <w:szCs w:val="20"/>
    </w:rPr>
  </w:style>
  <w:style w:type="character" w:styleId="EndnoteReference">
    <w:name w:val="endnote reference"/>
    <w:basedOn w:val="DefaultParagraphFont"/>
    <w:uiPriority w:val="99"/>
    <w:semiHidden/>
    <w:unhideWhenUsed/>
    <w:rsid w:val="008F194B"/>
    <w:rPr>
      <w:vertAlign w:val="superscript"/>
    </w:rPr>
  </w:style>
  <w:style w:type="paragraph" w:styleId="FootnoteText">
    <w:name w:val="footnote text"/>
    <w:basedOn w:val="Normal"/>
    <w:link w:val="FootnoteTextChar"/>
    <w:uiPriority w:val="99"/>
    <w:semiHidden/>
    <w:unhideWhenUsed/>
    <w:rsid w:val="008F19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94B"/>
    <w:rPr>
      <w:sz w:val="20"/>
      <w:szCs w:val="20"/>
    </w:rPr>
  </w:style>
  <w:style w:type="character" w:styleId="FootnoteReference">
    <w:name w:val="footnote reference"/>
    <w:basedOn w:val="DefaultParagraphFont"/>
    <w:uiPriority w:val="99"/>
    <w:semiHidden/>
    <w:unhideWhenUsed/>
    <w:rsid w:val="008F194B"/>
    <w:rPr>
      <w:vertAlign w:val="superscript"/>
    </w:rPr>
  </w:style>
  <w:style w:type="paragraph" w:styleId="Bibliography">
    <w:name w:val="Bibliography"/>
    <w:basedOn w:val="Normal"/>
    <w:next w:val="Normal"/>
    <w:uiPriority w:val="37"/>
    <w:unhideWhenUsed/>
    <w:rsid w:val="002D672E"/>
  </w:style>
  <w:style w:type="character" w:styleId="FollowedHyperlink">
    <w:name w:val="FollowedHyperlink"/>
    <w:basedOn w:val="DefaultParagraphFont"/>
    <w:uiPriority w:val="99"/>
    <w:semiHidden/>
    <w:unhideWhenUsed/>
    <w:rsid w:val="008E38F8"/>
    <w:rPr>
      <w:color w:val="954F72" w:themeColor="followedHyperlink"/>
      <w:u w:val="single"/>
    </w:rPr>
  </w:style>
  <w:style w:type="paragraph" w:styleId="TOCHeading">
    <w:name w:val="TOC Heading"/>
    <w:basedOn w:val="Heading1"/>
    <w:next w:val="Normal"/>
    <w:uiPriority w:val="39"/>
    <w:unhideWhenUsed/>
    <w:qFormat/>
    <w:rsid w:val="009A3869"/>
    <w:pPr>
      <w:outlineLvl w:val="9"/>
    </w:pPr>
  </w:style>
  <w:style w:type="paragraph" w:styleId="TOC1">
    <w:name w:val="toc 1"/>
    <w:basedOn w:val="Normal"/>
    <w:next w:val="Normal"/>
    <w:autoRedefine/>
    <w:uiPriority w:val="39"/>
    <w:unhideWhenUsed/>
    <w:rsid w:val="009A3869"/>
    <w:pPr>
      <w:spacing w:after="100"/>
    </w:pPr>
  </w:style>
  <w:style w:type="paragraph" w:styleId="TOC2">
    <w:name w:val="toc 2"/>
    <w:basedOn w:val="Normal"/>
    <w:next w:val="Normal"/>
    <w:autoRedefine/>
    <w:uiPriority w:val="39"/>
    <w:unhideWhenUsed/>
    <w:rsid w:val="009A3869"/>
    <w:pPr>
      <w:spacing w:after="100"/>
      <w:ind w:left="220"/>
    </w:pPr>
  </w:style>
  <w:style w:type="paragraph" w:styleId="TOC3">
    <w:name w:val="toc 3"/>
    <w:basedOn w:val="Normal"/>
    <w:next w:val="Normal"/>
    <w:autoRedefine/>
    <w:uiPriority w:val="39"/>
    <w:unhideWhenUsed/>
    <w:rsid w:val="009A38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6866">
      <w:bodyDiv w:val="1"/>
      <w:marLeft w:val="0"/>
      <w:marRight w:val="0"/>
      <w:marTop w:val="0"/>
      <w:marBottom w:val="0"/>
      <w:divBdr>
        <w:top w:val="none" w:sz="0" w:space="0" w:color="auto"/>
        <w:left w:val="none" w:sz="0" w:space="0" w:color="auto"/>
        <w:bottom w:val="none" w:sz="0" w:space="0" w:color="auto"/>
        <w:right w:val="none" w:sz="0" w:space="0" w:color="auto"/>
      </w:divBdr>
    </w:div>
    <w:div w:id="57048520">
      <w:bodyDiv w:val="1"/>
      <w:marLeft w:val="0"/>
      <w:marRight w:val="0"/>
      <w:marTop w:val="0"/>
      <w:marBottom w:val="0"/>
      <w:divBdr>
        <w:top w:val="none" w:sz="0" w:space="0" w:color="auto"/>
        <w:left w:val="none" w:sz="0" w:space="0" w:color="auto"/>
        <w:bottom w:val="none" w:sz="0" w:space="0" w:color="auto"/>
        <w:right w:val="none" w:sz="0" w:space="0" w:color="auto"/>
      </w:divBdr>
    </w:div>
    <w:div w:id="169762321">
      <w:bodyDiv w:val="1"/>
      <w:marLeft w:val="0"/>
      <w:marRight w:val="0"/>
      <w:marTop w:val="0"/>
      <w:marBottom w:val="0"/>
      <w:divBdr>
        <w:top w:val="none" w:sz="0" w:space="0" w:color="auto"/>
        <w:left w:val="none" w:sz="0" w:space="0" w:color="auto"/>
        <w:bottom w:val="none" w:sz="0" w:space="0" w:color="auto"/>
        <w:right w:val="none" w:sz="0" w:space="0" w:color="auto"/>
      </w:divBdr>
    </w:div>
    <w:div w:id="182012727">
      <w:bodyDiv w:val="1"/>
      <w:marLeft w:val="0"/>
      <w:marRight w:val="0"/>
      <w:marTop w:val="0"/>
      <w:marBottom w:val="0"/>
      <w:divBdr>
        <w:top w:val="none" w:sz="0" w:space="0" w:color="auto"/>
        <w:left w:val="none" w:sz="0" w:space="0" w:color="auto"/>
        <w:bottom w:val="none" w:sz="0" w:space="0" w:color="auto"/>
        <w:right w:val="none" w:sz="0" w:space="0" w:color="auto"/>
      </w:divBdr>
    </w:div>
    <w:div w:id="196280489">
      <w:bodyDiv w:val="1"/>
      <w:marLeft w:val="0"/>
      <w:marRight w:val="0"/>
      <w:marTop w:val="0"/>
      <w:marBottom w:val="0"/>
      <w:divBdr>
        <w:top w:val="none" w:sz="0" w:space="0" w:color="auto"/>
        <w:left w:val="none" w:sz="0" w:space="0" w:color="auto"/>
        <w:bottom w:val="none" w:sz="0" w:space="0" w:color="auto"/>
        <w:right w:val="none" w:sz="0" w:space="0" w:color="auto"/>
      </w:divBdr>
    </w:div>
    <w:div w:id="338434518">
      <w:bodyDiv w:val="1"/>
      <w:marLeft w:val="0"/>
      <w:marRight w:val="0"/>
      <w:marTop w:val="0"/>
      <w:marBottom w:val="0"/>
      <w:divBdr>
        <w:top w:val="none" w:sz="0" w:space="0" w:color="auto"/>
        <w:left w:val="none" w:sz="0" w:space="0" w:color="auto"/>
        <w:bottom w:val="none" w:sz="0" w:space="0" w:color="auto"/>
        <w:right w:val="none" w:sz="0" w:space="0" w:color="auto"/>
      </w:divBdr>
    </w:div>
    <w:div w:id="457917518">
      <w:bodyDiv w:val="1"/>
      <w:marLeft w:val="0"/>
      <w:marRight w:val="0"/>
      <w:marTop w:val="0"/>
      <w:marBottom w:val="0"/>
      <w:divBdr>
        <w:top w:val="none" w:sz="0" w:space="0" w:color="auto"/>
        <w:left w:val="none" w:sz="0" w:space="0" w:color="auto"/>
        <w:bottom w:val="none" w:sz="0" w:space="0" w:color="auto"/>
        <w:right w:val="none" w:sz="0" w:space="0" w:color="auto"/>
      </w:divBdr>
      <w:divsChild>
        <w:div w:id="317734150">
          <w:marLeft w:val="0"/>
          <w:marRight w:val="0"/>
          <w:marTop w:val="0"/>
          <w:marBottom w:val="0"/>
          <w:divBdr>
            <w:top w:val="none" w:sz="0" w:space="0" w:color="auto"/>
            <w:left w:val="none" w:sz="0" w:space="0" w:color="auto"/>
            <w:bottom w:val="none" w:sz="0" w:space="0" w:color="auto"/>
            <w:right w:val="none" w:sz="0" w:space="0" w:color="auto"/>
          </w:divBdr>
          <w:divsChild>
            <w:div w:id="327095288">
              <w:marLeft w:val="0"/>
              <w:marRight w:val="0"/>
              <w:marTop w:val="0"/>
              <w:marBottom w:val="0"/>
              <w:divBdr>
                <w:top w:val="none" w:sz="0" w:space="0" w:color="auto"/>
                <w:left w:val="none" w:sz="0" w:space="0" w:color="auto"/>
                <w:bottom w:val="none" w:sz="0" w:space="0" w:color="auto"/>
                <w:right w:val="none" w:sz="0" w:space="0" w:color="auto"/>
              </w:divBdr>
              <w:divsChild>
                <w:div w:id="1614902771">
                  <w:marLeft w:val="0"/>
                  <w:marRight w:val="0"/>
                  <w:marTop w:val="0"/>
                  <w:marBottom w:val="0"/>
                  <w:divBdr>
                    <w:top w:val="none" w:sz="0" w:space="0" w:color="auto"/>
                    <w:left w:val="none" w:sz="0" w:space="0" w:color="auto"/>
                    <w:bottom w:val="none" w:sz="0" w:space="0" w:color="auto"/>
                    <w:right w:val="none" w:sz="0" w:space="0" w:color="auto"/>
                  </w:divBdr>
                  <w:divsChild>
                    <w:div w:id="28396912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 w:id="2142265932">
          <w:marLeft w:val="-900"/>
          <w:marRight w:val="-900"/>
          <w:marTop w:val="0"/>
          <w:marBottom w:val="0"/>
          <w:divBdr>
            <w:top w:val="none" w:sz="0" w:space="0" w:color="auto"/>
            <w:left w:val="none" w:sz="0" w:space="0" w:color="auto"/>
            <w:bottom w:val="none" w:sz="0" w:space="0" w:color="auto"/>
            <w:right w:val="none" w:sz="0" w:space="0" w:color="auto"/>
          </w:divBdr>
          <w:divsChild>
            <w:div w:id="941843233">
              <w:marLeft w:val="0"/>
              <w:marRight w:val="0"/>
              <w:marTop w:val="0"/>
              <w:marBottom w:val="0"/>
              <w:divBdr>
                <w:top w:val="none" w:sz="0" w:space="0" w:color="auto"/>
                <w:left w:val="none" w:sz="0" w:space="0" w:color="auto"/>
                <w:bottom w:val="none" w:sz="0" w:space="0" w:color="auto"/>
                <w:right w:val="none" w:sz="0" w:space="0" w:color="auto"/>
              </w:divBdr>
              <w:divsChild>
                <w:div w:id="942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5344">
      <w:bodyDiv w:val="1"/>
      <w:marLeft w:val="0"/>
      <w:marRight w:val="0"/>
      <w:marTop w:val="0"/>
      <w:marBottom w:val="0"/>
      <w:divBdr>
        <w:top w:val="none" w:sz="0" w:space="0" w:color="auto"/>
        <w:left w:val="none" w:sz="0" w:space="0" w:color="auto"/>
        <w:bottom w:val="none" w:sz="0" w:space="0" w:color="auto"/>
        <w:right w:val="none" w:sz="0" w:space="0" w:color="auto"/>
      </w:divBdr>
    </w:div>
    <w:div w:id="570694693">
      <w:bodyDiv w:val="1"/>
      <w:marLeft w:val="0"/>
      <w:marRight w:val="0"/>
      <w:marTop w:val="0"/>
      <w:marBottom w:val="0"/>
      <w:divBdr>
        <w:top w:val="none" w:sz="0" w:space="0" w:color="auto"/>
        <w:left w:val="none" w:sz="0" w:space="0" w:color="auto"/>
        <w:bottom w:val="none" w:sz="0" w:space="0" w:color="auto"/>
        <w:right w:val="none" w:sz="0" w:space="0" w:color="auto"/>
      </w:divBdr>
    </w:div>
    <w:div w:id="572129782">
      <w:bodyDiv w:val="1"/>
      <w:marLeft w:val="0"/>
      <w:marRight w:val="0"/>
      <w:marTop w:val="0"/>
      <w:marBottom w:val="0"/>
      <w:divBdr>
        <w:top w:val="none" w:sz="0" w:space="0" w:color="auto"/>
        <w:left w:val="none" w:sz="0" w:space="0" w:color="auto"/>
        <w:bottom w:val="none" w:sz="0" w:space="0" w:color="auto"/>
        <w:right w:val="none" w:sz="0" w:space="0" w:color="auto"/>
      </w:divBdr>
    </w:div>
    <w:div w:id="633412200">
      <w:bodyDiv w:val="1"/>
      <w:marLeft w:val="0"/>
      <w:marRight w:val="0"/>
      <w:marTop w:val="0"/>
      <w:marBottom w:val="0"/>
      <w:divBdr>
        <w:top w:val="none" w:sz="0" w:space="0" w:color="auto"/>
        <w:left w:val="none" w:sz="0" w:space="0" w:color="auto"/>
        <w:bottom w:val="none" w:sz="0" w:space="0" w:color="auto"/>
        <w:right w:val="none" w:sz="0" w:space="0" w:color="auto"/>
      </w:divBdr>
      <w:divsChild>
        <w:div w:id="182599085">
          <w:marLeft w:val="0"/>
          <w:marRight w:val="0"/>
          <w:marTop w:val="0"/>
          <w:marBottom w:val="0"/>
          <w:divBdr>
            <w:top w:val="none" w:sz="0" w:space="0" w:color="auto"/>
            <w:left w:val="none" w:sz="0" w:space="0" w:color="auto"/>
            <w:bottom w:val="none" w:sz="0" w:space="0" w:color="auto"/>
            <w:right w:val="none" w:sz="0" w:space="0" w:color="auto"/>
          </w:divBdr>
        </w:div>
        <w:div w:id="1193152766">
          <w:marLeft w:val="0"/>
          <w:marRight w:val="0"/>
          <w:marTop w:val="0"/>
          <w:marBottom w:val="0"/>
          <w:divBdr>
            <w:top w:val="none" w:sz="0" w:space="0" w:color="auto"/>
            <w:left w:val="none" w:sz="0" w:space="0" w:color="auto"/>
            <w:bottom w:val="none" w:sz="0" w:space="0" w:color="auto"/>
            <w:right w:val="none" w:sz="0" w:space="0" w:color="auto"/>
          </w:divBdr>
        </w:div>
        <w:div w:id="1682513896">
          <w:marLeft w:val="0"/>
          <w:marRight w:val="0"/>
          <w:marTop w:val="0"/>
          <w:marBottom w:val="0"/>
          <w:divBdr>
            <w:top w:val="none" w:sz="0" w:space="0" w:color="auto"/>
            <w:left w:val="none" w:sz="0" w:space="0" w:color="auto"/>
            <w:bottom w:val="none" w:sz="0" w:space="0" w:color="auto"/>
            <w:right w:val="none" w:sz="0" w:space="0" w:color="auto"/>
          </w:divBdr>
        </w:div>
      </w:divsChild>
    </w:div>
    <w:div w:id="675881754">
      <w:bodyDiv w:val="1"/>
      <w:marLeft w:val="0"/>
      <w:marRight w:val="0"/>
      <w:marTop w:val="0"/>
      <w:marBottom w:val="0"/>
      <w:divBdr>
        <w:top w:val="none" w:sz="0" w:space="0" w:color="auto"/>
        <w:left w:val="none" w:sz="0" w:space="0" w:color="auto"/>
        <w:bottom w:val="none" w:sz="0" w:space="0" w:color="auto"/>
        <w:right w:val="none" w:sz="0" w:space="0" w:color="auto"/>
      </w:divBdr>
    </w:div>
    <w:div w:id="799617220">
      <w:bodyDiv w:val="1"/>
      <w:marLeft w:val="0"/>
      <w:marRight w:val="0"/>
      <w:marTop w:val="0"/>
      <w:marBottom w:val="0"/>
      <w:divBdr>
        <w:top w:val="none" w:sz="0" w:space="0" w:color="auto"/>
        <w:left w:val="none" w:sz="0" w:space="0" w:color="auto"/>
        <w:bottom w:val="none" w:sz="0" w:space="0" w:color="auto"/>
        <w:right w:val="none" w:sz="0" w:space="0" w:color="auto"/>
      </w:divBdr>
    </w:div>
    <w:div w:id="948388835">
      <w:bodyDiv w:val="1"/>
      <w:marLeft w:val="0"/>
      <w:marRight w:val="0"/>
      <w:marTop w:val="0"/>
      <w:marBottom w:val="0"/>
      <w:divBdr>
        <w:top w:val="none" w:sz="0" w:space="0" w:color="auto"/>
        <w:left w:val="none" w:sz="0" w:space="0" w:color="auto"/>
        <w:bottom w:val="none" w:sz="0" w:space="0" w:color="auto"/>
        <w:right w:val="none" w:sz="0" w:space="0" w:color="auto"/>
      </w:divBdr>
    </w:div>
    <w:div w:id="967928582">
      <w:bodyDiv w:val="1"/>
      <w:marLeft w:val="0"/>
      <w:marRight w:val="0"/>
      <w:marTop w:val="0"/>
      <w:marBottom w:val="0"/>
      <w:divBdr>
        <w:top w:val="none" w:sz="0" w:space="0" w:color="auto"/>
        <w:left w:val="none" w:sz="0" w:space="0" w:color="auto"/>
        <w:bottom w:val="none" w:sz="0" w:space="0" w:color="auto"/>
        <w:right w:val="none" w:sz="0" w:space="0" w:color="auto"/>
      </w:divBdr>
    </w:div>
    <w:div w:id="990989622">
      <w:bodyDiv w:val="1"/>
      <w:marLeft w:val="0"/>
      <w:marRight w:val="0"/>
      <w:marTop w:val="0"/>
      <w:marBottom w:val="0"/>
      <w:divBdr>
        <w:top w:val="none" w:sz="0" w:space="0" w:color="auto"/>
        <w:left w:val="none" w:sz="0" w:space="0" w:color="auto"/>
        <w:bottom w:val="none" w:sz="0" w:space="0" w:color="auto"/>
        <w:right w:val="none" w:sz="0" w:space="0" w:color="auto"/>
      </w:divBdr>
    </w:div>
    <w:div w:id="1100377128">
      <w:bodyDiv w:val="1"/>
      <w:marLeft w:val="0"/>
      <w:marRight w:val="0"/>
      <w:marTop w:val="0"/>
      <w:marBottom w:val="0"/>
      <w:divBdr>
        <w:top w:val="none" w:sz="0" w:space="0" w:color="auto"/>
        <w:left w:val="none" w:sz="0" w:space="0" w:color="auto"/>
        <w:bottom w:val="none" w:sz="0" w:space="0" w:color="auto"/>
        <w:right w:val="none" w:sz="0" w:space="0" w:color="auto"/>
      </w:divBdr>
    </w:div>
    <w:div w:id="1102648282">
      <w:bodyDiv w:val="1"/>
      <w:marLeft w:val="0"/>
      <w:marRight w:val="0"/>
      <w:marTop w:val="0"/>
      <w:marBottom w:val="0"/>
      <w:divBdr>
        <w:top w:val="none" w:sz="0" w:space="0" w:color="auto"/>
        <w:left w:val="none" w:sz="0" w:space="0" w:color="auto"/>
        <w:bottom w:val="none" w:sz="0" w:space="0" w:color="auto"/>
        <w:right w:val="none" w:sz="0" w:space="0" w:color="auto"/>
      </w:divBdr>
    </w:div>
    <w:div w:id="1140998796">
      <w:bodyDiv w:val="1"/>
      <w:marLeft w:val="0"/>
      <w:marRight w:val="0"/>
      <w:marTop w:val="0"/>
      <w:marBottom w:val="0"/>
      <w:divBdr>
        <w:top w:val="none" w:sz="0" w:space="0" w:color="auto"/>
        <w:left w:val="none" w:sz="0" w:space="0" w:color="auto"/>
        <w:bottom w:val="none" w:sz="0" w:space="0" w:color="auto"/>
        <w:right w:val="none" w:sz="0" w:space="0" w:color="auto"/>
      </w:divBdr>
    </w:div>
    <w:div w:id="1191144930">
      <w:bodyDiv w:val="1"/>
      <w:marLeft w:val="0"/>
      <w:marRight w:val="0"/>
      <w:marTop w:val="0"/>
      <w:marBottom w:val="0"/>
      <w:divBdr>
        <w:top w:val="none" w:sz="0" w:space="0" w:color="auto"/>
        <w:left w:val="none" w:sz="0" w:space="0" w:color="auto"/>
        <w:bottom w:val="none" w:sz="0" w:space="0" w:color="auto"/>
        <w:right w:val="none" w:sz="0" w:space="0" w:color="auto"/>
      </w:divBdr>
    </w:div>
    <w:div w:id="1194075327">
      <w:bodyDiv w:val="1"/>
      <w:marLeft w:val="0"/>
      <w:marRight w:val="0"/>
      <w:marTop w:val="0"/>
      <w:marBottom w:val="0"/>
      <w:divBdr>
        <w:top w:val="none" w:sz="0" w:space="0" w:color="auto"/>
        <w:left w:val="none" w:sz="0" w:space="0" w:color="auto"/>
        <w:bottom w:val="none" w:sz="0" w:space="0" w:color="auto"/>
        <w:right w:val="none" w:sz="0" w:space="0" w:color="auto"/>
      </w:divBdr>
      <w:divsChild>
        <w:div w:id="2001960457">
          <w:marLeft w:val="0"/>
          <w:marRight w:val="0"/>
          <w:marTop w:val="0"/>
          <w:marBottom w:val="0"/>
          <w:divBdr>
            <w:top w:val="none" w:sz="0" w:space="0" w:color="auto"/>
            <w:left w:val="none" w:sz="0" w:space="0" w:color="auto"/>
            <w:bottom w:val="none" w:sz="0" w:space="0" w:color="auto"/>
            <w:right w:val="none" w:sz="0" w:space="0" w:color="auto"/>
          </w:divBdr>
        </w:div>
      </w:divsChild>
    </w:div>
    <w:div w:id="1227374761">
      <w:bodyDiv w:val="1"/>
      <w:marLeft w:val="0"/>
      <w:marRight w:val="0"/>
      <w:marTop w:val="0"/>
      <w:marBottom w:val="0"/>
      <w:divBdr>
        <w:top w:val="none" w:sz="0" w:space="0" w:color="auto"/>
        <w:left w:val="none" w:sz="0" w:space="0" w:color="auto"/>
        <w:bottom w:val="none" w:sz="0" w:space="0" w:color="auto"/>
        <w:right w:val="none" w:sz="0" w:space="0" w:color="auto"/>
      </w:divBdr>
      <w:divsChild>
        <w:div w:id="91126367">
          <w:marLeft w:val="0"/>
          <w:marRight w:val="0"/>
          <w:marTop w:val="0"/>
          <w:marBottom w:val="0"/>
          <w:divBdr>
            <w:top w:val="none" w:sz="0" w:space="0" w:color="auto"/>
            <w:left w:val="none" w:sz="0" w:space="0" w:color="auto"/>
            <w:bottom w:val="none" w:sz="0" w:space="0" w:color="auto"/>
            <w:right w:val="none" w:sz="0" w:space="0" w:color="auto"/>
          </w:divBdr>
        </w:div>
      </w:divsChild>
    </w:div>
    <w:div w:id="1315376874">
      <w:bodyDiv w:val="1"/>
      <w:marLeft w:val="0"/>
      <w:marRight w:val="0"/>
      <w:marTop w:val="0"/>
      <w:marBottom w:val="0"/>
      <w:divBdr>
        <w:top w:val="none" w:sz="0" w:space="0" w:color="auto"/>
        <w:left w:val="none" w:sz="0" w:space="0" w:color="auto"/>
        <w:bottom w:val="none" w:sz="0" w:space="0" w:color="auto"/>
        <w:right w:val="none" w:sz="0" w:space="0" w:color="auto"/>
      </w:divBdr>
    </w:div>
    <w:div w:id="1365011743">
      <w:bodyDiv w:val="1"/>
      <w:marLeft w:val="0"/>
      <w:marRight w:val="0"/>
      <w:marTop w:val="0"/>
      <w:marBottom w:val="0"/>
      <w:divBdr>
        <w:top w:val="none" w:sz="0" w:space="0" w:color="auto"/>
        <w:left w:val="none" w:sz="0" w:space="0" w:color="auto"/>
        <w:bottom w:val="none" w:sz="0" w:space="0" w:color="auto"/>
        <w:right w:val="none" w:sz="0" w:space="0" w:color="auto"/>
      </w:divBdr>
      <w:divsChild>
        <w:div w:id="118886678">
          <w:marLeft w:val="0"/>
          <w:marRight w:val="0"/>
          <w:marTop w:val="0"/>
          <w:marBottom w:val="0"/>
          <w:divBdr>
            <w:top w:val="none" w:sz="0" w:space="0" w:color="auto"/>
            <w:left w:val="none" w:sz="0" w:space="0" w:color="auto"/>
            <w:bottom w:val="none" w:sz="0" w:space="0" w:color="auto"/>
            <w:right w:val="none" w:sz="0" w:space="0" w:color="auto"/>
          </w:divBdr>
        </w:div>
        <w:div w:id="914709101">
          <w:marLeft w:val="0"/>
          <w:marRight w:val="0"/>
          <w:marTop w:val="0"/>
          <w:marBottom w:val="0"/>
          <w:divBdr>
            <w:top w:val="none" w:sz="0" w:space="0" w:color="auto"/>
            <w:left w:val="none" w:sz="0" w:space="0" w:color="auto"/>
            <w:bottom w:val="none" w:sz="0" w:space="0" w:color="auto"/>
            <w:right w:val="none" w:sz="0" w:space="0" w:color="auto"/>
          </w:divBdr>
        </w:div>
        <w:div w:id="930623734">
          <w:marLeft w:val="0"/>
          <w:marRight w:val="0"/>
          <w:marTop w:val="0"/>
          <w:marBottom w:val="0"/>
          <w:divBdr>
            <w:top w:val="none" w:sz="0" w:space="0" w:color="auto"/>
            <w:left w:val="none" w:sz="0" w:space="0" w:color="auto"/>
            <w:bottom w:val="none" w:sz="0" w:space="0" w:color="auto"/>
            <w:right w:val="none" w:sz="0" w:space="0" w:color="auto"/>
          </w:divBdr>
        </w:div>
        <w:div w:id="1505709168">
          <w:marLeft w:val="0"/>
          <w:marRight w:val="0"/>
          <w:marTop w:val="0"/>
          <w:marBottom w:val="0"/>
          <w:divBdr>
            <w:top w:val="none" w:sz="0" w:space="0" w:color="auto"/>
            <w:left w:val="none" w:sz="0" w:space="0" w:color="auto"/>
            <w:bottom w:val="none" w:sz="0" w:space="0" w:color="auto"/>
            <w:right w:val="none" w:sz="0" w:space="0" w:color="auto"/>
          </w:divBdr>
        </w:div>
        <w:div w:id="1926719560">
          <w:marLeft w:val="0"/>
          <w:marRight w:val="0"/>
          <w:marTop w:val="0"/>
          <w:marBottom w:val="0"/>
          <w:divBdr>
            <w:top w:val="none" w:sz="0" w:space="0" w:color="auto"/>
            <w:left w:val="none" w:sz="0" w:space="0" w:color="auto"/>
            <w:bottom w:val="none" w:sz="0" w:space="0" w:color="auto"/>
            <w:right w:val="none" w:sz="0" w:space="0" w:color="auto"/>
          </w:divBdr>
        </w:div>
        <w:div w:id="1997220203">
          <w:marLeft w:val="0"/>
          <w:marRight w:val="0"/>
          <w:marTop w:val="0"/>
          <w:marBottom w:val="0"/>
          <w:divBdr>
            <w:top w:val="none" w:sz="0" w:space="0" w:color="auto"/>
            <w:left w:val="none" w:sz="0" w:space="0" w:color="auto"/>
            <w:bottom w:val="none" w:sz="0" w:space="0" w:color="auto"/>
            <w:right w:val="none" w:sz="0" w:space="0" w:color="auto"/>
          </w:divBdr>
        </w:div>
        <w:div w:id="2127113102">
          <w:marLeft w:val="0"/>
          <w:marRight w:val="0"/>
          <w:marTop w:val="0"/>
          <w:marBottom w:val="0"/>
          <w:divBdr>
            <w:top w:val="none" w:sz="0" w:space="0" w:color="auto"/>
            <w:left w:val="none" w:sz="0" w:space="0" w:color="auto"/>
            <w:bottom w:val="none" w:sz="0" w:space="0" w:color="auto"/>
            <w:right w:val="none" w:sz="0" w:space="0" w:color="auto"/>
          </w:divBdr>
        </w:div>
      </w:divsChild>
    </w:div>
    <w:div w:id="1428623428">
      <w:bodyDiv w:val="1"/>
      <w:marLeft w:val="0"/>
      <w:marRight w:val="0"/>
      <w:marTop w:val="0"/>
      <w:marBottom w:val="0"/>
      <w:divBdr>
        <w:top w:val="none" w:sz="0" w:space="0" w:color="auto"/>
        <w:left w:val="none" w:sz="0" w:space="0" w:color="auto"/>
        <w:bottom w:val="none" w:sz="0" w:space="0" w:color="auto"/>
        <w:right w:val="none" w:sz="0" w:space="0" w:color="auto"/>
      </w:divBdr>
      <w:divsChild>
        <w:div w:id="449520811">
          <w:marLeft w:val="0"/>
          <w:marRight w:val="0"/>
          <w:marTop w:val="0"/>
          <w:marBottom w:val="0"/>
          <w:divBdr>
            <w:top w:val="none" w:sz="0" w:space="0" w:color="auto"/>
            <w:left w:val="none" w:sz="0" w:space="0" w:color="auto"/>
            <w:bottom w:val="none" w:sz="0" w:space="0" w:color="auto"/>
            <w:right w:val="none" w:sz="0" w:space="0" w:color="auto"/>
          </w:divBdr>
        </w:div>
      </w:divsChild>
    </w:div>
    <w:div w:id="1483884115">
      <w:bodyDiv w:val="1"/>
      <w:marLeft w:val="0"/>
      <w:marRight w:val="0"/>
      <w:marTop w:val="0"/>
      <w:marBottom w:val="0"/>
      <w:divBdr>
        <w:top w:val="none" w:sz="0" w:space="0" w:color="auto"/>
        <w:left w:val="none" w:sz="0" w:space="0" w:color="auto"/>
        <w:bottom w:val="none" w:sz="0" w:space="0" w:color="auto"/>
        <w:right w:val="none" w:sz="0" w:space="0" w:color="auto"/>
      </w:divBdr>
    </w:div>
    <w:div w:id="1531993881">
      <w:bodyDiv w:val="1"/>
      <w:marLeft w:val="0"/>
      <w:marRight w:val="0"/>
      <w:marTop w:val="0"/>
      <w:marBottom w:val="0"/>
      <w:divBdr>
        <w:top w:val="none" w:sz="0" w:space="0" w:color="auto"/>
        <w:left w:val="none" w:sz="0" w:space="0" w:color="auto"/>
        <w:bottom w:val="none" w:sz="0" w:space="0" w:color="auto"/>
        <w:right w:val="none" w:sz="0" w:space="0" w:color="auto"/>
      </w:divBdr>
    </w:div>
    <w:div w:id="1538196916">
      <w:bodyDiv w:val="1"/>
      <w:marLeft w:val="0"/>
      <w:marRight w:val="0"/>
      <w:marTop w:val="0"/>
      <w:marBottom w:val="0"/>
      <w:divBdr>
        <w:top w:val="none" w:sz="0" w:space="0" w:color="auto"/>
        <w:left w:val="none" w:sz="0" w:space="0" w:color="auto"/>
        <w:bottom w:val="none" w:sz="0" w:space="0" w:color="auto"/>
        <w:right w:val="none" w:sz="0" w:space="0" w:color="auto"/>
      </w:divBdr>
    </w:div>
    <w:div w:id="1660649373">
      <w:bodyDiv w:val="1"/>
      <w:marLeft w:val="0"/>
      <w:marRight w:val="0"/>
      <w:marTop w:val="0"/>
      <w:marBottom w:val="0"/>
      <w:divBdr>
        <w:top w:val="none" w:sz="0" w:space="0" w:color="auto"/>
        <w:left w:val="none" w:sz="0" w:space="0" w:color="auto"/>
        <w:bottom w:val="none" w:sz="0" w:space="0" w:color="auto"/>
        <w:right w:val="none" w:sz="0" w:space="0" w:color="auto"/>
      </w:divBdr>
    </w:div>
    <w:div w:id="1667632161">
      <w:bodyDiv w:val="1"/>
      <w:marLeft w:val="0"/>
      <w:marRight w:val="0"/>
      <w:marTop w:val="0"/>
      <w:marBottom w:val="0"/>
      <w:divBdr>
        <w:top w:val="none" w:sz="0" w:space="0" w:color="auto"/>
        <w:left w:val="none" w:sz="0" w:space="0" w:color="auto"/>
        <w:bottom w:val="none" w:sz="0" w:space="0" w:color="auto"/>
        <w:right w:val="none" w:sz="0" w:space="0" w:color="auto"/>
      </w:divBdr>
    </w:div>
    <w:div w:id="1744139595">
      <w:bodyDiv w:val="1"/>
      <w:marLeft w:val="0"/>
      <w:marRight w:val="0"/>
      <w:marTop w:val="0"/>
      <w:marBottom w:val="0"/>
      <w:divBdr>
        <w:top w:val="none" w:sz="0" w:space="0" w:color="auto"/>
        <w:left w:val="none" w:sz="0" w:space="0" w:color="auto"/>
        <w:bottom w:val="none" w:sz="0" w:space="0" w:color="auto"/>
        <w:right w:val="none" w:sz="0" w:space="0" w:color="auto"/>
      </w:divBdr>
    </w:div>
    <w:div w:id="1803229328">
      <w:bodyDiv w:val="1"/>
      <w:marLeft w:val="0"/>
      <w:marRight w:val="0"/>
      <w:marTop w:val="0"/>
      <w:marBottom w:val="0"/>
      <w:divBdr>
        <w:top w:val="none" w:sz="0" w:space="0" w:color="auto"/>
        <w:left w:val="none" w:sz="0" w:space="0" w:color="auto"/>
        <w:bottom w:val="none" w:sz="0" w:space="0" w:color="auto"/>
        <w:right w:val="none" w:sz="0" w:space="0" w:color="auto"/>
      </w:divBdr>
    </w:div>
    <w:div w:id="1819111975">
      <w:bodyDiv w:val="1"/>
      <w:marLeft w:val="0"/>
      <w:marRight w:val="0"/>
      <w:marTop w:val="0"/>
      <w:marBottom w:val="0"/>
      <w:divBdr>
        <w:top w:val="none" w:sz="0" w:space="0" w:color="auto"/>
        <w:left w:val="none" w:sz="0" w:space="0" w:color="auto"/>
        <w:bottom w:val="none" w:sz="0" w:space="0" w:color="auto"/>
        <w:right w:val="none" w:sz="0" w:space="0" w:color="auto"/>
      </w:divBdr>
    </w:div>
    <w:div w:id="1915124987">
      <w:bodyDiv w:val="1"/>
      <w:marLeft w:val="0"/>
      <w:marRight w:val="0"/>
      <w:marTop w:val="0"/>
      <w:marBottom w:val="0"/>
      <w:divBdr>
        <w:top w:val="none" w:sz="0" w:space="0" w:color="auto"/>
        <w:left w:val="none" w:sz="0" w:space="0" w:color="auto"/>
        <w:bottom w:val="none" w:sz="0" w:space="0" w:color="auto"/>
        <w:right w:val="none" w:sz="0" w:space="0" w:color="auto"/>
      </w:divBdr>
    </w:div>
    <w:div w:id="1930112358">
      <w:bodyDiv w:val="1"/>
      <w:marLeft w:val="0"/>
      <w:marRight w:val="0"/>
      <w:marTop w:val="0"/>
      <w:marBottom w:val="0"/>
      <w:divBdr>
        <w:top w:val="none" w:sz="0" w:space="0" w:color="auto"/>
        <w:left w:val="none" w:sz="0" w:space="0" w:color="auto"/>
        <w:bottom w:val="none" w:sz="0" w:space="0" w:color="auto"/>
        <w:right w:val="none" w:sz="0" w:space="0" w:color="auto"/>
      </w:divBdr>
    </w:div>
    <w:div w:id="1952667473">
      <w:bodyDiv w:val="1"/>
      <w:marLeft w:val="0"/>
      <w:marRight w:val="0"/>
      <w:marTop w:val="0"/>
      <w:marBottom w:val="0"/>
      <w:divBdr>
        <w:top w:val="none" w:sz="0" w:space="0" w:color="auto"/>
        <w:left w:val="none" w:sz="0" w:space="0" w:color="auto"/>
        <w:bottom w:val="none" w:sz="0" w:space="0" w:color="auto"/>
        <w:right w:val="none" w:sz="0" w:space="0" w:color="auto"/>
      </w:divBdr>
    </w:div>
    <w:div w:id="205969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wc.org/pdf/greenbuilding/epd/AWC_EPD_NorthAmericanGluedLaminatedTimber_20200605.pdf"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github.com/UpStream-LCA/UpStreamForestryCarbonLCA" TargetMode="External"/><Relationship Id="rId26" Type="http://schemas.openxmlformats.org/officeDocument/2006/relationships/chart" Target="charts/chart1.xml"/><Relationship Id="rId21" Type="http://schemas.openxmlformats.org/officeDocument/2006/relationships/image" Target="media/image3.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nam10.safelinks.protection.outlook.com/?url=https%3A%2F%2Fwww.arup.com%2Fperspectives%2Fpublications%2Fresearch%2Fsection%2Fforestry-embodied-carbon-methodology&amp;data=04%7C01%7Cjacob.dunn%40zgf.com%7Cf59abd26c7c6458854d508d9590372d5%7C9515471981f140739ca6f8adfbbb57b5%7C0%7C0%7C637638693656382590%7CUnknown%7CTWFpbGZsb3d8eyJWIjoiMC4wLjAwMDAiLCJQIjoiV2luMzIiLCJBTiI6Ik1haWwiLCJXVCI6Mn0%3D%7C1000&amp;sdata=FJD0VvW8zDRNMWQ54mzAtGiWq7TmRxgQMEdIPqyBF%2Bw%3D&amp;reserved=0"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pStream-LCA/UpStreamForestryCarbonLCA" TargetMode="External"/><Relationship Id="rId20" Type="http://schemas.openxmlformats.org/officeDocument/2006/relationships/customXml" Target="ink/ink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191b368dd5b545c6"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https://zgf.sharepoint.com/sites/SEA-AppliedResearchConsortium/Shared%20Documents/General/21_07_01_UPstream_Draft_w_CustomEO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'EOL Factors'!$K$72</c:f>
              <c:strCache>
                <c:ptCount val="1"/>
                <c:pt idx="0">
                  <c:v>C2-4 - Non Biogenic Emissions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'EOL Factors'!$J$73:$J$77</c:f>
              <c:strCache>
                <c:ptCount val="5"/>
                <c:pt idx="0">
                  <c:v>CO2 emissions</c:v>
                </c:pt>
                <c:pt idx="1">
                  <c:v>CH4 emissions</c:v>
                </c:pt>
                <c:pt idx="2">
                  <c:v>elec credit (CO2 fossil)</c:v>
                </c:pt>
                <c:pt idx="3">
                  <c:v>thermal energy credit</c:v>
                </c:pt>
                <c:pt idx="4">
                  <c:v>Total</c:v>
                </c:pt>
              </c:strCache>
            </c:strRef>
          </c:cat>
          <c:val>
            <c:numRef>
              <c:f>'EOL Factors'!$K$73:$K$77</c:f>
              <c:numCache>
                <c:formatCode>0.0</c:formatCode>
                <c:ptCount val="5"/>
                <c:pt idx="0">
                  <c:v>13.031112012299999</c:v>
                </c:pt>
                <c:pt idx="1">
                  <c:v>282.34076026650001</c:v>
                </c:pt>
              </c:numCache>
            </c:numRef>
          </c:val>
          <c:extLst>
            <c:ext xmlns:c16="http://schemas.microsoft.com/office/drawing/2014/chart" uri="{C3380CC4-5D6E-409C-BE32-E72D297353CC}">
              <c16:uniqueId val="{00000000-91A1-46BC-91B6-C2B197759129}"/>
            </c:ext>
          </c:extLst>
        </c:ser>
        <c:ser>
          <c:idx val="1"/>
          <c:order val="1"/>
          <c:tx>
            <c:strRef>
              <c:f>'EOL Factors'!$L$72</c:f>
              <c:strCache>
                <c:ptCount val="1"/>
                <c:pt idx="0">
                  <c:v>C2-4 biogenic emissions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'EOL Factors'!$J$73:$J$77</c:f>
              <c:strCache>
                <c:ptCount val="5"/>
                <c:pt idx="0">
                  <c:v>CO2 emissions</c:v>
                </c:pt>
                <c:pt idx="1">
                  <c:v>CH4 emissions</c:v>
                </c:pt>
                <c:pt idx="2">
                  <c:v>elec credit (CO2 fossil)</c:v>
                </c:pt>
                <c:pt idx="3">
                  <c:v>thermal energy credit</c:v>
                </c:pt>
                <c:pt idx="4">
                  <c:v>Total</c:v>
                </c:pt>
              </c:strCache>
            </c:strRef>
          </c:cat>
          <c:val>
            <c:numRef>
              <c:f>'EOL Factors'!$L$73:$L$77</c:f>
              <c:numCache>
                <c:formatCode>General</c:formatCode>
                <c:ptCount val="5"/>
                <c:pt idx="0" formatCode="0.0">
                  <c:v>95.561488090200001</c:v>
                </c:pt>
              </c:numCache>
            </c:numRef>
          </c:val>
          <c:extLst>
            <c:ext xmlns:c16="http://schemas.microsoft.com/office/drawing/2014/chart" uri="{C3380CC4-5D6E-409C-BE32-E72D297353CC}">
              <c16:uniqueId val="{00000001-91A1-46BC-91B6-C2B197759129}"/>
            </c:ext>
          </c:extLst>
        </c:ser>
        <c:ser>
          <c:idx val="2"/>
          <c:order val="2"/>
          <c:tx>
            <c:strRef>
              <c:f>'EOL Factors'!$M$72</c:f>
              <c:strCache>
                <c:ptCount val="1"/>
                <c:pt idx="0">
                  <c:v>Module D</c:v>
                </c:pt>
              </c:strCache>
            </c:strRef>
          </c:tx>
          <c:spPr>
            <a:solidFill>
              <a:schemeClr val="accent3"/>
            </a:solidFill>
            <a:ln>
              <a:noFill/>
            </a:ln>
            <a:effectLst/>
          </c:spPr>
          <c:invertIfNegative val="0"/>
          <c:dLbls>
            <c:dLbl>
              <c:idx val="2"/>
              <c:layout>
                <c:manualLayout>
                  <c:x val="-8.4331230939501076E-17"/>
                  <c:y val="0.1232909160806303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A1-46BC-91B6-C2B197759129}"/>
                </c:ext>
              </c:extLst>
            </c:dLbl>
            <c:dLbl>
              <c:idx val="3"/>
              <c:layout>
                <c:manualLayout>
                  <c:x val="-8.4331230939501076E-17"/>
                  <c:y val="9.452303566181657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1A1-46BC-91B6-C2B19775912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'EOL Factors'!$J$73:$J$77</c:f>
              <c:strCache>
                <c:ptCount val="5"/>
                <c:pt idx="0">
                  <c:v>CO2 emissions</c:v>
                </c:pt>
                <c:pt idx="1">
                  <c:v>CH4 emissions</c:v>
                </c:pt>
                <c:pt idx="2">
                  <c:v>elec credit (CO2 fossil)</c:v>
                </c:pt>
                <c:pt idx="3">
                  <c:v>thermal energy credit</c:v>
                </c:pt>
                <c:pt idx="4">
                  <c:v>Total</c:v>
                </c:pt>
              </c:strCache>
            </c:strRef>
          </c:cat>
          <c:val>
            <c:numRef>
              <c:f>'EOL Factors'!$M$73:$M$77</c:f>
              <c:numCache>
                <c:formatCode>General</c:formatCode>
                <c:ptCount val="5"/>
                <c:pt idx="2" formatCode="0.0">
                  <c:v>-17.374816016400001</c:v>
                </c:pt>
                <c:pt idx="3" formatCode="0.0">
                  <c:v>-4.3437040041000001</c:v>
                </c:pt>
              </c:numCache>
            </c:numRef>
          </c:val>
          <c:extLst>
            <c:ext xmlns:c16="http://schemas.microsoft.com/office/drawing/2014/chart" uri="{C3380CC4-5D6E-409C-BE32-E72D297353CC}">
              <c16:uniqueId val="{00000004-91A1-46BC-91B6-C2B197759129}"/>
            </c:ext>
          </c:extLst>
        </c:ser>
        <c:ser>
          <c:idx val="3"/>
          <c:order val="3"/>
          <c:tx>
            <c:strRef>
              <c:f>'EOL Factors'!$N$72</c:f>
              <c:strCache>
                <c:ptCount val="1"/>
                <c:pt idx="0">
                  <c:v>Net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'EOL Factors'!$J$73:$J$77</c:f>
              <c:strCache>
                <c:ptCount val="5"/>
                <c:pt idx="0">
                  <c:v>CO2 emissions</c:v>
                </c:pt>
                <c:pt idx="1">
                  <c:v>CH4 emissions</c:v>
                </c:pt>
                <c:pt idx="2">
                  <c:v>elec credit (CO2 fossil)</c:v>
                </c:pt>
                <c:pt idx="3">
                  <c:v>thermal energy credit</c:v>
                </c:pt>
                <c:pt idx="4">
                  <c:v>Total</c:v>
                </c:pt>
              </c:strCache>
            </c:strRef>
          </c:cat>
          <c:val>
            <c:numRef>
              <c:f>'EOL Factors'!$N$73:$N$77</c:f>
              <c:numCache>
                <c:formatCode>General</c:formatCode>
                <c:ptCount val="5"/>
                <c:pt idx="4" formatCode="0.0">
                  <c:v>369.21484034849999</c:v>
                </c:pt>
              </c:numCache>
            </c:numRef>
          </c:val>
          <c:extLst>
            <c:ext xmlns:c16="http://schemas.microsoft.com/office/drawing/2014/chart" uri="{C3380CC4-5D6E-409C-BE32-E72D297353CC}">
              <c16:uniqueId val="{00000005-91A1-46BC-91B6-C2B197759129}"/>
            </c:ext>
          </c:extLst>
        </c:ser>
        <c:dLbls>
          <c:dLblPos val="outEnd"/>
          <c:showLegendKey val="0"/>
          <c:showVal val="1"/>
          <c:showCatName val="0"/>
          <c:showSerName val="0"/>
          <c:showPercent val="0"/>
          <c:showBubbleSize val="0"/>
        </c:dLbls>
        <c:gapWidth val="219"/>
        <c:overlap val="-27"/>
        <c:axId val="1203920823"/>
        <c:axId val="1985975016"/>
      </c:barChart>
      <c:catAx>
        <c:axId val="12039208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975016"/>
        <c:crosses val="autoZero"/>
        <c:auto val="1"/>
        <c:lblAlgn val="ctr"/>
        <c:lblOffset val="100"/>
        <c:noMultiLvlLbl val="0"/>
      </c:catAx>
      <c:valAx>
        <c:axId val="198597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kgCO2e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920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50586DF02B45C2A05660DEFA33BB66"/>
        <w:category>
          <w:name w:val="General"/>
          <w:gallery w:val="placeholder"/>
        </w:category>
        <w:types>
          <w:type w:val="bbPlcHdr"/>
        </w:types>
        <w:behaviors>
          <w:behavior w:val="content"/>
        </w:behaviors>
        <w:guid w:val="{2178F605-D1F2-47A1-9F78-82A3C9AD7EA6}"/>
      </w:docPartPr>
      <w:docPartBody>
        <w:p w:rsidR="004F3F3B" w:rsidRDefault="004F3F3B"/>
      </w:docPartBody>
    </w:docPart>
    <w:docPart>
      <w:docPartPr>
        <w:name w:val="8F77EC42395344A6A195D5DBF2021974"/>
        <w:category>
          <w:name w:val="General"/>
          <w:gallery w:val="placeholder"/>
        </w:category>
        <w:types>
          <w:type w:val="bbPlcHdr"/>
        </w:types>
        <w:behaviors>
          <w:behavior w:val="content"/>
        </w:behaviors>
        <w:guid w:val="{15A810CC-1EEA-4F99-B3BE-8FFA943C2BE5}"/>
      </w:docPartPr>
      <w:docPartBody>
        <w:p w:rsidR="004F3F3B" w:rsidRDefault="004F3F3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3B"/>
    <w:rsid w:val="000E5065"/>
    <w:rsid w:val="000F3AC7"/>
    <w:rsid w:val="002148A7"/>
    <w:rsid w:val="004F3F3B"/>
    <w:rsid w:val="006825CB"/>
    <w:rsid w:val="007D6953"/>
    <w:rsid w:val="009E14B8"/>
    <w:rsid w:val="00B1419D"/>
    <w:rsid w:val="00C75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ABCDE926D541E9A42E75235F5DA3DE">
    <w:name w:val="B2ABCDE926D541E9A42E75235F5DA3DE"/>
    <w:rsid w:val="000F3AC7"/>
  </w:style>
  <w:style w:type="paragraph" w:customStyle="1" w:styleId="8A4E0C2A0DA54CC3B7F360DB87E60C4C">
    <w:name w:val="8A4E0C2A0DA54CC3B7F360DB87E60C4C"/>
    <w:rsid w:val="000F3AC7"/>
  </w:style>
  <w:style w:type="paragraph" w:customStyle="1" w:styleId="1AF8BFDCB6F840FDA3DB5AD096545113">
    <w:name w:val="1AF8BFDCB6F840FDA3DB5AD096545113"/>
    <w:rsid w:val="000F3AC7"/>
  </w:style>
  <w:style w:type="paragraph" w:customStyle="1" w:styleId="EC8402E746AD427488ADCA6574B390E9">
    <w:name w:val="EC8402E746AD427488ADCA6574B390E9"/>
    <w:rsid w:val="000F3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6T22:43:29.113"/>
    </inkml:context>
    <inkml:brush xml:id="br0">
      <inkml:brushProperty name="width" value="0.05" units="cm"/>
      <inkml:brushProperty name="height" value="0.05" units="cm"/>
      <inkml:brushProperty name="color" value="#333333"/>
    </inkml:brush>
  </inkml:definitions>
  <inkml:trace contextRef="#ctx0" brushRef="#br0">0 1732 2720,'0'0'891,"4"-2"-545,36-16 799,-13 6-273,-1-1 0,27-18-1,180-145 308,74-55-577,-192 153 33,-80 56-463,40-26 157,42-48 271,-54 41-346,80-75 647,-135 122-693,-8 8-206,0 0 0,0 0-1,0 0 1,0 0-1,0 0 1,0 0 0,0 1-1,0-1 1,0 0-1,0 0 1,0 0 0,0 0-1,0 0 1,0 0-1,0 0 1,0 0 0,0 0-1,0 0 1,0 0-1,0 0 1,0 0 0,0 0-1,0 0 1,0 0-1,0 0 1,1 0 0,-1 0-1,0 0 1,0 0-1,0 0 1,0 0 0,0 0-1,0 0 1,0 0-1,0 1 1,0-1 0,0 0-1,0 0 1,0 0-1,0 0 1,0 0 0,0 0-1,0 0 1,0 0-1,0 0 1,0 0 0,0 0-1,0 0 1,0 0-1,0 0 1,0 0 0,1 0-1,-1 0 1,0 0-1,0 0 1,0 0 0,0-1-1,-10 20 34,-2-1-23,-1 1 1,0-2-1,-25 26 1,19-24 6,-173 184-237,152-164 152,-42 44-71,-86 118-241,87-101 265,-48 63 17,-137 153-42,247-296 66,-25 32 0,39-45 44,0 1-98,15-7-147,-6-1 174,0 0 0,0 0 0,0-1-1,0 0 1,0 0 0,0 0 0,0 0 0,0-1 0,3-1 0,2-2-109,-1 0-1,0-1 1,11-10 0,179-166-1120,-177 163 1291,34-34 31,26-42 252,-57 68-166,26-32 229,63-116 1273,-33 47-337,-69 111-1091,34-54 396,12-55 549,-38 82-854,51-174 331,-56 167-486,46-142-36,-13 32-84,-32 106 28,16-47 34,-13-1 112,0 17 80,-12 16 362,-4 53-436,-1 13-104,-1 0 0,1 0 0,-1 0 0,0 0 0,0-4 0,0 7-30,-1 0 0,1 0 0,0 0 0,0 0 0,-1 0 0,1 1 0,-1-1 0,1 0 1,-1 0-1,1 0 0,-1 1 0,1-1 0,-1 0 0,0 1 0,1-1 0,-1 0 0,0 1 0,0-1 0,1 1 0,-1-1 0,0 1 0,0 0 0,0-1 0,-1 0 0,1 1-7,0 0-1,0 0 1,0 0 0,0 0-1,0 0 1,0 0 0,0 0-1,0 0 1,0 0 0,0 0-1,1 0 1,-1 0 0,0 1-1,0-1 1,0 0 0,0 1-1,0-1 1,0 1 0,1-1-1,-1 1 1,0-1 0,0 1-1,0 0 1,-28 21-43,1 1 1,1 1-1,1 1 1,1 1-1,1 1 1,-24 37-1,-108 208-642,155-271 675,-215 460-1199,154-310 960,53-130 213,-21 50-48,-26 91 1,8 31 186,42-159-126,2 0 0,1 1 0,2 43 0,1-69 11,0-4 13,0 0 1,0 0-1,1 0 0,0 0 0,2 8 0,-3-12-5,1 1 0,0 0 0,0 0-1,-1-1 1,1 1 0,1-1 0,-1 1 0,0-1-1,0 1 1,0-1 0,1 0 0,-1 0-1,3 2 1,-3-2-3,0-1 0,-1 1 0,1-1 0,0 0 1,0 1-1,0-1 0,0 0 0,-1 1 0,1-1 0,0 0 0,0 0 0,0 0 0,0 0 0,0 0 0,0 0 0,0 0 0,0 0 0,-1-1 0,1 1 0,0 0 0,1-1 0,16-11 31,-16 10-25,8-6 14,-1 0 0,0-1 1,-1-1-1,0 0 1,-1 0-1,11-19 1,30-74-46,-20 40 6,-15 35 14,17-38 2,43-67 0,-69 127 4,0-1 1,1 1-1,-1 0 0,10-8 1,-11 11 0,1 0 1,0 1 0,0 0-1,0-1 1,0 2-1,0-1 1,0 0 0,7-1-1,-8 2-2,0 0 1,1 1-1,-1-1 0,1 1 0,0 0 0,-1 0 0,1 0 1,-1 0-1,1 0 0,-1 1 0,1 0 0,-1 0 1,1 0-1,-1 0 0,0 0 0,1 1 0,-1-1 0,5 5 1,2 1 0,0 1 0,-1 1 0,0 0 1,8 11-1,-8-11 3,17 23 1,-2 0 0,0 2 1,-3 1-1,-1 0 0,-1 2 0,-2 0 0,-2 1 0,11 41 0,-19-53-1,-1 0 0,-1 0 0,-2 1 0,0-1 0,-2 1-1,-1 0 1,-1-1 0,-1 1 0,-8 34 0,8-52 36,0 0 1,-1 1-1,0-1 1,-1-1-1,0 1 0,-9 14 1,10-20-20,1 1 0,-1-1 0,0 1 0,0-1 0,0 0 1,0 0-1,-1-1 0,1 1 0,-1-1 0,0 1 0,0-1 0,0 0 0,0-1 0,0 1 0,-8 1 1,9-2-16,1-1 0,-1 1 1,0-1-1,0 0 0,0 0 0,0 0 1,1-1-1,-1 1 0,0-1 1,0 1-1,1-1 0,-5-2 1,1 0 4,-1 0 0,1-1 1,-7-6-1,11 8-9,-9-7-2,0 0 0,0-1-1,1-1 1,1 0 0,-10-12 0,-34-64-52,8 13 94,-51-59 20,80 115-54,12 14-39,0 0-1,0-1 0,0 0 1,1 0-1,-1 0 1,-3-9-1,7 13 26,-1 1 1,1-1 0,0 0-1,0 0 1,0 0-1,0 1 1,-1-1-1,1 0 1,0 0 0,1 1-1,-1-1 1,0 0-1,0 0 1,0 0-1,0 1 1,0-1 0,1 0-1,-1 0 1,0 1-1,1-1 1,-1 0-1,1 1 1,-1-1 0,1 0-1,-1 1 1,1-1-1,-1 1 1,1-1-1,-1 1 1,1-1-1,0 1 1,0-1 0,0 0 1,1 1 1,-1-1-1,0 1 0,0-1 1,0 1-1,0 0 1,1 0-1,-1-1 1,0 1-1,0 0 1,1 0-1,-1 0 1,0 0-1,0 1 1,1-1-1,-1 0 0,0 0 1,0 1-1,2 0 1,4 2 8,1 1-1,-1-2 1,1 1-1,-1-1 1,13 2 0,-1-2 7,29 0 1,-31-2-37,-2 1-1,0-1 0,19-3 1,2-3 66,1 1-10,56-16 0,-90 20-28,-1 1 1,1-1-1,0 1 1,-1-1-1,1 1 1,0 0-1,4 1 1,5-1 106,-13-1-118,0 1-1,0-1 1,0 0 0,0 0-1,0 0 1,1 0 0,-1 0-1,0 0 1,-1-1 0,2 1 3,0 1 1,-1 0-1,1-1 1,0 1-1,0-1 1,0 1 0,-1 0-1,1-1 1,0 1-1,0-1 1,0 1-1,0-1 1,0 1 0,0-1-1,0 1 1,0-1-1,0 1 1,0-1-1,0 1 1,0-1 0,0 1-1,0-1 1,0 1-1,0-1 1,0 1-1,1 0 1,-1-1 0,8-10 123,-7 9-140,1-2 6,1 0 6,-1-1 0,0 1-1,-1-1 1,3-7 0,-4 11 5,0 0-1,0 1 1,0-1 0,0 0 0,0 0 0,0 0 0,0 0 0,0 0 0,0 0 0,0 0 0,0 0 0,0 0 0,-1 1 0,1-1 0,0 0 0,-1 0 0,1 0 0,-1 0 0,1 1-1,-1-1 1,1 0 0,-1 1 0,0-1 0,1 0 0,-1 1 0,0-1 0,0 0 0,1 1 0,-3-1 0,3 0-4,0 1 1,-1 0-1,1 0 1,0 0-1,-1 0 1,1 0-1,0 0 0,-1 0 1,1 0-1,0 0 1,-1 0-1,1 0 1,0 0-1,-1 0 1,1 0-1,0 0 0,-1 0 1,1 0-1,0 0 1,-1 0-1,1 0 1,0 0-1,-1 0 1,1 1-1,0-1 0,0 0 1,-1 0-1,1 1 1,-8 9-29,1 1 91,6-10-59,1 0 1,-1 0-1,0 0 0,1 0 0,-1 0 0,1 0 0,-1 0 1,1 0-1,0 1 0,-1-1 0,1 0 0,0 0 1,0 0-1,0 1 0,0-1 0,0 0 0,0 0 0,0 0 1,0 1-1,0-1 0,1 0 0,-1 0 0,0 0 1,1 1-1,-1-1 0,1 0 0,-1 0 0,1 0 0,0 0 1,-1 0-1,1 0 0,1 1 0,1 2-2,1 0-1,-1-1 1,1 1-1,-1-1 1,1 0-1,0 0 1,0 0-1,5 2 1,4 0 146,-1-1 0,1 0 1,0-1-1,0-1 1,25 3-1,-9-2 191,40 4 342,1-3-1,78-5 1,60-9 140,380-12 341,-215 18-933,20-2-261,-16 12-566,-213-3 326,344 8-1033,4 25-393,-416-24 433,-87-11 1007,-1 1 0,1-1 0,0 2 0,10 3 0,-16-4 10,-1-1 1,1 1-1,-1-1 0,1 1 0,-1 0 0,0 0 1,0 0-1,0 0 0,0 0 0,0 0 0,0 1 1,-1-1-1,1 1 0,-1-1 0,2 5 0,-1-3-16,-1 0 0,1 0 0,-1 0 0,0 0 0,0 0 0,-1 0 0,1 0 0,-1 0 0,0 0 0,-1 4-1,-1 3-679,0-1 1,-1 0-1,-8 17 0,11-27 942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Ame20</b:Tag>
    <b:SourceType>Report</b:SourceType>
    <b:Guid>{08522C96-5A38-47AC-B993-0598EB157D43}</b:Guid>
    <b:Title>Environmental Product Declaration - North American Glued Laminated Timber</b:Title>
    <b:Year>2020</b:Year>
    <b:Author>
      <b:Author>
        <b:Corporate>American and Canadian Wood Council</b:Corporate>
      </b:Author>
    </b:Author>
    <b:RefOrder>1</b:RefOrder>
  </b:Source>
  <b:Source>
    <b:Tag>Ali19</b:Tag>
    <b:SourceType>Report</b:SourceType>
    <b:Guid>{B8E64829-34DA-4427-8E01-27AFF7A202B2}</b:Guid>
    <b:Author>
      <b:Author>
        <b:NameList>
          <b:Person>
            <b:Last>Alison G. Kwok</b:Last>
            <b:First>Hannah</b:First>
            <b:Middle>Zalusky, Linsday Rasmussen, Isabel Rivera, Hannah McKay</b:Middle>
          </b:Person>
        </b:NameList>
      </b:Author>
    </b:Author>
    <b:Title>Cross-Laminated Timber Buildings: A WBLCA Case Study Series</b:Title>
    <b:Year>2019</b:Year>
    <b:RefOrder>3</b:RefOrder>
  </b:Source>
  <b:Source>
    <b:Tag>UL19</b:Tag>
    <b:SourceType>Report</b:SourceType>
    <b:Guid>{E194A899-F576-4AA5-8038-E64DF3741219}</b:Guid>
    <b:Author>
      <b:Author>
        <b:NameList>
          <b:Person>
            <b:Last>UL</b:Last>
          </b:Person>
        </b:NameList>
      </b:Author>
    </b:Author>
    <b:Title>Product Category Rules for Building-Related Products and Services - Part B: Structural and Architectural Wood Products, EPD Requirements V10010-9v.10</b:Title>
    <b:Year>2019</b:Year>
    <b:RefOrder>8</b:RefOrder>
  </b:Source>
  <b:Source>
    <b:Tag>FAL94</b:Tag>
    <b:SourceType>Report</b:SourceType>
    <b:Guid>{3D455A72-47BB-44EB-83DC-F77115ADCF40}</b:Guid>
    <b:Author>
      <b:Author>
        <b:Corporate>FAL.</b:Corporate>
      </b:Author>
    </b:Author>
    <b:Title>The Role of Recycling in Integrated Solid Waste Management for the Year 2000. Franklin Associates, Ltd. (Samford, CT: Keep America Beautiful, Inc), September, pp. 1-27, 30, and 31.</b:Title>
    <b:Year>1994</b:Year>
    <b:RefOrder>9</b:RefOrder>
  </b:Source>
  <b:Source>
    <b:Tag>Nat15</b:Tag>
    <b:SourceType>Report</b:SourceType>
    <b:Guid>{FBA788EF-186E-4C01-B04F-2ABE6EFB26B7}</b:Guid>
    <b:Year>2015</b:Year>
    <b:Author>
      <b:Author>
        <b:Corporate>National Renewable Energy Laboratory</b:Corporate>
      </b:Author>
    </b:Author>
    <b:Title> "U.S. Life Cycle Inventory Database." Retrieved from https://www.lcacommons.gov/nrel/search</b:Title>
    <b:RefOrder>10</b:RefOrder>
  </b:Source>
  <b:Source>
    <b:Tag>DrM09</b:Tag>
    <b:SourceType>DocumentFromInternetSite</b:SourceType>
    <b:Guid>{0590A648-EE3E-4320-8074-B992C4AEC8F8}</b:Guid>
    <b:Title>www.epa.gov</b:Title>
    <b:Year>2009</b:Year>
    <b:Author>
      <b:Author>
        <b:NameList>
          <b:Person>
            <b:Last>Dr. Morton Barlaz</b:Last>
            <b:First>North</b:First>
            <b:Middle>Carolina State University</b:Middle>
          </b:Person>
          <b:Person>
            <b:Last>Christopher Evans</b:Last>
            <b:First>Adam</b:First>
          </b:Person>
        </b:NameList>
      </b:Author>
    </b:Author>
    <b:PublicationTitle>WARM component-specific decay rate methods</b:PublicationTitle>
    <b:Month>October</b:Month>
    <b:Day>30</b:Day>
    <b:InternetSiteTitle>www.epa.gov</b:InternetSiteTitle>
    <b:URL>https://www.epa.gov/sites/default/files/2016-03/documents/warm_decay_rate_structure_10_30_2009.pdf</b:URL>
    <b:RefOrder>5</b:RefOrder>
  </b:Source>
  <b:Source>
    <b:Tag>USE201</b:Tag>
    <b:SourceType>Report</b:SourceType>
    <b:Guid>{6C0F8904-16A0-47A1-95F5-ECF1BC72F7DD}</b:Guid>
    <b:Title>Documentation for Greenhouse Gas Emission and Energy Factors Used in the Waste Reduction Model (WARM) - Management Practices Chapters</b:Title>
    <b:Year>2020</b:Year>
    <b:Author>
      <b:Author>
        <b:Corporate>U.S. Environmental Protection Agency - Office of Resource Conservation and Recovery</b:Corporate>
      </b:Author>
    </b:Author>
    <b:RefOrder>11</b:RefOrder>
  </b:Source>
  <b:Source>
    <b:Tag>USE20</b:Tag>
    <b:SourceType>Report</b:SourceType>
    <b:Guid>{14E3CEA1-0807-4B40-8143-FC7F4978BEE0}</b:Guid>
    <b:Author>
      <b:Author>
        <b:Corporate>US Environmental Protection Agency - Office of Resource Conservation and Recovery</b:Corporate>
      </b:Author>
    </b:Author>
    <b:Title>Documentation for Greenhouse Gas Emission and Eneryg Factors Used in the Waste Reduction Model (WARM) - Background Chapters</b:Title>
    <b:Year>2020</b:Year>
    <b:RefOrder>4</b:RefOrder>
  </b:Source>
  <b:Source>
    <b:Tag>Thi20</b:Tag>
    <b:SourceType>InternetSite</b:SourceType>
    <b:Guid>{9223F552-D7CB-4C59-924C-16891E5D8227}</b:Guid>
    <b:Author>
      <b:Author>
        <b:Corporate>Thinkstep</b:Corporate>
      </b:Author>
    </b:Author>
    <b:Title>Webinar</b:Title>
    <b:InternetSiteTitle>Choose Tally</b:InternetSiteTitle>
    <b:Year>2020</b:Year>
    <b:Month>January</b:Month>
    <b:Day>16</b:Day>
    <b:URL>https://choosetally.com/webinars/</b:URL>
    <b:RefOrder>6</b:RefOrder>
  </b:Source>
  <b:Source>
    <b:Tag>IPC06</b:Tag>
    <b:SourceType>Report</b:SourceType>
    <b:Guid>{92CF252B-7126-4653-8792-BDF6BC5BB16D}</b:Guid>
    <b:Title>2006 IPCC Guidelines for National Greenhouse Gas Inventories</b:Title>
    <b:Year>2006</b:Year>
    <b:Author>
      <b:Author>
        <b:Corporate>IPCC</b:Corporate>
      </b:Author>
    </b:Author>
    <b:RefOrder>7</b:RefOrder>
  </b:Source>
  <b:Source>
    <b:Tag>UNF20</b:Tag>
    <b:SourceType>Report</b:SourceType>
    <b:Guid>{D8FF06B5-5F3C-428A-8F82-FA79ED9FAD71}</b:Guid>
    <b:Author>
      <b:Author>
        <b:Corporate>UNFCCC</b:Corporate>
      </b:Author>
    </b:Author>
    <b:Title>United Nations Climate Change - Annual Report 2020</b:Title>
    <b:Year>2020</b:Year>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9E4F06B100964BAD9FA16659C9817B" ma:contentTypeVersion="4" ma:contentTypeDescription="Create a new document." ma:contentTypeScope="" ma:versionID="a93a04fd6f6aa5781bb0dab4940a7a01">
  <xsd:schema xmlns:xsd="http://www.w3.org/2001/XMLSchema" xmlns:xs="http://www.w3.org/2001/XMLSchema" xmlns:p="http://schemas.microsoft.com/office/2006/metadata/properties" xmlns:ns2="d2eaed21-1ee8-4128-8207-2d29c5f8c7b7" targetNamespace="http://schemas.microsoft.com/office/2006/metadata/properties" ma:root="true" ma:fieldsID="e179c2bd9464ff6fcde07d0749f0e7b3" ns2:_="">
    <xsd:import namespace="d2eaed21-1ee8-4128-8207-2d29c5f8c7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aed21-1ee8-4128-8207-2d29c5f8c7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2C583-A038-43F3-9765-39DF180E92D0}">
  <ds:schemaRefs>
    <ds:schemaRef ds:uri="http://schemas.openxmlformats.org/officeDocument/2006/bibliography"/>
  </ds:schemaRefs>
</ds:datastoreItem>
</file>

<file path=customXml/itemProps2.xml><?xml version="1.0" encoding="utf-8"?>
<ds:datastoreItem xmlns:ds="http://schemas.openxmlformats.org/officeDocument/2006/customXml" ds:itemID="{F3223280-6AED-4D42-B597-13D0F3BCDFB8}">
  <ds:schemaRefs>
    <ds:schemaRef ds:uri="http://schemas.microsoft.com/sharepoint/v3/contenttype/forms"/>
  </ds:schemaRefs>
</ds:datastoreItem>
</file>

<file path=customXml/itemProps3.xml><?xml version="1.0" encoding="utf-8"?>
<ds:datastoreItem xmlns:ds="http://schemas.openxmlformats.org/officeDocument/2006/customXml" ds:itemID="{F69F9FC0-4820-4DA0-BB1A-83912998F274}">
  <ds:schemaRefs>
    <ds:schemaRef ds:uri="http://schemas.microsoft.com/office/infopath/2007/PartnerControls"/>
    <ds:schemaRef ds:uri="http://schemas.microsoft.com/office/2006/documentManagement/types"/>
    <ds:schemaRef ds:uri="http://purl.org/dc/terms/"/>
    <ds:schemaRef ds:uri="http://purl.org/dc/dcmitype/"/>
    <ds:schemaRef ds:uri="http://www.w3.org/XML/1998/namespace"/>
    <ds:schemaRef ds:uri="http://schemas.openxmlformats.org/package/2006/metadata/core-properties"/>
    <ds:schemaRef ds:uri="d2eaed21-1ee8-4128-8207-2d29c5f8c7b7"/>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DBE3CB5-D660-4636-AF02-C98829C5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aed21-1ee8-4128-8207-2d29c5f8c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30</Pages>
  <Words>8569</Words>
  <Characters>48844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dc:creator>
  <cp:keywords/>
  <dc:description/>
  <cp:lastModifiedBy>Dunn, Jacob</cp:lastModifiedBy>
  <cp:revision>510</cp:revision>
  <dcterms:created xsi:type="dcterms:W3CDTF">2021-05-28T21:37:00Z</dcterms:created>
  <dcterms:modified xsi:type="dcterms:W3CDTF">2021-08-09T20:54:00Z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0x010100AE9E4F06B100964BAD9FA16659C9817B</vt:lpwstr>
  </property>
</Properties>
</file>