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Change Management Procedure</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31,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p>
        <w:p>
          <w:pPr>
            <w:pStyle w:val="TOC1"/>
            <w:tabs>
              <w:tab w:val="clear" w:pos="9360"/>
              <w:tab w:val="right" w:pos="9359" w:leader="dot"/>
            </w:tabs>
            <w:rPr/>
          </w:pPr>
          <w:hyperlink w:anchor="__RefHeading___Toc369_605544599">
            <w:r>
              <w:rPr>
                <w:rStyle w:val="IndexLink"/>
              </w:rPr>
              <w:t xml:space="preserve">Change Log</w:t>
              <w:tab/>
              <w:t xml:space="preserve">3</w:t>
            </w:r>
          </w:hyperlink>
        </w:p>
        <w:p>
          <w:pPr>
            <w:pStyle w:val="TOC1"/>
            <w:tabs>
              <w:tab w:val="clear" w:pos="9360"/>
              <w:tab w:val="right" w:pos="9359" w:leader="dot"/>
            </w:tabs>
            <w:rPr/>
          </w:pPr>
          <w:hyperlink w:anchor="__RefHeading___Toc369_605544599">
            <w:r>
              <w:rPr>
                <w:rStyle w:val="IndexLink"/>
              </w:rPr>
              <w:t xml:space="preserve">Purpose</w:t>
              <w:tab/>
              <w:t xml:space="preserve">4</w:t>
            </w:r>
          </w:hyperlink>
        </w:p>
        <w:p>
          <w:pPr>
            <w:pStyle w:val="TOC1"/>
            <w:tabs>
              <w:tab w:val="clear" w:pos="9360"/>
              <w:tab w:val="right" w:pos="9359" w:leader="dot"/>
            </w:tabs>
            <w:rPr/>
          </w:pPr>
          <w:hyperlink w:anchor="__RefHeading___Toc369_605544599">
            <w:r>
              <w:rPr>
                <w:rStyle w:val="IndexLink"/>
              </w:rPr>
              <w:t xml:space="preserve">Scope</w:t>
              <w:tab/>
              <w:t xml:space="preserve">4</w:t>
            </w:r>
          </w:hyperlink>
        </w:p>
        <w:p>
          <w:pPr>
            <w:pStyle w:val="TOC1"/>
            <w:tabs>
              <w:tab w:val="clear" w:pos="9360"/>
              <w:tab w:val="right" w:pos="9359" w:leader="dot"/>
            </w:tabs>
            <w:rPr/>
          </w:pPr>
          <w:hyperlink w:anchor="__RefHeading___Toc369_605544599">
            <w:r>
              <w:rPr>
                <w:rStyle w:val="IndexLink"/>
              </w:rPr>
              <w:t xml:space="preserve">Change Types</w:t>
              <w:tab/>
              <w:t xml:space="preserve">4</w:t>
            </w:r>
          </w:hyperlink>
        </w:p>
        <w:p>
          <w:pPr>
            <w:pStyle w:val="TOC1"/>
            <w:tabs>
              <w:tab w:val="clear" w:pos="9360"/>
              <w:tab w:val="right" w:pos="9359" w:leader="dot"/>
            </w:tabs>
            <w:rPr/>
          </w:pPr>
          <w:hyperlink w:anchor="__RefHeading___Toc369_605544599">
            <w:r>
              <w:rPr>
                <w:rStyle w:val="IndexLink"/>
              </w:rPr>
              <w:t xml:space="preserve">Questions to Answer Before a Normal Change</w:t>
              <w:tab/>
              <w:t xml:space="preserve">4</w:t>
            </w:r>
          </w:hyperlink>
        </w:p>
        <w:p>
          <w:pPr>
            <w:pStyle w:val="TOC1"/>
            <w:tabs>
              <w:tab w:val="clear" w:pos="9360"/>
              <w:tab w:val="right" w:pos="9359" w:leader="dot"/>
            </w:tabs>
            <w:rPr/>
          </w:pPr>
          <w:hyperlink w:anchor="__RefHeading___Toc369_605544599">
            <w:r>
              <w:rPr>
                <w:rStyle w:val="IndexLink"/>
              </w:rPr>
              <w:t xml:space="preserve">Change Record Fields</w:t>
              <w:tab/>
              <w:t xml:space="preserve">5</w:t>
            </w:r>
          </w:hyperlink>
        </w:p>
        <w:p>
          <w:pPr>
            <w:pStyle w:val="TOC1"/>
            <w:tabs>
              <w:tab w:val="clear" w:pos="9360"/>
              <w:tab w:val="right" w:pos="9359" w:leader="dot"/>
            </w:tabs>
            <w:rPr/>
          </w:pPr>
          <w:hyperlink w:anchor="__RefHeading___Toc369_605544599">
            <w:r>
              <w:rPr>
                <w:rStyle w:val="IndexLink"/>
              </w:rPr>
              <w:t xml:space="preserve">Unintended Changes</w:t>
              <w:tab/>
              <w:t xml:space="preserve">6</w:t>
            </w:r>
          </w:hyperlink>
        </w:p>
        <w:p>
          <w:pPr>
            <w:pStyle w:val="TOC1"/>
            <w:tabs>
              <w:tab w:val="clear" w:pos="9360"/>
              <w:tab w:val="right" w:pos="9359" w:leader="dot"/>
            </w:tabs>
            <w:rPr/>
          </w:pPr>
          <w:hyperlink w:anchor="__RefHeading___Toc369_605544599">
            <w:r>
              <w:rPr>
                <w:rStyle w:val="IndexLink"/>
              </w:rPr>
              <w:t xml:space="preserve">Roles and Responsibilities</w:t>
              <w:tab/>
              <w:t xml:space="preserve">6</w:t>
            </w:r>
          </w:hyperlink>
        </w:p>
        <w:p>
          <w:pPr>
            <w:pStyle w:val="TOC1"/>
            <w:tabs>
              <w:tab w:val="clear" w:pos="9360"/>
              <w:tab w:val="right" w:pos="9359" w:leader="dot"/>
            </w:tabs>
            <w:rPr/>
          </w:pPr>
          <w:hyperlink w:anchor="__RefHeading___Toc369_605544599">
            <w:r>
              <w:rPr>
                <w:rStyle w:val="IndexLink"/>
              </w:rPr>
              <w:t xml:space="preserve">Review and Updates</w:t>
              <w:tab/>
              <w:t xml:space="preserve">6</w:t>
            </w:r>
          </w:hyperlink>
        </w:p>
      </w:sdtContent>
    </w:sdt>
    <w:p>
      <w:pPr>
        <w:pStyle w:val="Normal"/>
        <w:rPr/>
      </w:pPr>
      <w:r>
        <w:rPr/>
      </w:r>
    </w:p>
    <w:p>
      <w:pPr>
        <w:pStyle w:val="Normal"/>
        <w:rPr/>
      </w:pPr>
      <w:r>
        <w:rPr/>
      </w:r>
      <w:r>
        <w:br w:type="page"/>
      </w:r>
    </w:p>
    <w:p>
      <w:pPr>
        <w:pStyle w:val="Heading1"/>
        <w:spacing w:before="0" w:after="160"/>
        <w:rPr/>
      </w:pPr>
      <w:bookmarkStart w:id="1" w:name="__RefHeading___Toc369_605544599"/>
      <w:bookmarkEnd w:id="1"/>
      <w:r>
        <w:rPr>
          <w:rFonts w:eastAsia="Liberation Sans" w:cs="Liberation Sans" w:ascii="Liberation Sans" w:hAnsi="Liberation Sans"/>
          <w:b/>
          <w:bCs/>
          <w:color w:val="2E75B6"/>
          <w:sz w:val="30"/>
          <w:szCs w:val="30"/>
        </w:rPr>
        <w:t xml:space="preserve">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Next Review</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1.0</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Initial version</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Annually</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2027</w:t>
            </w:r>
          </w:p>
        </w:tc>
      </w:tr>
    </w:tbl>
    <w:p>
      <w:pPr>
        <w:pStyle w:val="Normal"/>
        <w:rPr/>
      </w:pPr>
      <w:r>
        <w:rPr/>
      </w:r>
      <w:r>
        <w:br w:type="page"/>
      </w:r>
    </w:p>
    <w:p>
      <w:pPr>
        <w:pStyle w:val="Heading1"/>
        <w:spacing w:before="0" w:after="160"/>
        <w:rPr/>
      </w:pPr>
      <w:bookmarkStart w:id="2" w:name="__RefHeading___Toc369_605544599_2"/>
      <w:bookmarkEnd w:id="2"/>
      <w:r>
        <w:rPr>
          <w:rFonts w:eastAsia="Liberation Sans" w:cs="Liberation Sans" w:ascii="Liberation Sans" w:hAnsi="Liberation Sans"/>
          <w:b/>
          <w:bCs/>
          <w:color w:val="2E75B6"/>
          <w:sz w:val="30"/>
          <w:szCs w:val="30"/>
        </w:rPr>
        <w:t xml:space="preserve">Purpose</w:t>
      </w:r>
    </w:p>
    <w:p>
      <w:pPr>
        <w:pStyle w:val="Normal"/>
        <w:spacing w:lineRule="exact" w:line="300" w:before="0" w:after="200"/>
        <w:rPr/>
      </w:pPr>
      <w:r>
        <w:rPr>
          <w:rFonts w:eastAsia="Times New Roman" w:cs="Times New Roman"/>
          <w:b w:val="false"/>
          <w:bCs w:val="false"/>
          <w:color w:val="1F1F1F"/>
          <w:sz w:val="22"/>
          <w:szCs w:val="22"/>
        </w:rPr>
        <w:t xml:space="preserve">This procedure ensures that changes affecting Abionic Inc.'s information security management system are planned, assessed and recorded rather than made ad hoc. It satisfies ISO/IEC 27001:2022 clause 6.3 and is written as short practical guidance for the team.</w:t>
      </w:r>
    </w:p>
    <w:p>
      <w:pPr>
        <w:pStyle w:val="Heading1"/>
        <w:spacing w:before="0" w:after="160"/>
        <w:rPr/>
      </w:pPr>
      <w:bookmarkStart w:id="3" w:name="__RefHeading___Toc369_605544599_3"/>
      <w:bookmarkEnd w:id="3"/>
      <w:r>
        <w:rPr>
          <w:rFonts w:eastAsia="Liberation Sans" w:cs="Liberation Sans" w:ascii="Liberation Sans" w:hAnsi="Liberation Sans"/>
          <w:b/>
          <w:bCs/>
          <w:color w:val="2E75B6"/>
          <w:sz w:val="30"/>
          <w:szCs w:val="30"/>
        </w:rPr>
        <w:t xml:space="preserve">Scope</w:t>
      </w:r>
    </w:p>
    <w:p>
      <w:pPr>
        <w:pStyle w:val="Normal"/>
        <w:spacing w:lineRule="exact" w:line="300" w:before="0" w:after="200"/>
        <w:rPr/>
      </w:pPr>
      <w:r>
        <w:rPr>
          <w:rFonts w:eastAsia="Times New Roman" w:cs="Times New Roman"/>
          <w:b w:val="false"/>
          <w:bCs w:val="false"/>
          <w:color w:val="1F1F1F"/>
          <w:sz w:val="22"/>
          <w:szCs w:val="22"/>
        </w:rPr>
        <w:t xml:space="preserve">Applies to changes to the ISMS itself (scope, policies, procedures, roles, risk criteria) and to changes to systems within the ISMS scope that could affect security posture: production infrastructure, the CI/CD pipeline, access models, and third-party services.</w:t>
      </w:r>
    </w:p>
    <w:p>
      <w:pPr>
        <w:pStyle w:val="Heading1"/>
        <w:spacing w:before="0" w:after="160"/>
        <w:rPr/>
      </w:pPr>
      <w:bookmarkStart w:id="4" w:name="__RefHeading___Toc369_605544599_4"/>
      <w:bookmarkEnd w:id="4"/>
      <w:r>
        <w:rPr>
          <w:rFonts w:eastAsia="Liberation Sans" w:cs="Liberation Sans" w:ascii="Liberation Sans" w:hAnsi="Liberation Sans"/>
          <w:b/>
          <w:bCs/>
          <w:color w:val="2E75B6"/>
          <w:sz w:val="30"/>
          <w:szCs w:val="30"/>
        </w:rPr>
        <w:t xml:space="preserve">Change Types</w:t>
      </w:r>
    </w:p>
    <w:tbl>
      <w:tblPr>
        <w:tblW w:w="9360" w:type="dxa"/>
        <w:jc w:val="left"/>
        <w:tblInd w:w="0" w:type="dxa"/>
        <w:tblLayout w:type="fixed"/>
        <w:tblCellMar>
          <w:top w:w="80" w:type="dxa"/>
          <w:left w:w="100" w:type="dxa"/>
          <w:bottom w:w="80" w:type="dxa"/>
          <w:right w:w="100" w:type="dxa"/>
        </w:tblCellMar>
      </w:tblPr>
      <w:tblGrid>
        <w:gridCol w:w="2340"/>
        <w:gridCol w:w="2340"/>
        <w:gridCol w:w="2340"/>
        <w:gridCol w:w="2340"/>
      </w:tblGrid>
      <w:tr>
        <w:trPr>
          <w:tblHeader w:val="true"/>
        </w:trPr>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Type</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Definition</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Approval</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Record</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Standard</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Pre-approved, low risk, repeatable, follows a known runbook. Example: routine dependency patching.</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None required individually</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Logged</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Normal</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Anything that is not standard or emergency. Assessed before implementation.</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 plus the affected system owner</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Full record before implementation</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Emergency</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Required to restore service or contain a security incident.</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Verbal from the Information Security Manager</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Retrospective record within 2 business days</w:t>
            </w:r>
          </w:p>
        </w:tc>
      </w:tr>
    </w:tbl>
    <w:p>
      <w:pPr>
        <w:pStyle w:val="Heading1"/>
        <w:spacing w:before="0" w:after="160"/>
        <w:rPr/>
      </w:pPr>
      <w:bookmarkStart w:id="5" w:name="__RefHeading___Toc369_605544599_5"/>
      <w:bookmarkEnd w:id="5"/>
      <w:r>
        <w:rPr>
          <w:rFonts w:eastAsia="Liberation Sans" w:cs="Liberation Sans" w:ascii="Liberation Sans" w:hAnsi="Liberation Sans"/>
          <w:b/>
          <w:bCs/>
          <w:color w:val="2E75B6"/>
          <w:sz w:val="30"/>
          <w:szCs w:val="30"/>
        </w:rPr>
        <w:t xml:space="preserve">Questions to Answer Before a Normal Change</w:t>
      </w:r>
    </w:p>
    <w:p>
      <w:pPr>
        <w:pStyle w:val="Normal"/>
        <w:spacing w:lineRule="exact" w:line="300" w:before="0" w:after="200"/>
        <w:rPr/>
      </w:pPr>
      <w:r>
        <w:rPr>
          <w:rFonts w:eastAsia="Times New Roman" w:cs="Times New Roman"/>
          <w:b w:val="false"/>
          <w:bCs w:val="false"/>
          <w:color w:val="1F1F1F"/>
          <w:sz w:val="22"/>
          <w:szCs w:val="22"/>
        </w:rPr>
        <w:t xml:space="preserve">Keep it brief. A few sentences against each point is enough:</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What is changing, and why now?</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What does it affect: which assets, which data, which users?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What could this break, and what is the security impact if it goes wrong?</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Does it change access, encryption, logging or data location? If yes, the risk assessment is revisited.</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How will it be tested before it reaches production?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How do we roll it back, and how long would that take?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Who needs to be told, and when?</w:t>
      </w:r>
    </w:p>
    <w:p>
      <w:pPr>
        <w:pStyle w:val="Heading1"/>
        <w:spacing w:before="0" w:after="160"/>
        <w:rPr/>
      </w:pPr>
      <w:bookmarkStart w:id="6" w:name="__RefHeading___Toc369_605544599_6"/>
      <w:bookmarkEnd w:id="6"/>
      <w:r>
        <w:rPr>
          <w:rFonts w:eastAsia="Liberation Sans" w:cs="Liberation Sans" w:ascii="Liberation Sans" w:hAnsi="Liberation Sans"/>
          <w:b/>
          <w:bCs/>
          <w:color w:val="2E75B6"/>
          <w:sz w:val="30"/>
          <w:szCs w:val="30"/>
        </w:rPr>
        <w:t xml:space="preserve">Change Record Fields</w:t>
      </w:r>
    </w:p>
    <w:p>
      <w:pPr>
        <w:pStyle w:val="Normal"/>
        <w:spacing w:lineRule="exact" w:line="300" w:before="0" w:after="200"/>
        <w:rPr/>
      </w:pPr>
      <w:r>
        <w:rPr>
          <w:rFonts w:eastAsia="Times New Roman" w:cs="Times New Roman"/>
          <w:b w:val="false"/>
          <w:bCs w:val="false"/>
          <w:color w:val="1F1F1F"/>
          <w:sz w:val="22"/>
          <w:szCs w:val="22"/>
        </w:rPr>
        <w:t xml:space="preserve">Every change is recorded with at least the following:</w:t>
      </w:r>
    </w:p>
    <w:tbl>
      <w:tblPr>
        <w:tblW w:w="9160" w:type="dxa"/>
        <w:jc w:val="left"/>
        <w:tblInd w:w="0" w:type="dxa"/>
        <w:tblLayout w:type="fixed"/>
        <w:tblCellMar>
          <w:top w:w="80" w:type="dxa"/>
          <w:left w:w="100" w:type="dxa"/>
          <w:bottom w:w="80" w:type="dxa"/>
          <w:right w:w="100" w:type="dxa"/>
        </w:tblCellMar>
      </w:tblPr>
      <w:tblGrid>
        <w:gridCol w:w="3199"/>
        <w:gridCol w:w="5960"/>
      </w:tblGrid>
      <w:tr>
        <w:trPr>
          <w:tblHeader w:val="true"/>
        </w:trPr>
        <w:tc>
          <w:tcPr>
            <w:tcW w:w="31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Field</w:t>
            </w:r>
          </w:p>
        </w:tc>
        <w:tc>
          <w:tcPr>
            <w:tcW w:w="59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Notes</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Change ID and date raised</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Sequential reference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Type</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Standard, Normal or Emergency</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Description and reason</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Plain language, one paragraph</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Systems and assets affected</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Cross-reference the asset register where applicable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Security impact assessment</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Including whether the risk assessment needs revisiting</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Test evidence</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What was tested and the outcome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Rollback plan</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Steps and expected duration</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Approver and approval date</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Blank is not acceptable for a Normal change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Implementation date and outcome</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Including any deviation from plan</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Post-implementation review</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Required for Emergency changes and any change that caused an incident</w:t>
            </w:r>
          </w:p>
        </w:tc>
      </w:tr>
    </w:tbl>
    <w:p>
      <w:pPr>
        <w:pStyle w:val="Heading1"/>
        <w:spacing w:before="0" w:after="160"/>
        <w:rPr/>
      </w:pPr>
      <w:bookmarkStart w:id="7" w:name="__RefHeading___Toc369_605544599_7"/>
      <w:bookmarkEnd w:id="7"/>
      <w:r>
        <w:rPr>
          <w:rFonts w:eastAsia="Liberation Sans" w:cs="Liberation Sans" w:ascii="Liberation Sans" w:hAnsi="Liberation Sans"/>
          <w:b/>
          <w:bCs/>
          <w:color w:val="2E75B6"/>
          <w:sz w:val="30"/>
          <w:szCs w:val="30"/>
        </w:rPr>
        <w:t xml:space="preserve">Unintended Changes</w:t>
      </w:r>
    </w:p>
    <w:p>
      <w:pPr>
        <w:pStyle w:val="Normal"/>
        <w:spacing w:lineRule="exact" w:line="300" w:before="0" w:after="200"/>
        <w:rPr/>
      </w:pPr>
      <w:r>
        <w:rPr>
          <w:rFonts w:eastAsia="Times New Roman" w:cs="Times New Roman"/>
          <w:b w:val="false"/>
          <w:bCs w:val="false"/>
          <w:color w:val="1F1F1F"/>
          <w:sz w:val="22"/>
          <w:szCs w:val="22"/>
        </w:rPr>
        <w:t xml:space="preserve">Where a change occurs that was not planned, for example a provider-side update or configuration drift found during review, it is recorded retrospectively, its consequences are reviewed, and action is taken to mitigate any adverse effect. Clause 6.3 requires the consequences of unintended changes to be reviewed, not only planned ones.</w:t>
      </w:r>
    </w:p>
    <w:p>
      <w:pPr>
        <w:pStyle w:val="Heading1"/>
        <w:spacing w:before="0" w:after="160"/>
        <w:rPr/>
      </w:pPr>
      <w:bookmarkStart w:id="8" w:name="__RefHeading___Toc369_605544599_8"/>
      <w:bookmarkEnd w:id="8"/>
      <w:r>
        <w:rPr>
          <w:rFonts w:eastAsia="Liberation Sans" w:cs="Liberation Sans" w:ascii="Liberation Sans" w:hAnsi="Liberation Sans"/>
          <w:b/>
          <w:bCs/>
          <w:color w:val="2E75B6"/>
          <w:sz w:val="30"/>
          <w:szCs w:val="30"/>
        </w:rPr>
        <w:t xml:space="preserve">Roles and Responsibilities</w:t>
      </w:r>
    </w:p>
    <w:tbl>
      <w:tblPr>
        <w:tblW w:w="9160" w:type="dxa"/>
        <w:jc w:val="left"/>
        <w:tblInd w:w="0" w:type="dxa"/>
        <w:tblLayout w:type="fixed"/>
        <w:tblCellMar>
          <w:top w:w="80" w:type="dxa"/>
          <w:left w:w="100" w:type="dxa"/>
          <w:bottom w:w="80" w:type="dxa"/>
          <w:right w:w="100" w:type="dxa"/>
        </w:tblCellMar>
      </w:tblPr>
      <w:tblGrid>
        <w:gridCol w:w="3199"/>
        <w:gridCol w:w="5960"/>
      </w:tblGrid>
      <w:tr>
        <w:trPr>
          <w:tblHeader w:val="true"/>
        </w:trPr>
        <w:tc>
          <w:tcPr>
            <w:tcW w:w="31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Role</w:t>
            </w:r>
          </w:p>
        </w:tc>
        <w:tc>
          <w:tcPr>
            <w:tcW w:w="596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Responsibilities</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Information Security Manager</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Approves Normal changes, decides whether a change requires the risk assessment to be revisited, reviews the change log quarterly.</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System owner</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Raises the change, answers the assessment questions, defines and tests the rollback.</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IT Infrastructure Engineer</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Implements infrastructure changes and records the outcome.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Developer</w:t>
            </w:r>
          </w:p>
        </w:tc>
        <w:tc>
          <w:tcPr>
            <w:tcW w:w="596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Implements application and pipeline changes under the secure development lifecycle policy.</w:t>
            </w:r>
          </w:p>
        </w:tc>
      </w:tr>
    </w:tbl>
    <w:p>
      <w:pPr>
        <w:pStyle w:val="Heading1"/>
        <w:spacing w:before="0" w:after="160"/>
        <w:rPr/>
      </w:pPr>
      <w:bookmarkStart w:id="9" w:name="__RefHeading___Toc369_605544599_9"/>
      <w:bookmarkEnd w:id="9"/>
      <w:r>
        <w:rPr>
          <w:rFonts w:eastAsia="Liberation Sans" w:cs="Liberation Sans" w:ascii="Liberation Sans" w:hAnsi="Liberation Sans"/>
          <w:b/>
          <w:bCs/>
          <w:color w:val="2E75B6"/>
          <w:sz w:val="30"/>
          <w:szCs w:val="30"/>
        </w:rPr>
        <w:t xml:space="preserve">Review and Updates</w:t>
      </w:r>
    </w:p>
    <w:p>
      <w:pPr>
        <w:pStyle w:val="Normal"/>
        <w:spacing w:lineRule="exact" w:line="300" w:before="0" w:after="200"/>
        <w:rPr/>
      </w:pPr>
      <w:r>
        <w:rPr>
          <w:rFonts w:eastAsia="Times New Roman" w:cs="Times New Roman"/>
          <w:b w:val="false"/>
          <w:bCs w:val="false"/>
          <w:color w:val="1F1F1F"/>
          <w:sz w:val="22"/>
          <w:szCs w:val="22"/>
        </w:rPr>
        <w:t xml:space="preserve">This document is reviewed:</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After any change that caused a security incident or an unplanned outage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On a change to the ISMS scope</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Change Management Procedure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Change Management Procedure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2026-08-30T15:44:23Z</dcterms:created>
  <dc:creator>Abionic Inc.</dc:creator>
  <dc:description/>
  <dc:language>en-US</dc:language>
  <cp:lastModifiedBy>Abionic Inc.</cp:lastModifiedBy>
  <dcterms:modified xsi:type="dcterms:W3CDTF">2026-08-30T15:46:32Z</dcterms:modified>
  <cp:revision>2</cp:revision>
  <dc:subject/>
  <dc:title/>
</cp:coreProperties>
</file>