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240" w:after="100"/>
        <w:jc w:val="center"/>
        <w:rPr/>
      </w:pPr>
      <w:r>
        <w:rPr>
          <w:rFonts w:eastAsia="Liberation Sans" w:cs="Liberation Sans" w:ascii="Liberation Sans" w:hAnsi="Liberation Sans"/>
          <w:color w:val="000000"/>
          <w:sz w:val="56"/>
          <w:szCs w:val="56"/>
        </w:rPr>
        <w:t>Risk Assessment Process</w:t>
      </w:r>
    </w:p>
    <w:p>
      <w:pPr>
        <w:pStyle w:val="Normal"/>
        <w:jc w:val="center"/>
        <w:rPr/>
      </w:pPr>
      <w:r>
        <w:rPr/>
      </w:r>
    </w:p>
    <w:p>
      <w:pPr>
        <w:pStyle w:val="Normal"/>
        <w:jc w:val="center"/>
        <w:rPr/>
      </w:pPr>
      <w:r>
        <w:rPr/>
      </w:r>
    </w:p>
    <w:p>
      <w:pPr>
        <w:pStyle w:val="Normal"/>
        <w:spacing w:before="360" w:after="80"/>
        <w:jc w:val="center"/>
        <w:rPr/>
      </w:pPr>
      <w:r>
        <w:rPr>
          <w:rFonts w:eastAsia="Georgia" w:cs="Georgia" w:ascii="Georgia" w:hAnsi="Georgia"/>
          <w:i/>
          <w:iCs/>
          <w:color w:val="666666"/>
          <w:sz w:val="48"/>
          <w:szCs w:val="48"/>
        </w:rPr>
        <w:t>Abionic Inc.</w:t>
      </w:r>
    </w:p>
    <w:p>
      <w:pPr>
        <w:pStyle w:val="Normal"/>
        <w:jc w:val="center"/>
        <w:rPr/>
      </w:pPr>
      <w:r>
        <w:rPr/>
      </w:r>
    </w:p>
    <w:p>
      <w:pPr>
        <w:pStyle w:val="Normal"/>
        <w:jc w:val="center"/>
        <w:rPr/>
      </w:pPr>
      <w:r>
        <w:rPr/>
      </w:r>
    </w:p>
    <w:p>
      <w:pPr>
        <w:pStyle w:val="Normal"/>
        <w:jc w:val="center"/>
        <w:rPr/>
      </w:pPr>
      <w:r>
        <w:rPr/>
      </w:r>
    </w:p>
    <w:p>
      <w:pPr>
        <w:pStyle w:val="Normal"/>
        <w:jc w:val="center"/>
        <w:rPr/>
      </w:pPr>
      <w:r>
        <w:rPr/>
      </w:r>
    </w:p>
    <w:p>
      <w:pPr>
        <w:pStyle w:val="Normal"/>
        <w:jc w:val="center"/>
        <w:rPr/>
      </w:pPr>
      <w:r>
        <w:rPr/>
      </w:r>
    </w:p>
    <w:p>
      <w:pPr>
        <w:pStyle w:val="Normal"/>
        <w:jc w:val="center"/>
        <w:rPr/>
      </w:pPr>
      <w:r>
        <w:rPr/>
      </w:r>
    </w:p>
    <w:p>
      <w:pPr>
        <w:pStyle w:val="Normal"/>
        <w:jc w:val="center"/>
        <w:rPr/>
      </w:pPr>
      <w:r>
        <w:rPr/>
      </w:r>
    </w:p>
    <w:p>
      <w:pPr>
        <w:pStyle w:val="Normal"/>
        <w:jc w:val="center"/>
        <w:rPr/>
      </w:pPr>
      <w:r>
        <w:rPr/>
      </w:r>
    </w:p>
    <w:p>
      <w:pPr>
        <w:pStyle w:val="Normal"/>
        <w:jc w:val="center"/>
        <w:rPr/>
      </w:pPr>
      <w:r>
        <w:rPr/>
      </w:r>
    </w:p>
    <w:p>
      <w:pPr>
        <w:pStyle w:val="Normal"/>
        <w:jc w:val="center"/>
        <w:rPr/>
      </w:pPr>
      <w:r>
        <w:rPr/>
      </w:r>
    </w:p>
    <w:p>
      <w:pPr>
        <w:pStyle w:val="Normal"/>
        <w:jc w:val="center"/>
        <w:rPr/>
      </w:pPr>
      <w:r>
        <w:rPr/>
      </w:r>
    </w:p>
    <w:p>
      <w:pPr>
        <w:pStyle w:val="Normal"/>
        <w:jc w:val="center"/>
        <w:rPr/>
      </w:pPr>
      <w:r>
        <w:rPr/>
      </w:r>
    </w:p>
    <w:p>
      <w:pPr>
        <w:pStyle w:val="Normal"/>
        <w:jc w:val="center"/>
        <w:rPr/>
      </w:pPr>
      <w:r>
        <w:rPr/>
      </w:r>
    </w:p>
    <w:p>
      <w:pPr>
        <w:pStyle w:val="Normal"/>
        <w:jc w:val="center"/>
        <w:rPr/>
      </w:pPr>
      <w:r>
        <w:rPr/>
      </w:r>
    </w:p>
    <w:p>
      <w:pPr>
        <w:pStyle w:val="Normal"/>
        <w:jc w:val="center"/>
        <w:rPr/>
      </w:pPr>
      <w:r>
        <w:rPr/>
      </w:r>
    </w:p>
    <w:p>
      <w:pPr>
        <w:pStyle w:val="Normal"/>
        <w:jc w:val="center"/>
        <w:rPr/>
      </w:pPr>
      <w:r>
        <w:rPr/>
      </w:r>
    </w:p>
    <w:p>
      <w:pPr>
        <w:pStyle w:val="Normal"/>
        <w:jc w:val="center"/>
        <w:rPr/>
      </w:pPr>
      <w:r>
        <w:rPr/>
      </w:r>
    </w:p>
    <w:p>
      <w:pPr>
        <w:pStyle w:val="Normal"/>
        <w:jc w:val="center"/>
        <w:rPr/>
      </w:pPr>
      <w:r>
        <w:rPr/>
      </w:r>
    </w:p>
    <w:p>
      <w:pPr>
        <w:pStyle w:val="Normal"/>
        <w:jc w:val="center"/>
        <w:rPr/>
      </w:pPr>
      <w:r>
        <w:rPr/>
      </w:r>
    </w:p>
    <w:p>
      <w:pPr>
        <w:pStyle w:val="Normal"/>
        <w:jc w:val="center"/>
        <w:rPr/>
      </w:pPr>
      <w:r>
        <w:rPr/>
      </w:r>
    </w:p>
    <w:p>
      <w:pPr>
        <w:pStyle w:val="Normal"/>
        <w:jc w:val="center"/>
        <w:rPr/>
      </w:pPr>
      <w:r>
        <w:rPr/>
      </w:r>
    </w:p>
    <w:p>
      <w:pPr>
        <w:pStyle w:val="Normal"/>
        <w:jc w:val="center"/>
        <w:rPr/>
      </w:pPr>
      <w:r>
        <w:rPr/>
      </w:r>
    </w:p>
    <w:p>
      <w:pPr>
        <w:pStyle w:val="Normal"/>
        <w:jc w:val="center"/>
        <w:rPr/>
      </w:pPr>
      <w:r>
        <w:rPr/>
      </w:r>
    </w:p>
    <w:p>
      <w:pPr>
        <w:pStyle w:val="Normal"/>
        <w:jc w:val="center"/>
        <w:rPr/>
      </w:pPr>
      <w:r>
        <w:rPr/>
      </w:r>
    </w:p>
    <w:p>
      <w:pPr>
        <w:pStyle w:val="Normal"/>
        <w:jc w:val="center"/>
        <w:rPr/>
      </w:pPr>
      <w:r>
        <w:rPr/>
      </w:r>
    </w:p>
    <w:p>
      <w:pPr>
        <w:pStyle w:val="Normal"/>
        <w:jc w:val="center"/>
        <w:rPr/>
      </w:pPr>
      <w:r>
        <w:rPr/>
      </w:r>
    </w:p>
    <w:p>
      <w:pPr>
        <w:pStyle w:val="Normal"/>
        <w:jc w:val="center"/>
        <w:rPr/>
      </w:pPr>
      <w:r>
        <w:rPr>
          <w:rFonts w:eastAsia="Times New Roman" w:cs="Times New Roman"/>
          <w:sz w:val="22"/>
          <w:szCs w:val="22"/>
        </w:rPr>
        <w:t>Version 1.0</w:t>
      </w:r>
    </w:p>
    <w:p>
      <w:pPr>
        <w:pStyle w:val="Normal"/>
        <w:jc w:val="center"/>
        <w:rPr/>
      </w:pPr>
      <w:r>
        <w:rPr>
          <w:rFonts w:eastAsia="Times New Roman" w:cs="Times New Roman"/>
          <w:sz w:val="22"/>
          <w:szCs w:val="22"/>
        </w:rPr>
        <w:t>August 23, 2026</w:t>
      </w:r>
    </w:p>
    <w:p>
      <w:pPr>
        <w:pStyle w:val="Normal"/>
        <w:rPr/>
      </w:pPr>
      <w:r>
        <w:rPr/>
      </w:r>
      <w:r>
        <w:br w:type="page"/>
      </w:r>
    </w:p>
    <w:p>
      <w:pPr>
        <w:pStyle w:val="Normal"/>
        <w:spacing w:before="0" w:after="200"/>
        <w:rPr/>
      </w:pPr>
      <w:r>
        <w:rPr>
          <w:rFonts w:eastAsia="Liberation Sans" w:cs="Liberation Sans" w:ascii="Liberation Sans" w:hAnsi="Liberation Sans"/>
          <w:b/>
          <w:bCs/>
          <w:color w:val="2E75B6"/>
          <w:sz w:val="30"/>
          <w:szCs w:val="30"/>
        </w:rPr>
        <w:t>Table of Contents</w:t>
      </w:r>
    </w:p>
    <w:sdt>
      <w:sdtPr>
        <w:docPartObj>
          <w:docPartGallery w:val="Table of Contents"/>
          <w:docPartUnique w:val="true"/>
        </w:docPartObj>
      </w:sdtPr>
      <w:sdtContent>
        <w:p>
          <w:pPr>
            <w:pStyle w:val="TOC1"/>
            <w:tabs>
              <w:tab w:val="clear" w:pos="9360"/>
              <w:tab w:val="right" w:pos="9359" w:leader="dot"/>
            </w:tabs>
            <w:rPr/>
          </w:pPr>
          <w:r>
            <w:fldChar w:fldCharType="begin"/>
          </w:r>
          <w:r>
            <w:rPr>
              <w:rStyle w:val="IndexLink"/>
            </w:rPr>
            <w:instrText xml:space="preserve"> TOC \o "1-2" \h</w:instrText>
          </w:r>
          <w:r>
            <w:rPr>
              <w:rStyle w:val="IndexLink"/>
            </w:rPr>
            <w:fldChar w:fldCharType="separate"/>
          </w:r>
          <w:hyperlink w:anchor="__RefHeading___Toc276_441392701">
            <w:r>
              <w:rPr>
                <w:rStyle w:val="IndexLink"/>
              </w:rPr>
              <w:t>Change Log</w:t>
              <w:tab/>
              <w:t>3</w:t>
            </w:r>
          </w:hyperlink>
        </w:p>
        <w:p>
          <w:pPr>
            <w:pStyle w:val="TOC1"/>
            <w:tabs>
              <w:tab w:val="clear" w:pos="9360"/>
              <w:tab w:val="right" w:pos="9359" w:leader="dot"/>
            </w:tabs>
            <w:rPr/>
          </w:pPr>
          <w:hyperlink w:anchor="__RefHeading___Toc278_441392701">
            <w:r>
              <w:rPr>
                <w:rStyle w:val="IndexLink"/>
              </w:rPr>
              <w:t>Purpose</w:t>
              <w:tab/>
              <w:t>4</w:t>
            </w:r>
          </w:hyperlink>
        </w:p>
        <w:p>
          <w:pPr>
            <w:pStyle w:val="TOC1"/>
            <w:tabs>
              <w:tab w:val="clear" w:pos="9360"/>
              <w:tab w:val="right" w:pos="9359" w:leader="dot"/>
            </w:tabs>
            <w:rPr/>
          </w:pPr>
          <w:hyperlink w:anchor="__RefHeading___Toc280_441392701">
            <w:r>
              <w:rPr>
                <w:rStyle w:val="IndexLink"/>
              </w:rPr>
              <w:t>Scope</w:t>
              <w:tab/>
              <w:t>4</w:t>
            </w:r>
          </w:hyperlink>
        </w:p>
        <w:p>
          <w:pPr>
            <w:pStyle w:val="TOC1"/>
            <w:tabs>
              <w:tab w:val="clear" w:pos="9360"/>
              <w:tab w:val="right" w:pos="9359" w:leader="dot"/>
            </w:tabs>
            <w:rPr/>
          </w:pPr>
          <w:hyperlink w:anchor="__RefHeading___Toc282_441392701">
            <w:r>
              <w:rPr>
                <w:rStyle w:val="IndexLink"/>
              </w:rPr>
              <w:t>Risk Assessment Process Overview</w:t>
              <w:tab/>
              <w:t>4</w:t>
            </w:r>
          </w:hyperlink>
        </w:p>
        <w:p>
          <w:pPr>
            <w:pStyle w:val="TOC1"/>
            <w:tabs>
              <w:tab w:val="clear" w:pos="9360"/>
              <w:tab w:val="right" w:pos="9359" w:leader="dot"/>
            </w:tabs>
            <w:rPr/>
          </w:pPr>
          <w:hyperlink w:anchor="__RefHeading___Toc284_441392701">
            <w:r>
              <w:rPr>
                <w:rStyle w:val="IndexLink"/>
              </w:rPr>
              <w:t>Risk Assessment Criteria</w:t>
              <w:tab/>
              <w:t>4</w:t>
            </w:r>
          </w:hyperlink>
        </w:p>
        <w:p>
          <w:pPr>
            <w:pStyle w:val="TOC1"/>
            <w:tabs>
              <w:tab w:val="clear" w:pos="9360"/>
              <w:tab w:val="right" w:pos="9359" w:leader="dot"/>
            </w:tabs>
            <w:rPr/>
          </w:pPr>
          <w:hyperlink w:anchor="__RefHeading___Toc286_441392701">
            <w:r>
              <w:rPr>
                <w:rStyle w:val="IndexLink"/>
              </w:rPr>
              <w:t>Risk Evaluation Criteria</w:t>
              <w:tab/>
              <w:t>6</w:t>
            </w:r>
          </w:hyperlink>
        </w:p>
        <w:p>
          <w:pPr>
            <w:pStyle w:val="TOC1"/>
            <w:tabs>
              <w:tab w:val="clear" w:pos="9360"/>
              <w:tab w:val="right" w:pos="9359" w:leader="dot"/>
            </w:tabs>
            <w:rPr/>
          </w:pPr>
          <w:hyperlink w:anchor="__RefHeading___Toc288_441392701">
            <w:r>
              <w:rPr>
                <w:rStyle w:val="IndexLink"/>
              </w:rPr>
              <w:t>Risk Acceptance Criteria</w:t>
              <w:tab/>
              <w:t>6</w:t>
            </w:r>
          </w:hyperlink>
        </w:p>
        <w:p>
          <w:pPr>
            <w:pStyle w:val="TOC1"/>
            <w:tabs>
              <w:tab w:val="clear" w:pos="9360"/>
              <w:tab w:val="right" w:pos="9359" w:leader="dot"/>
            </w:tabs>
            <w:rPr/>
          </w:pPr>
          <w:hyperlink w:anchor="__RefHeading___Toc290_441392701">
            <w:r>
              <w:rPr>
                <w:rStyle w:val="IndexLink"/>
              </w:rPr>
              <w:t>Asset Identification</w:t>
              <w:tab/>
              <w:t>6</w:t>
            </w:r>
          </w:hyperlink>
        </w:p>
        <w:p>
          <w:pPr>
            <w:pStyle w:val="TOC1"/>
            <w:tabs>
              <w:tab w:val="clear" w:pos="9360"/>
              <w:tab w:val="right" w:pos="9359" w:leader="dot"/>
            </w:tabs>
            <w:rPr/>
          </w:pPr>
          <w:hyperlink w:anchor="__RefHeading___Toc292_441392701">
            <w:r>
              <w:rPr>
                <w:rStyle w:val="IndexLink"/>
              </w:rPr>
              <w:t>Threats and Vulnerabilities</w:t>
              <w:tab/>
              <w:t>6</w:t>
            </w:r>
          </w:hyperlink>
        </w:p>
        <w:p>
          <w:pPr>
            <w:pStyle w:val="TOC1"/>
            <w:tabs>
              <w:tab w:val="clear" w:pos="9360"/>
              <w:tab w:val="right" w:pos="9359" w:leader="dot"/>
            </w:tabs>
            <w:rPr/>
          </w:pPr>
          <w:hyperlink w:anchor="__RefHeading___Toc294_441392701">
            <w:r>
              <w:rPr>
                <w:rStyle w:val="IndexLink"/>
              </w:rPr>
              <w:t>Risk Ownership</w:t>
              <w:tab/>
              <w:t>7</w:t>
            </w:r>
          </w:hyperlink>
        </w:p>
        <w:p>
          <w:pPr>
            <w:pStyle w:val="TOC1"/>
            <w:tabs>
              <w:tab w:val="clear" w:pos="9360"/>
              <w:tab w:val="right" w:pos="9359" w:leader="dot"/>
            </w:tabs>
            <w:rPr/>
          </w:pPr>
          <w:hyperlink w:anchor="__RefHeading___Toc296_441392701">
            <w:r>
              <w:rPr>
                <w:rStyle w:val="IndexLink"/>
              </w:rPr>
              <w:t>Review and Frequency</w:t>
              <w:tab/>
              <w:t>7</w:t>
            </w:r>
          </w:hyperlink>
        </w:p>
        <w:p>
          <w:pPr>
            <w:pStyle w:val="TOC1"/>
            <w:tabs>
              <w:tab w:val="clear" w:pos="9360"/>
              <w:tab w:val="right" w:pos="9359" w:leader="dot"/>
            </w:tabs>
            <w:rPr/>
          </w:pPr>
          <w:hyperlink w:anchor="__RefHeading___Toc298_441392701">
            <w:r>
              <w:rPr>
                <w:rStyle w:val="IndexLink"/>
              </w:rPr>
              <w:t>Outputs and Records</w:t>
              <w:tab/>
              <w:t>7</w:t>
            </w:r>
          </w:hyperlink>
          <w:r>
            <w:rPr>
              <w:rStyle w:val="IndexLink"/>
            </w:rPr>
            <w:fldChar w:fldCharType="end"/>
          </w:r>
        </w:p>
      </w:sdtContent>
    </w:sdt>
    <w:p>
      <w:pPr>
        <w:pStyle w:val="Normal"/>
        <w:rPr/>
      </w:pPr>
      <w:r>
        <w:rPr/>
      </w:r>
    </w:p>
    <w:p>
      <w:pPr>
        <w:pStyle w:val="Normal"/>
        <w:rPr/>
      </w:pPr>
      <w:r>
        <w:rPr/>
      </w:r>
      <w:r>
        <w:br w:type="page"/>
      </w:r>
    </w:p>
    <w:p>
      <w:pPr>
        <w:pStyle w:val="Heading1"/>
        <w:spacing w:before="0" w:after="160"/>
        <w:rPr/>
      </w:pPr>
      <w:bookmarkStart w:id="0" w:name="__RefHeading___Toc276_441392701"/>
      <w:bookmarkEnd w:id="0"/>
      <w:r>
        <w:rPr>
          <w:rFonts w:eastAsia="Liberation Sans" w:cs="Liberation Sans" w:ascii="Liberation Sans" w:hAnsi="Liberation Sans"/>
          <w:b/>
          <w:bCs/>
          <w:color w:val="2E75B6"/>
          <w:sz w:val="30"/>
          <w:szCs w:val="30"/>
        </w:rPr>
        <w:t>Change Log</w:t>
      </w:r>
    </w:p>
    <w:tbl>
      <w:tblPr>
        <w:tblW w:w="9440" w:type="dxa"/>
        <w:jc w:val="left"/>
        <w:tblInd w:w="0" w:type="dxa"/>
        <w:tblLayout w:type="fixed"/>
        <w:tblCellMar>
          <w:top w:w="80" w:type="dxa"/>
          <w:left w:w="100" w:type="dxa"/>
          <w:bottom w:w="80" w:type="dxa"/>
          <w:right w:w="100" w:type="dxa"/>
        </w:tblCellMar>
      </w:tblPr>
      <w:tblGrid>
        <w:gridCol w:w="1180"/>
        <w:gridCol w:w="1180"/>
        <w:gridCol w:w="1180"/>
        <w:gridCol w:w="1180"/>
        <w:gridCol w:w="1180"/>
        <w:gridCol w:w="1180"/>
        <w:gridCol w:w="1180"/>
        <w:gridCol w:w="1178"/>
      </w:tblGrid>
      <w:tr>
        <w:trPr>
          <w:tblHeader w:val="true"/>
        </w:trPr>
        <w:tc>
          <w:tcPr>
            <w:tcW w:w="1180" w:type="dxa"/>
            <w:tcBorders>
              <w:top w:val="single" w:sz="4" w:space="0" w:color="BFBFBF"/>
              <w:left w:val="single" w:sz="4" w:space="0" w:color="BFBFBF"/>
              <w:bottom w:val="single" w:sz="4" w:space="0" w:color="BFBFBF"/>
              <w:right w:val="single" w:sz="4" w:space="0" w:color="BFBFBF"/>
            </w:tcBorders>
            <w:shd w:color="auto" w:fill="D9E2F3" w:val="clear"/>
            <w:vAlign w:val="center"/>
          </w:tcPr>
          <w:p>
            <w:pPr>
              <w:pStyle w:val="Normal"/>
              <w:rPr/>
            </w:pPr>
            <w:r>
              <w:rPr>
                <w:rFonts w:eastAsia="Times New Roman" w:cs="Times New Roman"/>
                <w:b/>
                <w:bCs/>
                <w:color w:val="1F1F1F"/>
                <w:sz w:val="20"/>
                <w:szCs w:val="20"/>
              </w:rPr>
              <w:t>Date</w:t>
            </w:r>
          </w:p>
        </w:tc>
        <w:tc>
          <w:tcPr>
            <w:tcW w:w="1180" w:type="dxa"/>
            <w:tcBorders>
              <w:top w:val="single" w:sz="4" w:space="0" w:color="BFBFBF"/>
              <w:left w:val="single" w:sz="4" w:space="0" w:color="BFBFBF"/>
              <w:bottom w:val="single" w:sz="4" w:space="0" w:color="BFBFBF"/>
              <w:right w:val="single" w:sz="4" w:space="0" w:color="BFBFBF"/>
            </w:tcBorders>
            <w:shd w:color="auto" w:fill="D9E2F3" w:val="clear"/>
            <w:vAlign w:val="center"/>
          </w:tcPr>
          <w:p>
            <w:pPr>
              <w:pStyle w:val="Normal"/>
              <w:rPr/>
            </w:pPr>
            <w:r>
              <w:rPr>
                <w:rFonts w:eastAsia="Times New Roman" w:cs="Times New Roman"/>
                <w:b/>
                <w:bCs/>
                <w:color w:val="1F1F1F"/>
                <w:sz w:val="20"/>
                <w:szCs w:val="20"/>
              </w:rPr>
              <w:t>Version</w:t>
            </w:r>
          </w:p>
        </w:tc>
        <w:tc>
          <w:tcPr>
            <w:tcW w:w="1180" w:type="dxa"/>
            <w:tcBorders>
              <w:top w:val="single" w:sz="4" w:space="0" w:color="BFBFBF"/>
              <w:left w:val="single" w:sz="4" w:space="0" w:color="BFBFBF"/>
              <w:bottom w:val="single" w:sz="4" w:space="0" w:color="BFBFBF"/>
              <w:right w:val="single" w:sz="4" w:space="0" w:color="BFBFBF"/>
            </w:tcBorders>
            <w:shd w:color="auto" w:fill="D9E2F3" w:val="clear"/>
            <w:vAlign w:val="center"/>
          </w:tcPr>
          <w:p>
            <w:pPr>
              <w:pStyle w:val="Normal"/>
              <w:rPr/>
            </w:pPr>
            <w:r>
              <w:rPr>
                <w:rFonts w:eastAsia="Times New Roman" w:cs="Times New Roman"/>
                <w:b/>
                <w:bCs/>
                <w:color w:val="1F1F1F"/>
                <w:sz w:val="20"/>
                <w:szCs w:val="20"/>
              </w:rPr>
              <w:t>Author</w:t>
            </w:r>
          </w:p>
        </w:tc>
        <w:tc>
          <w:tcPr>
            <w:tcW w:w="1180" w:type="dxa"/>
            <w:tcBorders>
              <w:top w:val="single" w:sz="4" w:space="0" w:color="BFBFBF"/>
              <w:left w:val="single" w:sz="4" w:space="0" w:color="BFBFBF"/>
              <w:bottom w:val="single" w:sz="4" w:space="0" w:color="BFBFBF"/>
              <w:right w:val="single" w:sz="4" w:space="0" w:color="BFBFBF"/>
            </w:tcBorders>
            <w:shd w:color="auto" w:fill="D9E2F3" w:val="clear"/>
            <w:vAlign w:val="center"/>
          </w:tcPr>
          <w:p>
            <w:pPr>
              <w:pStyle w:val="Normal"/>
              <w:rPr/>
            </w:pPr>
            <w:r>
              <w:rPr>
                <w:rFonts w:eastAsia="Times New Roman" w:cs="Times New Roman"/>
                <w:b/>
                <w:bCs/>
                <w:color w:val="1F1F1F"/>
                <w:sz w:val="20"/>
                <w:szCs w:val="20"/>
              </w:rPr>
              <w:t>Description</w:t>
            </w:r>
          </w:p>
        </w:tc>
        <w:tc>
          <w:tcPr>
            <w:tcW w:w="1180" w:type="dxa"/>
            <w:tcBorders>
              <w:top w:val="single" w:sz="4" w:space="0" w:color="BFBFBF"/>
              <w:left w:val="single" w:sz="4" w:space="0" w:color="BFBFBF"/>
              <w:bottom w:val="single" w:sz="4" w:space="0" w:color="BFBFBF"/>
              <w:right w:val="single" w:sz="4" w:space="0" w:color="BFBFBF"/>
            </w:tcBorders>
            <w:shd w:color="auto" w:fill="D9E2F3" w:val="clear"/>
            <w:vAlign w:val="center"/>
          </w:tcPr>
          <w:p>
            <w:pPr>
              <w:pStyle w:val="Normal"/>
              <w:rPr/>
            </w:pPr>
            <w:r>
              <w:rPr>
                <w:rFonts w:eastAsia="Times New Roman" w:cs="Times New Roman"/>
                <w:b/>
                <w:bCs/>
                <w:color w:val="1F1F1F"/>
                <w:sz w:val="20"/>
                <w:szCs w:val="20"/>
              </w:rPr>
              <w:t>Approved By</w:t>
            </w:r>
          </w:p>
        </w:tc>
        <w:tc>
          <w:tcPr>
            <w:tcW w:w="1180" w:type="dxa"/>
            <w:tcBorders>
              <w:top w:val="single" w:sz="4" w:space="0" w:color="BFBFBF"/>
              <w:left w:val="single" w:sz="4" w:space="0" w:color="BFBFBF"/>
              <w:bottom w:val="single" w:sz="4" w:space="0" w:color="BFBFBF"/>
              <w:right w:val="single" w:sz="4" w:space="0" w:color="BFBFBF"/>
            </w:tcBorders>
            <w:shd w:color="auto" w:fill="D9E2F3" w:val="clear"/>
            <w:vAlign w:val="center"/>
          </w:tcPr>
          <w:p>
            <w:pPr>
              <w:pStyle w:val="Normal"/>
              <w:rPr/>
            </w:pPr>
            <w:r>
              <w:rPr>
                <w:rFonts w:eastAsia="Times New Roman" w:cs="Times New Roman"/>
                <w:b/>
                <w:bCs/>
                <w:color w:val="1F1F1F"/>
                <w:sz w:val="20"/>
                <w:szCs w:val="20"/>
              </w:rPr>
              <w:t>Last Updated</w:t>
            </w:r>
          </w:p>
        </w:tc>
        <w:tc>
          <w:tcPr>
            <w:tcW w:w="1180" w:type="dxa"/>
            <w:tcBorders>
              <w:top w:val="single" w:sz="4" w:space="0" w:color="BFBFBF"/>
              <w:left w:val="single" w:sz="4" w:space="0" w:color="BFBFBF"/>
              <w:bottom w:val="single" w:sz="4" w:space="0" w:color="BFBFBF"/>
              <w:right w:val="single" w:sz="4" w:space="0" w:color="BFBFBF"/>
            </w:tcBorders>
            <w:shd w:color="auto" w:fill="D9E2F3" w:val="clear"/>
            <w:vAlign w:val="center"/>
          </w:tcPr>
          <w:p>
            <w:pPr>
              <w:pStyle w:val="Normal"/>
              <w:rPr/>
            </w:pPr>
            <w:r>
              <w:rPr>
                <w:rFonts w:eastAsia="Times New Roman" w:cs="Times New Roman"/>
                <w:b/>
                <w:bCs/>
                <w:color w:val="1F1F1F"/>
                <w:sz w:val="20"/>
                <w:szCs w:val="20"/>
              </w:rPr>
              <w:t>Review Frequency</w:t>
            </w:r>
          </w:p>
        </w:tc>
        <w:tc>
          <w:tcPr>
            <w:tcW w:w="1178" w:type="dxa"/>
            <w:tcBorders>
              <w:top w:val="single" w:sz="4" w:space="0" w:color="BFBFBF"/>
              <w:left w:val="single" w:sz="4" w:space="0" w:color="BFBFBF"/>
              <w:bottom w:val="single" w:sz="4" w:space="0" w:color="BFBFBF"/>
              <w:right w:val="single" w:sz="4" w:space="0" w:color="BFBFBF"/>
            </w:tcBorders>
            <w:shd w:color="auto" w:fill="D9E2F3" w:val="clear"/>
            <w:vAlign w:val="center"/>
          </w:tcPr>
          <w:p>
            <w:pPr>
              <w:pStyle w:val="Normal"/>
              <w:rPr/>
            </w:pPr>
            <w:r>
              <w:rPr>
                <w:rFonts w:eastAsia="Times New Roman" w:cs="Times New Roman"/>
                <w:b/>
                <w:bCs/>
                <w:color w:val="1F1F1F"/>
                <w:sz w:val="20"/>
                <w:szCs w:val="20"/>
              </w:rPr>
              <w:t>Next Review</w:t>
            </w:r>
          </w:p>
        </w:tc>
      </w:tr>
      <w:tr>
        <w:trPr/>
        <w:tc>
          <w:tcPr>
            <w:tcW w:w="1180" w:type="dxa"/>
            <w:tcBorders>
              <w:top w:val="single" w:sz="4" w:space="0" w:color="BFBFBF"/>
              <w:left w:val="single" w:sz="4" w:space="0" w:color="BFBFBF"/>
              <w:bottom w:val="single" w:sz="4" w:space="0" w:color="BFBFBF"/>
              <w:right w:val="single" w:sz="4" w:space="0" w:color="BFBFBF"/>
            </w:tcBorders>
          </w:tcPr>
          <w:p>
            <w:r>
              <w:t>August 23, 2026</w:t>
            </w:r>
          </w:p>
        </w:tc>
        <w:tc>
          <w:tcPr>
            <w:tcW w:w="1180" w:type="dxa"/>
            <w:tcBorders>
              <w:top w:val="single" w:sz="4" w:space="0" w:color="BFBFBF"/>
              <w:left w:val="single" w:sz="4" w:space="0" w:color="BFBFBF"/>
              <w:bottom w:val="single" w:sz="4" w:space="0" w:color="BFBFBF"/>
              <w:right w:val="single" w:sz="4" w:space="0" w:color="BFBFBF"/>
            </w:tcBorders>
          </w:tcPr>
          <w:p>
            <w:r>
              <w:t>1.0</w:t>
            </w:r>
          </w:p>
        </w:tc>
        <w:tc>
          <w:tcPr>
            <w:tcW w:w="1180" w:type="dxa"/>
            <w:tcBorders>
              <w:top w:val="single" w:sz="4" w:space="0" w:color="BFBFBF"/>
              <w:left w:val="single" w:sz="4" w:space="0" w:color="BFBFBF"/>
              <w:bottom w:val="single" w:sz="4" w:space="0" w:color="BFBFBF"/>
              <w:right w:val="single" w:sz="4" w:space="0" w:color="BFBFBF"/>
            </w:tcBorders>
          </w:tcPr>
          <w:p>
            <w:r>
              <w:t>GRC Analyst</w:t>
            </w:r>
          </w:p>
        </w:tc>
        <w:tc>
          <w:tcPr>
            <w:tcW w:w="1180" w:type="dxa"/>
            <w:tcBorders>
              <w:top w:val="single" w:sz="4" w:space="0" w:color="BFBFBF"/>
              <w:left w:val="single" w:sz="4" w:space="0" w:color="BFBFBF"/>
              <w:bottom w:val="single" w:sz="4" w:space="0" w:color="BFBFBF"/>
              <w:right w:val="single" w:sz="4" w:space="0" w:color="BFBFBF"/>
            </w:tcBorders>
          </w:tcPr>
          <w:p>
            <w:r>
              <w:t>Initial version</w:t>
            </w:r>
          </w:p>
        </w:tc>
        <w:tc>
          <w:tcPr>
            <w:tcW w:w="1180" w:type="dxa"/>
            <w:tcBorders>
              <w:top w:val="single" w:sz="4" w:space="0" w:color="BFBFBF"/>
              <w:left w:val="single" w:sz="4" w:space="0" w:color="BFBFBF"/>
              <w:bottom w:val="single" w:sz="4" w:space="0" w:color="BFBFBF"/>
              <w:right w:val="single" w:sz="4" w:space="0" w:color="BFBFBF"/>
            </w:tcBorders>
          </w:tcPr>
          <w:p>
            <w:r>
              <w:t>Information Security Manager</w:t>
            </w:r>
          </w:p>
        </w:tc>
        <w:tc>
          <w:tcPr>
            <w:tcW w:w="1180" w:type="dxa"/>
            <w:tcBorders>
              <w:top w:val="single" w:sz="4" w:space="0" w:color="BFBFBF"/>
              <w:left w:val="single" w:sz="4" w:space="0" w:color="BFBFBF"/>
              <w:bottom w:val="single" w:sz="4" w:space="0" w:color="BFBFBF"/>
              <w:right w:val="single" w:sz="4" w:space="0" w:color="BFBFBF"/>
            </w:tcBorders>
          </w:tcPr>
          <w:p>
            <w:r>
              <w:t>August 23, 2026</w:t>
            </w:r>
          </w:p>
        </w:tc>
        <w:tc>
          <w:tcPr>
            <w:tcW w:w="1180" w:type="dxa"/>
            <w:tcBorders>
              <w:top w:val="single" w:sz="4" w:space="0" w:color="BFBFBF"/>
              <w:left w:val="single" w:sz="4" w:space="0" w:color="BFBFBF"/>
              <w:bottom w:val="single" w:sz="4" w:space="0" w:color="BFBFBF"/>
              <w:right w:val="single" w:sz="4" w:space="0" w:color="BFBFBF"/>
            </w:tcBorders>
          </w:tcPr>
          <w:p>
            <w:r>
              <w:t>Annually</w:t>
            </w:r>
          </w:p>
        </w:tc>
        <w:tc>
          <w:tcPr>
            <w:tcW w:w="1178" w:type="dxa"/>
            <w:tcBorders>
              <w:top w:val="single" w:sz="4" w:space="0" w:color="BFBFBF"/>
              <w:left w:val="single" w:sz="4" w:space="0" w:color="BFBFBF"/>
              <w:bottom w:val="single" w:sz="4" w:space="0" w:color="BFBFBF"/>
              <w:right w:val="single" w:sz="4" w:space="0" w:color="BFBFBF"/>
            </w:tcBorders>
          </w:tcPr>
          <w:p>
            <w:r>
              <w:t>August 23, 2027</w:t>
            </w:r>
          </w:p>
        </w:tc>
      </w:tr>
      <w:tr>
        <w:trPr/>
        <w:tc>
          <w:tcPr>
            <w:tcW w:w="1180" w:type="dxa"/>
            <w:tcBorders>
              <w:top w:val="single" w:sz="4" w:space="0" w:color="BFBFBF"/>
              <w:left w:val="single" w:sz="4" w:space="0" w:color="BFBFBF"/>
              <w:bottom w:val="single" w:sz="4" w:space="0" w:color="BFBFBF"/>
              <w:right w:val="single" w:sz="4" w:space="0" w:color="BFBFBF"/>
            </w:tcBorders>
          </w:tcPr>
          <w:p>
            <w:pPr>
              <w:pStyle w:val="Normal"/>
              <w:rPr/>
            </w:pPr>
            <w:r>
              <w:rPr>
                <w:rFonts w:eastAsia="Times New Roman" w:cs="Times New Roman"/>
                <w:b w:val="false"/>
                <w:bCs w:val="false"/>
                <w:color w:val="1F1F1F"/>
                <w:sz w:val="20"/>
                <w:szCs w:val="20"/>
              </w:rPr>
              <w:t xml:space="preserve"> </w:t>
            </w:r>
          </w:p>
        </w:tc>
        <w:tc>
          <w:tcPr>
            <w:tcW w:w="1180" w:type="dxa"/>
            <w:tcBorders>
              <w:top w:val="single" w:sz="4" w:space="0" w:color="BFBFBF"/>
              <w:left w:val="single" w:sz="4" w:space="0" w:color="BFBFBF"/>
              <w:bottom w:val="single" w:sz="4" w:space="0" w:color="BFBFBF"/>
              <w:right w:val="single" w:sz="4" w:space="0" w:color="BFBFBF"/>
            </w:tcBorders>
          </w:tcPr>
          <w:p>
            <w:pPr>
              <w:pStyle w:val="Normal"/>
              <w:rPr/>
            </w:pPr>
            <w:r>
              <w:rPr>
                <w:rFonts w:eastAsia="Times New Roman" w:cs="Times New Roman"/>
                <w:b w:val="false"/>
                <w:bCs w:val="false"/>
                <w:color w:val="1F1F1F"/>
                <w:sz w:val="20"/>
                <w:szCs w:val="20"/>
              </w:rPr>
              <w:t xml:space="preserve"> </w:t>
            </w:r>
          </w:p>
        </w:tc>
        <w:tc>
          <w:tcPr>
            <w:tcW w:w="1180" w:type="dxa"/>
            <w:tcBorders>
              <w:top w:val="single" w:sz="4" w:space="0" w:color="BFBFBF"/>
              <w:left w:val="single" w:sz="4" w:space="0" w:color="BFBFBF"/>
              <w:bottom w:val="single" w:sz="4" w:space="0" w:color="BFBFBF"/>
              <w:right w:val="single" w:sz="4" w:space="0" w:color="BFBFBF"/>
            </w:tcBorders>
          </w:tcPr>
          <w:p>
            <w:pPr>
              <w:pStyle w:val="Normal"/>
              <w:rPr/>
            </w:pPr>
            <w:r>
              <w:rPr>
                <w:rFonts w:eastAsia="Times New Roman" w:cs="Times New Roman"/>
                <w:b w:val="false"/>
                <w:bCs w:val="false"/>
                <w:color w:val="1F1F1F"/>
                <w:sz w:val="20"/>
                <w:szCs w:val="20"/>
              </w:rPr>
              <w:t xml:space="preserve"> </w:t>
            </w:r>
          </w:p>
        </w:tc>
        <w:tc>
          <w:tcPr>
            <w:tcW w:w="1180" w:type="dxa"/>
            <w:tcBorders>
              <w:top w:val="single" w:sz="4" w:space="0" w:color="BFBFBF"/>
              <w:left w:val="single" w:sz="4" w:space="0" w:color="BFBFBF"/>
              <w:bottom w:val="single" w:sz="4" w:space="0" w:color="BFBFBF"/>
              <w:right w:val="single" w:sz="4" w:space="0" w:color="BFBFBF"/>
            </w:tcBorders>
          </w:tcPr>
          <w:p>
            <w:pPr>
              <w:pStyle w:val="Normal"/>
              <w:rPr/>
            </w:pPr>
            <w:r>
              <w:rPr>
                <w:rFonts w:eastAsia="Times New Roman" w:cs="Times New Roman"/>
                <w:b w:val="false"/>
                <w:bCs w:val="false"/>
                <w:color w:val="1F1F1F"/>
                <w:sz w:val="20"/>
                <w:szCs w:val="20"/>
              </w:rPr>
              <w:t xml:space="preserve"> </w:t>
            </w:r>
          </w:p>
        </w:tc>
        <w:tc>
          <w:tcPr>
            <w:tcW w:w="1180" w:type="dxa"/>
            <w:tcBorders>
              <w:top w:val="single" w:sz="4" w:space="0" w:color="BFBFBF"/>
              <w:left w:val="single" w:sz="4" w:space="0" w:color="BFBFBF"/>
              <w:bottom w:val="single" w:sz="4" w:space="0" w:color="BFBFBF"/>
              <w:right w:val="single" w:sz="4" w:space="0" w:color="BFBFBF"/>
            </w:tcBorders>
          </w:tcPr>
          <w:p>
            <w:pPr>
              <w:pStyle w:val="Normal"/>
              <w:rPr/>
            </w:pPr>
            <w:r>
              <w:rPr>
                <w:rFonts w:eastAsia="Times New Roman" w:cs="Times New Roman"/>
                <w:b w:val="false"/>
                <w:bCs w:val="false"/>
                <w:color w:val="1F1F1F"/>
                <w:sz w:val="20"/>
                <w:szCs w:val="20"/>
              </w:rPr>
              <w:t xml:space="preserve"> </w:t>
            </w:r>
          </w:p>
        </w:tc>
        <w:tc>
          <w:tcPr>
            <w:tcW w:w="1180" w:type="dxa"/>
            <w:tcBorders>
              <w:top w:val="single" w:sz="4" w:space="0" w:color="BFBFBF"/>
              <w:left w:val="single" w:sz="4" w:space="0" w:color="BFBFBF"/>
              <w:bottom w:val="single" w:sz="4" w:space="0" w:color="BFBFBF"/>
              <w:right w:val="single" w:sz="4" w:space="0" w:color="BFBFBF"/>
            </w:tcBorders>
          </w:tcPr>
          <w:p>
            <w:pPr>
              <w:pStyle w:val="Normal"/>
              <w:rPr/>
            </w:pPr>
            <w:r>
              <w:rPr>
                <w:rFonts w:eastAsia="Times New Roman" w:cs="Times New Roman"/>
                <w:b w:val="false"/>
                <w:bCs w:val="false"/>
                <w:color w:val="1F1F1F"/>
                <w:sz w:val="20"/>
                <w:szCs w:val="20"/>
              </w:rPr>
              <w:t xml:space="preserve"> </w:t>
            </w:r>
          </w:p>
        </w:tc>
        <w:tc>
          <w:tcPr>
            <w:tcW w:w="1180" w:type="dxa"/>
            <w:tcBorders>
              <w:top w:val="single" w:sz="4" w:space="0" w:color="BFBFBF"/>
              <w:left w:val="single" w:sz="4" w:space="0" w:color="BFBFBF"/>
              <w:bottom w:val="single" w:sz="4" w:space="0" w:color="BFBFBF"/>
              <w:right w:val="single" w:sz="4" w:space="0" w:color="BFBFBF"/>
            </w:tcBorders>
          </w:tcPr>
          <w:p>
            <w:pPr>
              <w:pStyle w:val="Normal"/>
              <w:rPr/>
            </w:pPr>
            <w:r>
              <w:rPr>
                <w:rFonts w:eastAsia="Times New Roman" w:cs="Times New Roman"/>
                <w:b w:val="false"/>
                <w:bCs w:val="false"/>
                <w:color w:val="1F1F1F"/>
                <w:sz w:val="20"/>
                <w:szCs w:val="20"/>
              </w:rPr>
              <w:t xml:space="preserve"> </w:t>
            </w:r>
          </w:p>
        </w:tc>
        <w:tc>
          <w:tcPr>
            <w:tcW w:w="1178" w:type="dxa"/>
            <w:tcBorders>
              <w:top w:val="single" w:sz="4" w:space="0" w:color="BFBFBF"/>
              <w:left w:val="single" w:sz="4" w:space="0" w:color="BFBFBF"/>
              <w:bottom w:val="single" w:sz="4" w:space="0" w:color="BFBFBF"/>
              <w:right w:val="single" w:sz="4" w:space="0" w:color="BFBFBF"/>
            </w:tcBorders>
          </w:tcPr>
          <w:p>
            <w:pPr>
              <w:pStyle w:val="Normal"/>
              <w:rPr/>
            </w:pPr>
            <w:r>
              <w:rPr>
                <w:rFonts w:eastAsia="Times New Roman" w:cs="Times New Roman"/>
                <w:b w:val="false"/>
                <w:bCs w:val="false"/>
                <w:color w:val="1F1F1F"/>
                <w:sz w:val="20"/>
                <w:szCs w:val="20"/>
              </w:rPr>
              <w:t xml:space="preserve"> </w:t>
            </w:r>
          </w:p>
        </w:tc>
      </w:tr>
      <w:tr>
        <w:trPr/>
        <w:tc>
          <w:tcPr>
            <w:tcW w:w="1180" w:type="dxa"/>
            <w:tcBorders>
              <w:top w:val="single" w:sz="4" w:space="0" w:color="BFBFBF"/>
              <w:left w:val="single" w:sz="4" w:space="0" w:color="BFBFBF"/>
              <w:bottom w:val="single" w:sz="4" w:space="0" w:color="BFBFBF"/>
              <w:right w:val="single" w:sz="4" w:space="0" w:color="BFBFBF"/>
            </w:tcBorders>
          </w:tcPr>
          <w:p>
            <w:pPr>
              <w:pStyle w:val="Normal"/>
              <w:rPr/>
            </w:pPr>
            <w:r>
              <w:rPr>
                <w:rFonts w:eastAsia="Times New Roman" w:cs="Times New Roman"/>
                <w:b w:val="false"/>
                <w:bCs w:val="false"/>
                <w:color w:val="1F1F1F"/>
                <w:sz w:val="20"/>
                <w:szCs w:val="20"/>
              </w:rPr>
              <w:t xml:space="preserve"> </w:t>
            </w:r>
          </w:p>
        </w:tc>
        <w:tc>
          <w:tcPr>
            <w:tcW w:w="1180" w:type="dxa"/>
            <w:tcBorders>
              <w:top w:val="single" w:sz="4" w:space="0" w:color="BFBFBF"/>
              <w:left w:val="single" w:sz="4" w:space="0" w:color="BFBFBF"/>
              <w:bottom w:val="single" w:sz="4" w:space="0" w:color="BFBFBF"/>
              <w:right w:val="single" w:sz="4" w:space="0" w:color="BFBFBF"/>
            </w:tcBorders>
          </w:tcPr>
          <w:p>
            <w:pPr>
              <w:pStyle w:val="Normal"/>
              <w:rPr/>
            </w:pPr>
            <w:r>
              <w:rPr>
                <w:rFonts w:eastAsia="Times New Roman" w:cs="Times New Roman"/>
                <w:b w:val="false"/>
                <w:bCs w:val="false"/>
                <w:color w:val="1F1F1F"/>
                <w:sz w:val="20"/>
                <w:szCs w:val="20"/>
              </w:rPr>
              <w:t xml:space="preserve"> </w:t>
            </w:r>
          </w:p>
        </w:tc>
        <w:tc>
          <w:tcPr>
            <w:tcW w:w="1180" w:type="dxa"/>
            <w:tcBorders>
              <w:top w:val="single" w:sz="4" w:space="0" w:color="BFBFBF"/>
              <w:left w:val="single" w:sz="4" w:space="0" w:color="BFBFBF"/>
              <w:bottom w:val="single" w:sz="4" w:space="0" w:color="BFBFBF"/>
              <w:right w:val="single" w:sz="4" w:space="0" w:color="BFBFBF"/>
            </w:tcBorders>
          </w:tcPr>
          <w:p>
            <w:pPr>
              <w:pStyle w:val="Normal"/>
              <w:rPr/>
            </w:pPr>
            <w:r>
              <w:rPr>
                <w:rFonts w:eastAsia="Times New Roman" w:cs="Times New Roman"/>
                <w:b w:val="false"/>
                <w:bCs w:val="false"/>
                <w:color w:val="1F1F1F"/>
                <w:sz w:val="20"/>
                <w:szCs w:val="20"/>
              </w:rPr>
              <w:t xml:space="preserve"> </w:t>
            </w:r>
          </w:p>
        </w:tc>
        <w:tc>
          <w:tcPr>
            <w:tcW w:w="1180" w:type="dxa"/>
            <w:tcBorders>
              <w:top w:val="single" w:sz="4" w:space="0" w:color="BFBFBF"/>
              <w:left w:val="single" w:sz="4" w:space="0" w:color="BFBFBF"/>
              <w:bottom w:val="single" w:sz="4" w:space="0" w:color="BFBFBF"/>
              <w:right w:val="single" w:sz="4" w:space="0" w:color="BFBFBF"/>
            </w:tcBorders>
          </w:tcPr>
          <w:p>
            <w:pPr>
              <w:pStyle w:val="Normal"/>
              <w:rPr/>
            </w:pPr>
            <w:r>
              <w:rPr>
                <w:rFonts w:eastAsia="Times New Roman" w:cs="Times New Roman"/>
                <w:b w:val="false"/>
                <w:bCs w:val="false"/>
                <w:color w:val="1F1F1F"/>
                <w:sz w:val="20"/>
                <w:szCs w:val="20"/>
              </w:rPr>
              <w:t xml:space="preserve"> </w:t>
            </w:r>
          </w:p>
        </w:tc>
        <w:tc>
          <w:tcPr>
            <w:tcW w:w="1180" w:type="dxa"/>
            <w:tcBorders>
              <w:top w:val="single" w:sz="4" w:space="0" w:color="BFBFBF"/>
              <w:left w:val="single" w:sz="4" w:space="0" w:color="BFBFBF"/>
              <w:bottom w:val="single" w:sz="4" w:space="0" w:color="BFBFBF"/>
              <w:right w:val="single" w:sz="4" w:space="0" w:color="BFBFBF"/>
            </w:tcBorders>
          </w:tcPr>
          <w:p>
            <w:pPr>
              <w:pStyle w:val="Normal"/>
              <w:rPr/>
            </w:pPr>
            <w:r>
              <w:rPr>
                <w:rFonts w:eastAsia="Times New Roman" w:cs="Times New Roman"/>
                <w:b w:val="false"/>
                <w:bCs w:val="false"/>
                <w:color w:val="1F1F1F"/>
                <w:sz w:val="20"/>
                <w:szCs w:val="20"/>
              </w:rPr>
              <w:t xml:space="preserve"> </w:t>
            </w:r>
          </w:p>
        </w:tc>
        <w:tc>
          <w:tcPr>
            <w:tcW w:w="1180" w:type="dxa"/>
            <w:tcBorders>
              <w:top w:val="single" w:sz="4" w:space="0" w:color="BFBFBF"/>
              <w:left w:val="single" w:sz="4" w:space="0" w:color="BFBFBF"/>
              <w:bottom w:val="single" w:sz="4" w:space="0" w:color="BFBFBF"/>
              <w:right w:val="single" w:sz="4" w:space="0" w:color="BFBFBF"/>
            </w:tcBorders>
          </w:tcPr>
          <w:p>
            <w:pPr>
              <w:pStyle w:val="Normal"/>
              <w:rPr/>
            </w:pPr>
            <w:r>
              <w:rPr>
                <w:rFonts w:eastAsia="Times New Roman" w:cs="Times New Roman"/>
                <w:b w:val="false"/>
                <w:bCs w:val="false"/>
                <w:color w:val="1F1F1F"/>
                <w:sz w:val="20"/>
                <w:szCs w:val="20"/>
              </w:rPr>
              <w:t xml:space="preserve"> </w:t>
            </w:r>
          </w:p>
        </w:tc>
        <w:tc>
          <w:tcPr>
            <w:tcW w:w="1180" w:type="dxa"/>
            <w:tcBorders>
              <w:top w:val="single" w:sz="4" w:space="0" w:color="BFBFBF"/>
              <w:left w:val="single" w:sz="4" w:space="0" w:color="BFBFBF"/>
              <w:bottom w:val="single" w:sz="4" w:space="0" w:color="BFBFBF"/>
              <w:right w:val="single" w:sz="4" w:space="0" w:color="BFBFBF"/>
            </w:tcBorders>
          </w:tcPr>
          <w:p>
            <w:pPr>
              <w:pStyle w:val="Normal"/>
              <w:rPr/>
            </w:pPr>
            <w:r>
              <w:rPr>
                <w:rFonts w:eastAsia="Times New Roman" w:cs="Times New Roman"/>
                <w:b w:val="false"/>
                <w:bCs w:val="false"/>
                <w:color w:val="1F1F1F"/>
                <w:sz w:val="20"/>
                <w:szCs w:val="20"/>
              </w:rPr>
              <w:t xml:space="preserve"> </w:t>
            </w:r>
          </w:p>
        </w:tc>
        <w:tc>
          <w:tcPr>
            <w:tcW w:w="1178" w:type="dxa"/>
            <w:tcBorders>
              <w:top w:val="single" w:sz="4" w:space="0" w:color="BFBFBF"/>
              <w:left w:val="single" w:sz="4" w:space="0" w:color="BFBFBF"/>
              <w:bottom w:val="single" w:sz="4" w:space="0" w:color="BFBFBF"/>
              <w:right w:val="single" w:sz="4" w:space="0" w:color="BFBFBF"/>
            </w:tcBorders>
          </w:tcPr>
          <w:p>
            <w:pPr>
              <w:pStyle w:val="Normal"/>
              <w:rPr/>
            </w:pPr>
            <w:r>
              <w:rPr>
                <w:rFonts w:eastAsia="Times New Roman" w:cs="Times New Roman"/>
                <w:b w:val="false"/>
                <w:bCs w:val="false"/>
                <w:color w:val="1F1F1F"/>
                <w:sz w:val="20"/>
                <w:szCs w:val="20"/>
              </w:rPr>
              <w:t xml:space="preserve"> </w:t>
            </w:r>
          </w:p>
        </w:tc>
      </w:tr>
    </w:tbl>
    <w:p>
      <w:pPr>
        <w:pStyle w:val="Normal"/>
        <w:rPr/>
      </w:pPr>
      <w:r>
        <w:rPr/>
      </w:r>
      <w:r>
        <w:br w:type="page"/>
      </w:r>
    </w:p>
    <w:p>
      <w:pPr>
        <w:pStyle w:val="Heading1"/>
        <w:spacing w:before="0" w:after="160"/>
        <w:rPr/>
      </w:pPr>
      <w:bookmarkStart w:id="1" w:name="__RefHeading___Toc278_441392701"/>
      <w:bookmarkEnd w:id="1"/>
      <w:r>
        <w:rPr>
          <w:rFonts w:eastAsia="Liberation Sans" w:cs="Liberation Sans" w:ascii="Liberation Sans" w:hAnsi="Liberation Sans"/>
          <w:b/>
          <w:bCs/>
          <w:color w:val="2E75B6"/>
          <w:sz w:val="30"/>
          <w:szCs w:val="30"/>
        </w:rPr>
        <w:t>Purpose</w:t>
      </w:r>
    </w:p>
    <w:p>
      <w:pPr>
        <w:pStyle w:val="Normal"/>
        <w:spacing w:lineRule="exact" w:line="300" w:before="0" w:after="200"/>
        <w:rPr/>
      </w:pPr>
      <w:r>
        <w:rPr>
          <w:rFonts w:eastAsia="Times New Roman" w:cs="Times New Roman"/>
          <w:b w:val="false"/>
          <w:bCs w:val="false"/>
          <w:color w:val="1F1F1F"/>
          <w:sz w:val="22"/>
          <w:szCs w:val="22"/>
        </w:rPr>
        <w:t>This document defines the methodology used by Abionic Inc. to identify, analyse, and evaluate information security risks. It ensures a consistent, repeatable, and effective approach to risk assessment in support of the Information Security Management System (ISMS).</w:t>
      </w:r>
    </w:p>
    <w:p>
      <w:pPr>
        <w:pStyle w:val="Heading1"/>
        <w:spacing w:before="200" w:after="160"/>
        <w:rPr/>
      </w:pPr>
      <w:bookmarkStart w:id="2" w:name="__RefHeading___Toc280_441392701"/>
      <w:bookmarkEnd w:id="2"/>
      <w:r>
        <w:rPr>
          <w:rFonts w:eastAsia="Liberation Sans" w:cs="Liberation Sans" w:ascii="Liberation Sans" w:hAnsi="Liberation Sans"/>
          <w:b/>
          <w:bCs/>
          <w:color w:val="2E75B6"/>
          <w:sz w:val="30"/>
          <w:szCs w:val="30"/>
        </w:rPr>
        <w:t>Scope</w:t>
      </w:r>
    </w:p>
    <w:p>
      <w:pPr>
        <w:pStyle w:val="Normal"/>
        <w:spacing w:lineRule="exact" w:line="300" w:before="0" w:after="200"/>
        <w:rPr/>
      </w:pPr>
      <w:r>
        <w:rPr>
          <w:rFonts w:eastAsia="Times New Roman" w:cs="Times New Roman"/>
          <w:b w:val="false"/>
          <w:bCs w:val="false"/>
          <w:color w:val="1F1F1F"/>
          <w:sz w:val="22"/>
          <w:szCs w:val="22"/>
        </w:rPr>
        <w:t>This methodology applies to all information assets, personnel, systems, and operations within the scope of Abionic Inc.'s ISMS, specifically related to the development, deployment, and maintenance of the SaaS marketing platform.</w:t>
      </w:r>
    </w:p>
    <w:p>
      <w:pPr>
        <w:pStyle w:val="Heading1"/>
        <w:spacing w:before="200" w:after="160"/>
        <w:rPr/>
      </w:pPr>
      <w:bookmarkStart w:id="3" w:name="__RefHeading___Toc282_441392701"/>
      <w:bookmarkEnd w:id="3"/>
      <w:r>
        <w:rPr>
          <w:rFonts w:eastAsia="Liberation Sans" w:cs="Liberation Sans" w:ascii="Liberation Sans" w:hAnsi="Liberation Sans"/>
          <w:b/>
          <w:bCs/>
          <w:color w:val="2E75B6"/>
          <w:sz w:val="30"/>
          <w:szCs w:val="30"/>
        </w:rPr>
        <w:t>Risk Assessment Process Overview</w:t>
      </w:r>
    </w:p>
    <w:p>
      <w:pPr>
        <w:pStyle w:val="Normal"/>
        <w:spacing w:lineRule="exact" w:line="300" w:before="0" w:after="200"/>
        <w:rPr/>
      </w:pPr>
      <w:r>
        <w:rPr>
          <w:rFonts w:eastAsia="Times New Roman" w:cs="Times New Roman"/>
          <w:b w:val="false"/>
          <w:bCs w:val="false"/>
          <w:color w:val="1F1F1F"/>
          <w:sz w:val="22"/>
          <w:szCs w:val="22"/>
        </w:rPr>
        <w:t>The risk assessment process consists of the following stages:</w:t>
      </w:r>
    </w:p>
    <w:p>
      <w:pPr>
        <w:pStyle w:val="ListParagraph"/>
        <w:numPr>
          <w:ilvl w:val="0"/>
          <w:numId w:val="3"/>
        </w:numPr>
        <w:spacing w:lineRule="exact" w:line="300" w:before="0" w:after="120"/>
        <w:ind w:hanging="360" w:left="720"/>
        <w:rPr/>
      </w:pPr>
      <w:r>
        <w:rPr>
          <w:rFonts w:eastAsia="Times New Roman" w:cs="Times New Roman"/>
          <w:b w:val="false"/>
          <w:bCs w:val="false"/>
          <w:color w:val="1F1F1F"/>
          <w:sz w:val="22"/>
          <w:szCs w:val="22"/>
        </w:rPr>
        <w:t>Asset Identification</w:t>
      </w:r>
    </w:p>
    <w:p>
      <w:pPr>
        <w:pStyle w:val="ListParagraph"/>
        <w:numPr>
          <w:ilvl w:val="0"/>
          <w:numId w:val="1"/>
        </w:numPr>
        <w:spacing w:lineRule="exact" w:line="300" w:before="0" w:after="120"/>
        <w:ind w:hanging="360" w:left="720"/>
        <w:rPr/>
      </w:pPr>
      <w:r>
        <w:rPr>
          <w:rFonts w:eastAsia="Times New Roman" w:cs="Times New Roman"/>
          <w:b w:val="false"/>
          <w:bCs w:val="false"/>
          <w:color w:val="1F1F1F"/>
          <w:sz w:val="22"/>
          <w:szCs w:val="22"/>
        </w:rPr>
        <w:t>Threat and Vulnerability Identification</w:t>
      </w:r>
    </w:p>
    <w:p>
      <w:pPr>
        <w:pStyle w:val="ListParagraph"/>
        <w:numPr>
          <w:ilvl w:val="0"/>
          <w:numId w:val="1"/>
        </w:numPr>
        <w:spacing w:lineRule="exact" w:line="300" w:before="0" w:after="120"/>
        <w:ind w:hanging="360" w:left="720"/>
        <w:rPr/>
      </w:pPr>
      <w:r>
        <w:rPr>
          <w:rFonts w:eastAsia="Times New Roman" w:cs="Times New Roman"/>
          <w:b w:val="false"/>
          <w:bCs w:val="false"/>
          <w:color w:val="1F1F1F"/>
          <w:sz w:val="22"/>
          <w:szCs w:val="22"/>
        </w:rPr>
        <w:t>Risk Analysis (Likelihood × Impact)</w:t>
      </w:r>
    </w:p>
    <w:p>
      <w:pPr>
        <w:pStyle w:val="ListParagraph"/>
        <w:numPr>
          <w:ilvl w:val="0"/>
          <w:numId w:val="1"/>
        </w:numPr>
        <w:spacing w:lineRule="exact" w:line="300" w:before="0" w:after="120"/>
        <w:ind w:hanging="360" w:left="720"/>
        <w:rPr/>
      </w:pPr>
      <w:r>
        <w:rPr>
          <w:rFonts w:eastAsia="Times New Roman" w:cs="Times New Roman"/>
          <w:b w:val="false"/>
          <w:bCs w:val="false"/>
          <w:color w:val="1F1F1F"/>
          <w:sz w:val="22"/>
          <w:szCs w:val="22"/>
        </w:rPr>
        <w:t>Risk Evaluation</w:t>
      </w:r>
    </w:p>
    <w:p>
      <w:pPr>
        <w:pStyle w:val="ListParagraph"/>
        <w:numPr>
          <w:ilvl w:val="0"/>
          <w:numId w:val="1"/>
        </w:numPr>
        <w:spacing w:lineRule="exact" w:line="300" w:before="0" w:after="120"/>
        <w:ind w:hanging="360" w:left="720"/>
        <w:rPr/>
      </w:pPr>
      <w:r>
        <w:rPr>
          <w:rFonts w:eastAsia="Times New Roman" w:cs="Times New Roman"/>
          <w:b w:val="false"/>
          <w:bCs w:val="false"/>
          <w:color w:val="1F1F1F"/>
          <w:sz w:val="22"/>
          <w:szCs w:val="22"/>
        </w:rPr>
        <w:t>Risk Ownership Assignment</w:t>
      </w:r>
    </w:p>
    <w:p>
      <w:pPr>
        <w:pStyle w:val="ListParagraph"/>
        <w:numPr>
          <w:ilvl w:val="0"/>
          <w:numId w:val="1"/>
        </w:numPr>
        <w:spacing w:lineRule="exact" w:line="300" w:before="0" w:after="120"/>
        <w:ind w:hanging="360" w:left="720"/>
        <w:rPr/>
      </w:pPr>
      <w:r>
        <w:rPr>
          <w:rFonts w:eastAsia="Times New Roman" w:cs="Times New Roman"/>
          <w:b w:val="false"/>
          <w:bCs w:val="false"/>
          <w:color w:val="1F1F1F"/>
          <w:sz w:val="22"/>
          <w:szCs w:val="22"/>
        </w:rPr>
        <w:t>Documentation of Results</w:t>
      </w:r>
    </w:p>
    <w:p>
      <w:pPr>
        <w:pStyle w:val="Heading1"/>
        <w:spacing w:before="200" w:after="160"/>
        <w:rPr/>
      </w:pPr>
      <w:bookmarkStart w:id="4" w:name="__RefHeading___Toc284_441392701"/>
      <w:bookmarkEnd w:id="4"/>
      <w:r>
        <w:rPr>
          <w:rFonts w:eastAsia="Liberation Sans" w:cs="Liberation Sans" w:ascii="Liberation Sans" w:hAnsi="Liberation Sans"/>
          <w:b/>
          <w:bCs/>
          <w:color w:val="2E75B6"/>
          <w:sz w:val="30"/>
          <w:szCs w:val="30"/>
        </w:rPr>
        <w:t>Risk Assessment Criteria</w:t>
      </w:r>
    </w:p>
    <w:p>
      <w:pPr>
        <w:pStyle w:val="ListParagraph"/>
        <w:numPr>
          <w:ilvl w:val="0"/>
          <w:numId w:val="1"/>
        </w:numPr>
        <w:spacing w:lineRule="exact" w:line="300" w:before="0" w:after="120"/>
        <w:ind w:hanging="360" w:left="720"/>
        <w:rPr/>
      </w:pPr>
      <w:r>
        <w:rPr>
          <w:rFonts w:eastAsia="Times New Roman" w:cs="Times New Roman"/>
          <w:b w:val="false"/>
          <w:bCs w:val="false"/>
          <w:color w:val="1F1F1F"/>
          <w:sz w:val="22"/>
          <w:szCs w:val="22"/>
        </w:rPr>
        <w:t>Likelihood rating:</w:t>
      </w:r>
    </w:p>
    <w:tbl>
      <w:tblPr>
        <w:tblW w:w="9360" w:type="dxa"/>
        <w:jc w:val="left"/>
        <w:tblInd w:w="0" w:type="dxa"/>
        <w:tblLayout w:type="fixed"/>
        <w:tblCellMar>
          <w:top w:w="80" w:type="dxa"/>
          <w:left w:w="100" w:type="dxa"/>
          <w:bottom w:w="80" w:type="dxa"/>
          <w:right w:w="100" w:type="dxa"/>
        </w:tblCellMar>
      </w:tblPr>
      <w:tblGrid>
        <w:gridCol w:w="900"/>
        <w:gridCol w:w="8459"/>
      </w:tblGrid>
      <w:tr>
        <w:trPr>
          <w:tblHeader w:val="true"/>
        </w:trPr>
        <w:tc>
          <w:tcPr>
            <w:tcW w:w="900" w:type="dxa"/>
            <w:tcBorders>
              <w:top w:val="single" w:sz="4" w:space="0" w:color="BFBFBF"/>
              <w:left w:val="single" w:sz="4" w:space="0" w:color="BFBFBF"/>
              <w:bottom w:val="single" w:sz="4" w:space="0" w:color="BFBFBF"/>
              <w:right w:val="single" w:sz="4" w:space="0" w:color="BFBFBF"/>
            </w:tcBorders>
            <w:shd w:color="auto" w:fill="D9E2F3" w:val="clear"/>
            <w:vAlign w:val="center"/>
          </w:tcPr>
          <w:p>
            <w:pPr>
              <w:pStyle w:val="Normal"/>
              <w:rPr/>
            </w:pPr>
            <w:r>
              <w:rPr>
                <w:rFonts w:eastAsia="Times New Roman" w:cs="Times New Roman"/>
                <w:b/>
                <w:bCs/>
                <w:color w:val="1F1F1F"/>
                <w:sz w:val="20"/>
                <w:szCs w:val="20"/>
              </w:rPr>
              <w:t>Score</w:t>
            </w:r>
          </w:p>
        </w:tc>
        <w:tc>
          <w:tcPr>
            <w:tcW w:w="8459" w:type="dxa"/>
            <w:tcBorders>
              <w:top w:val="single" w:sz="4" w:space="0" w:color="BFBFBF"/>
              <w:left w:val="single" w:sz="4" w:space="0" w:color="BFBFBF"/>
              <w:bottom w:val="single" w:sz="4" w:space="0" w:color="BFBFBF"/>
              <w:right w:val="single" w:sz="4" w:space="0" w:color="BFBFBF"/>
            </w:tcBorders>
            <w:shd w:color="auto" w:fill="D9E2F3" w:val="clear"/>
            <w:vAlign w:val="center"/>
          </w:tcPr>
          <w:p>
            <w:pPr>
              <w:pStyle w:val="Normal"/>
              <w:rPr/>
            </w:pPr>
            <w:r>
              <w:rPr>
                <w:rFonts w:eastAsia="Times New Roman" w:cs="Times New Roman"/>
                <w:b/>
                <w:bCs/>
                <w:color w:val="1F1F1F"/>
                <w:sz w:val="20"/>
                <w:szCs w:val="20"/>
              </w:rPr>
              <w:t>Description</w:t>
            </w:r>
          </w:p>
        </w:tc>
      </w:tr>
      <w:tr>
        <w:trPr/>
        <w:tc>
          <w:tcPr>
            <w:tcW w:w="900" w:type="dxa"/>
            <w:tcBorders>
              <w:top w:val="single" w:sz="4" w:space="0" w:color="BFBFBF"/>
              <w:left w:val="single" w:sz="4" w:space="0" w:color="BFBFBF"/>
              <w:bottom w:val="single" w:sz="4" w:space="0" w:color="BFBFBF"/>
              <w:right w:val="single" w:sz="4" w:space="0" w:color="BFBFBF"/>
            </w:tcBorders>
          </w:tcPr>
          <w:p>
            <w:pPr>
              <w:pStyle w:val="Normal"/>
              <w:rPr/>
            </w:pPr>
            <w:r>
              <w:rPr>
                <w:rFonts w:eastAsia="Times New Roman" w:cs="Times New Roman"/>
                <w:b/>
                <w:bCs/>
                <w:color w:val="1F1F1F"/>
                <w:sz w:val="20"/>
                <w:szCs w:val="20"/>
              </w:rPr>
              <w:t>1</w:t>
            </w:r>
          </w:p>
        </w:tc>
        <w:tc>
          <w:tcPr>
            <w:tcW w:w="8459" w:type="dxa"/>
            <w:tcBorders>
              <w:top w:val="single" w:sz="4" w:space="0" w:color="BFBFBF"/>
              <w:left w:val="single" w:sz="4" w:space="0" w:color="BFBFBF"/>
              <w:bottom w:val="single" w:sz="4" w:space="0" w:color="BFBFBF"/>
              <w:right w:val="single" w:sz="4" w:space="0" w:color="BFBFBF"/>
            </w:tcBorders>
          </w:tcPr>
          <w:p>
            <w:pPr>
              <w:pStyle w:val="Normal"/>
              <w:rPr/>
            </w:pPr>
            <w:r>
              <w:rPr>
                <w:rFonts w:eastAsia="Times New Roman" w:cs="Times New Roman"/>
                <w:b w:val="false"/>
                <w:bCs w:val="false"/>
                <w:color w:val="1F1F1F"/>
                <w:sz w:val="20"/>
                <w:szCs w:val="20"/>
              </w:rPr>
              <w:t>Rare - May occur in exceptional circumstances</w:t>
            </w:r>
          </w:p>
        </w:tc>
      </w:tr>
      <w:tr>
        <w:trPr/>
        <w:tc>
          <w:tcPr>
            <w:tcW w:w="900" w:type="dxa"/>
            <w:tcBorders>
              <w:top w:val="single" w:sz="4" w:space="0" w:color="BFBFBF"/>
              <w:left w:val="single" w:sz="4" w:space="0" w:color="BFBFBF"/>
              <w:bottom w:val="single" w:sz="4" w:space="0" w:color="BFBFBF"/>
              <w:right w:val="single" w:sz="4" w:space="0" w:color="BFBFBF"/>
            </w:tcBorders>
          </w:tcPr>
          <w:p>
            <w:pPr>
              <w:pStyle w:val="Normal"/>
              <w:rPr/>
            </w:pPr>
            <w:r>
              <w:rPr>
                <w:rFonts w:eastAsia="Times New Roman" w:cs="Times New Roman"/>
                <w:b/>
                <w:bCs/>
                <w:color w:val="1F1F1F"/>
                <w:sz w:val="20"/>
                <w:szCs w:val="20"/>
              </w:rPr>
              <w:t>2</w:t>
            </w:r>
          </w:p>
        </w:tc>
        <w:tc>
          <w:tcPr>
            <w:tcW w:w="8459" w:type="dxa"/>
            <w:tcBorders>
              <w:top w:val="single" w:sz="4" w:space="0" w:color="BFBFBF"/>
              <w:left w:val="single" w:sz="4" w:space="0" w:color="BFBFBF"/>
              <w:bottom w:val="single" w:sz="4" w:space="0" w:color="BFBFBF"/>
              <w:right w:val="single" w:sz="4" w:space="0" w:color="BFBFBF"/>
            </w:tcBorders>
          </w:tcPr>
          <w:p>
            <w:pPr>
              <w:pStyle w:val="Normal"/>
              <w:rPr/>
            </w:pPr>
            <w:r>
              <w:rPr>
                <w:rFonts w:eastAsia="Times New Roman" w:cs="Times New Roman"/>
                <w:b w:val="false"/>
                <w:bCs w:val="false"/>
                <w:color w:val="1F1F1F"/>
                <w:sz w:val="20"/>
                <w:szCs w:val="20"/>
              </w:rPr>
              <w:t>Unlikely - Not expected but possible</w:t>
            </w:r>
          </w:p>
        </w:tc>
      </w:tr>
      <w:tr>
        <w:trPr/>
        <w:tc>
          <w:tcPr>
            <w:tcW w:w="900" w:type="dxa"/>
            <w:tcBorders>
              <w:top w:val="single" w:sz="4" w:space="0" w:color="BFBFBF"/>
              <w:left w:val="single" w:sz="4" w:space="0" w:color="BFBFBF"/>
              <w:bottom w:val="single" w:sz="4" w:space="0" w:color="BFBFBF"/>
              <w:right w:val="single" w:sz="4" w:space="0" w:color="BFBFBF"/>
            </w:tcBorders>
          </w:tcPr>
          <w:p>
            <w:pPr>
              <w:pStyle w:val="Normal"/>
              <w:rPr/>
            </w:pPr>
            <w:r>
              <w:rPr>
                <w:rFonts w:eastAsia="Times New Roman" w:cs="Times New Roman"/>
                <w:b/>
                <w:bCs/>
                <w:color w:val="1F1F1F"/>
                <w:sz w:val="20"/>
                <w:szCs w:val="20"/>
              </w:rPr>
              <w:t>3</w:t>
            </w:r>
          </w:p>
        </w:tc>
        <w:tc>
          <w:tcPr>
            <w:tcW w:w="8459" w:type="dxa"/>
            <w:tcBorders>
              <w:top w:val="single" w:sz="4" w:space="0" w:color="BFBFBF"/>
              <w:left w:val="single" w:sz="4" w:space="0" w:color="BFBFBF"/>
              <w:bottom w:val="single" w:sz="4" w:space="0" w:color="BFBFBF"/>
              <w:right w:val="single" w:sz="4" w:space="0" w:color="BFBFBF"/>
            </w:tcBorders>
          </w:tcPr>
          <w:p>
            <w:pPr>
              <w:pStyle w:val="Normal"/>
              <w:rPr/>
            </w:pPr>
            <w:r>
              <w:rPr>
                <w:rFonts w:eastAsia="Times New Roman" w:cs="Times New Roman"/>
                <w:b w:val="false"/>
                <w:bCs w:val="false"/>
                <w:color w:val="1F1F1F"/>
                <w:sz w:val="20"/>
                <w:szCs w:val="20"/>
              </w:rPr>
              <w:t>Possible - Might occur at some time</w:t>
            </w:r>
          </w:p>
        </w:tc>
      </w:tr>
      <w:tr>
        <w:trPr/>
        <w:tc>
          <w:tcPr>
            <w:tcW w:w="900" w:type="dxa"/>
            <w:tcBorders>
              <w:top w:val="single" w:sz="4" w:space="0" w:color="BFBFBF"/>
              <w:left w:val="single" w:sz="4" w:space="0" w:color="BFBFBF"/>
              <w:bottom w:val="single" w:sz="4" w:space="0" w:color="BFBFBF"/>
              <w:right w:val="single" w:sz="4" w:space="0" w:color="BFBFBF"/>
            </w:tcBorders>
          </w:tcPr>
          <w:p>
            <w:pPr>
              <w:pStyle w:val="Normal"/>
              <w:rPr/>
            </w:pPr>
            <w:r>
              <w:rPr>
                <w:rFonts w:eastAsia="Times New Roman" w:cs="Times New Roman"/>
                <w:b/>
                <w:bCs/>
                <w:color w:val="1F1F1F"/>
                <w:sz w:val="20"/>
                <w:szCs w:val="20"/>
              </w:rPr>
              <w:t>4</w:t>
            </w:r>
          </w:p>
        </w:tc>
        <w:tc>
          <w:tcPr>
            <w:tcW w:w="8459" w:type="dxa"/>
            <w:tcBorders>
              <w:top w:val="single" w:sz="4" w:space="0" w:color="BFBFBF"/>
              <w:left w:val="single" w:sz="4" w:space="0" w:color="BFBFBF"/>
              <w:bottom w:val="single" w:sz="4" w:space="0" w:color="BFBFBF"/>
              <w:right w:val="single" w:sz="4" w:space="0" w:color="BFBFBF"/>
            </w:tcBorders>
          </w:tcPr>
          <w:p>
            <w:pPr>
              <w:pStyle w:val="Normal"/>
              <w:rPr/>
            </w:pPr>
            <w:r>
              <w:rPr>
                <w:rFonts w:eastAsia="Times New Roman" w:cs="Times New Roman"/>
                <w:b w:val="false"/>
                <w:bCs w:val="false"/>
                <w:color w:val="1F1F1F"/>
                <w:sz w:val="20"/>
                <w:szCs w:val="20"/>
              </w:rPr>
              <w:t>Likely - Expected to occur occasionally</w:t>
            </w:r>
          </w:p>
        </w:tc>
      </w:tr>
      <w:tr>
        <w:trPr/>
        <w:tc>
          <w:tcPr>
            <w:tcW w:w="900" w:type="dxa"/>
            <w:tcBorders>
              <w:top w:val="single" w:sz="4" w:space="0" w:color="BFBFBF"/>
              <w:left w:val="single" w:sz="4" w:space="0" w:color="BFBFBF"/>
              <w:bottom w:val="single" w:sz="4" w:space="0" w:color="BFBFBF"/>
              <w:right w:val="single" w:sz="4" w:space="0" w:color="BFBFBF"/>
            </w:tcBorders>
          </w:tcPr>
          <w:p>
            <w:pPr>
              <w:pStyle w:val="Normal"/>
              <w:rPr/>
            </w:pPr>
            <w:r>
              <w:rPr>
                <w:rFonts w:eastAsia="Times New Roman" w:cs="Times New Roman"/>
                <w:b/>
                <w:bCs/>
                <w:color w:val="1F1F1F"/>
                <w:sz w:val="20"/>
                <w:szCs w:val="20"/>
              </w:rPr>
              <w:t>5</w:t>
            </w:r>
          </w:p>
        </w:tc>
        <w:tc>
          <w:tcPr>
            <w:tcW w:w="8459" w:type="dxa"/>
            <w:tcBorders>
              <w:top w:val="single" w:sz="4" w:space="0" w:color="BFBFBF"/>
              <w:left w:val="single" w:sz="4" w:space="0" w:color="BFBFBF"/>
              <w:bottom w:val="single" w:sz="4" w:space="0" w:color="BFBFBF"/>
              <w:right w:val="single" w:sz="4" w:space="0" w:color="BFBFBF"/>
            </w:tcBorders>
          </w:tcPr>
          <w:p>
            <w:pPr>
              <w:pStyle w:val="Normal"/>
              <w:rPr/>
            </w:pPr>
            <w:r>
              <w:rPr>
                <w:rFonts w:eastAsia="Times New Roman" w:cs="Times New Roman"/>
                <w:b w:val="false"/>
                <w:bCs w:val="false"/>
                <w:color w:val="1F1F1F"/>
                <w:sz w:val="20"/>
                <w:szCs w:val="20"/>
              </w:rPr>
              <w:t>Almost Certain - Expected to occur frequently</w:t>
            </w:r>
          </w:p>
        </w:tc>
      </w:tr>
    </w:tbl>
    <w:p>
      <w:pPr>
        <w:pStyle w:val="Normal"/>
        <w:spacing w:before="0" w:after="160"/>
        <w:rPr/>
      </w:pPr>
      <w:r>
        <w:rPr/>
      </w:r>
    </w:p>
    <w:p>
      <w:pPr>
        <w:pStyle w:val="ListParagraph"/>
        <w:numPr>
          <w:ilvl w:val="0"/>
          <w:numId w:val="1"/>
        </w:numPr>
        <w:spacing w:lineRule="exact" w:line="300" w:before="0" w:after="120"/>
        <w:ind w:hanging="360" w:left="720"/>
        <w:rPr/>
      </w:pPr>
      <w:r>
        <w:rPr>
          <w:rFonts w:eastAsia="Times New Roman" w:cs="Times New Roman"/>
          <w:b w:val="false"/>
          <w:bCs w:val="false"/>
          <w:color w:val="1F1F1F"/>
          <w:sz w:val="22"/>
          <w:szCs w:val="22"/>
        </w:rPr>
        <w:t>Impact rating:</w:t>
      </w:r>
    </w:p>
    <w:tbl>
      <w:tblPr>
        <w:tblW w:w="9360" w:type="dxa"/>
        <w:jc w:val="left"/>
        <w:tblInd w:w="0" w:type="dxa"/>
        <w:tblLayout w:type="fixed"/>
        <w:tblCellMar>
          <w:top w:w="80" w:type="dxa"/>
          <w:left w:w="100" w:type="dxa"/>
          <w:bottom w:w="80" w:type="dxa"/>
          <w:right w:w="100" w:type="dxa"/>
        </w:tblCellMar>
      </w:tblPr>
      <w:tblGrid>
        <w:gridCol w:w="900"/>
        <w:gridCol w:w="8459"/>
      </w:tblGrid>
      <w:tr>
        <w:trPr>
          <w:tblHeader w:val="true"/>
        </w:trPr>
        <w:tc>
          <w:tcPr>
            <w:tcW w:w="900" w:type="dxa"/>
            <w:tcBorders>
              <w:top w:val="single" w:sz="4" w:space="0" w:color="BFBFBF"/>
              <w:left w:val="single" w:sz="4" w:space="0" w:color="BFBFBF"/>
              <w:bottom w:val="single" w:sz="4" w:space="0" w:color="BFBFBF"/>
              <w:right w:val="single" w:sz="4" w:space="0" w:color="BFBFBF"/>
            </w:tcBorders>
            <w:shd w:color="auto" w:fill="D9E2F3" w:val="clear"/>
            <w:vAlign w:val="center"/>
          </w:tcPr>
          <w:p>
            <w:pPr>
              <w:pStyle w:val="Normal"/>
              <w:rPr/>
            </w:pPr>
            <w:r>
              <w:rPr>
                <w:rFonts w:eastAsia="Times New Roman" w:cs="Times New Roman"/>
                <w:b/>
                <w:bCs/>
                <w:color w:val="1F1F1F"/>
                <w:sz w:val="20"/>
                <w:szCs w:val="20"/>
              </w:rPr>
              <w:t>Score</w:t>
            </w:r>
          </w:p>
        </w:tc>
        <w:tc>
          <w:tcPr>
            <w:tcW w:w="8459" w:type="dxa"/>
            <w:tcBorders>
              <w:top w:val="single" w:sz="4" w:space="0" w:color="BFBFBF"/>
              <w:left w:val="single" w:sz="4" w:space="0" w:color="BFBFBF"/>
              <w:bottom w:val="single" w:sz="4" w:space="0" w:color="BFBFBF"/>
              <w:right w:val="single" w:sz="4" w:space="0" w:color="BFBFBF"/>
            </w:tcBorders>
            <w:shd w:color="auto" w:fill="D9E2F3" w:val="clear"/>
            <w:vAlign w:val="center"/>
          </w:tcPr>
          <w:p>
            <w:pPr>
              <w:pStyle w:val="Normal"/>
              <w:rPr/>
            </w:pPr>
            <w:r>
              <w:rPr>
                <w:rFonts w:eastAsia="Times New Roman" w:cs="Times New Roman"/>
                <w:b/>
                <w:bCs/>
                <w:color w:val="1F1F1F"/>
                <w:sz w:val="20"/>
                <w:szCs w:val="20"/>
              </w:rPr>
              <w:t>Description</w:t>
            </w:r>
          </w:p>
        </w:tc>
      </w:tr>
      <w:tr>
        <w:trPr/>
        <w:tc>
          <w:tcPr>
            <w:tcW w:w="900" w:type="dxa"/>
            <w:tcBorders>
              <w:top w:val="single" w:sz="4" w:space="0" w:color="BFBFBF"/>
              <w:left w:val="single" w:sz="4" w:space="0" w:color="BFBFBF"/>
              <w:bottom w:val="single" w:sz="4" w:space="0" w:color="BFBFBF"/>
              <w:right w:val="single" w:sz="4" w:space="0" w:color="BFBFBF"/>
            </w:tcBorders>
          </w:tcPr>
          <w:p>
            <w:pPr>
              <w:pStyle w:val="Normal"/>
              <w:rPr/>
            </w:pPr>
            <w:r>
              <w:rPr>
                <w:rFonts w:eastAsia="Times New Roman" w:cs="Times New Roman"/>
                <w:b/>
                <w:bCs/>
                <w:color w:val="1F1F1F"/>
                <w:sz w:val="20"/>
                <w:szCs w:val="20"/>
              </w:rPr>
              <w:t>1</w:t>
            </w:r>
          </w:p>
        </w:tc>
        <w:tc>
          <w:tcPr>
            <w:tcW w:w="8459" w:type="dxa"/>
            <w:tcBorders>
              <w:top w:val="single" w:sz="4" w:space="0" w:color="BFBFBF"/>
              <w:left w:val="single" w:sz="4" w:space="0" w:color="BFBFBF"/>
              <w:bottom w:val="single" w:sz="4" w:space="0" w:color="BFBFBF"/>
              <w:right w:val="single" w:sz="4" w:space="0" w:color="BFBFBF"/>
            </w:tcBorders>
          </w:tcPr>
          <w:p>
            <w:pPr>
              <w:pStyle w:val="Normal"/>
              <w:rPr/>
            </w:pPr>
            <w:r>
              <w:rPr>
                <w:rFonts w:eastAsia="Times New Roman" w:cs="Times New Roman"/>
                <w:b w:val="false"/>
                <w:bCs w:val="false"/>
                <w:color w:val="1F1F1F"/>
                <w:sz w:val="20"/>
                <w:szCs w:val="20"/>
              </w:rPr>
              <w:t>Negligible - No significant disruption or damage</w:t>
            </w:r>
          </w:p>
        </w:tc>
      </w:tr>
      <w:tr>
        <w:trPr/>
        <w:tc>
          <w:tcPr>
            <w:tcW w:w="900" w:type="dxa"/>
            <w:tcBorders>
              <w:top w:val="single" w:sz="4" w:space="0" w:color="BFBFBF"/>
              <w:left w:val="single" w:sz="4" w:space="0" w:color="BFBFBF"/>
              <w:bottom w:val="single" w:sz="4" w:space="0" w:color="BFBFBF"/>
              <w:right w:val="single" w:sz="4" w:space="0" w:color="BFBFBF"/>
            </w:tcBorders>
          </w:tcPr>
          <w:p>
            <w:pPr>
              <w:pStyle w:val="Normal"/>
              <w:rPr/>
            </w:pPr>
            <w:r>
              <w:rPr>
                <w:rFonts w:eastAsia="Times New Roman" w:cs="Times New Roman"/>
                <w:b/>
                <w:bCs/>
                <w:color w:val="1F1F1F"/>
                <w:sz w:val="20"/>
                <w:szCs w:val="20"/>
              </w:rPr>
              <w:t>2</w:t>
            </w:r>
          </w:p>
        </w:tc>
        <w:tc>
          <w:tcPr>
            <w:tcW w:w="8459" w:type="dxa"/>
            <w:tcBorders>
              <w:top w:val="single" w:sz="4" w:space="0" w:color="BFBFBF"/>
              <w:left w:val="single" w:sz="4" w:space="0" w:color="BFBFBF"/>
              <w:bottom w:val="single" w:sz="4" w:space="0" w:color="BFBFBF"/>
              <w:right w:val="single" w:sz="4" w:space="0" w:color="BFBFBF"/>
            </w:tcBorders>
          </w:tcPr>
          <w:p>
            <w:pPr>
              <w:pStyle w:val="Normal"/>
              <w:rPr/>
            </w:pPr>
            <w:r>
              <w:rPr>
                <w:rFonts w:eastAsia="Times New Roman" w:cs="Times New Roman"/>
                <w:b w:val="false"/>
                <w:bCs w:val="false"/>
                <w:color w:val="1F1F1F"/>
                <w:sz w:val="20"/>
                <w:szCs w:val="20"/>
              </w:rPr>
              <w:t>Minor - Minor disruption or limited financial/reputational impact</w:t>
            </w:r>
          </w:p>
        </w:tc>
      </w:tr>
      <w:tr>
        <w:trPr/>
        <w:tc>
          <w:tcPr>
            <w:tcW w:w="900" w:type="dxa"/>
            <w:tcBorders>
              <w:top w:val="single" w:sz="4" w:space="0" w:color="BFBFBF"/>
              <w:left w:val="single" w:sz="4" w:space="0" w:color="BFBFBF"/>
              <w:bottom w:val="single" w:sz="4" w:space="0" w:color="BFBFBF"/>
              <w:right w:val="single" w:sz="4" w:space="0" w:color="BFBFBF"/>
            </w:tcBorders>
          </w:tcPr>
          <w:p>
            <w:pPr>
              <w:pStyle w:val="Normal"/>
              <w:rPr/>
            </w:pPr>
            <w:r>
              <w:rPr>
                <w:rFonts w:eastAsia="Times New Roman" w:cs="Times New Roman"/>
                <w:b/>
                <w:bCs/>
                <w:color w:val="1F1F1F"/>
                <w:sz w:val="20"/>
                <w:szCs w:val="20"/>
              </w:rPr>
              <w:t>3</w:t>
            </w:r>
          </w:p>
        </w:tc>
        <w:tc>
          <w:tcPr>
            <w:tcW w:w="8459" w:type="dxa"/>
            <w:tcBorders>
              <w:top w:val="single" w:sz="4" w:space="0" w:color="BFBFBF"/>
              <w:left w:val="single" w:sz="4" w:space="0" w:color="BFBFBF"/>
              <w:bottom w:val="single" w:sz="4" w:space="0" w:color="BFBFBF"/>
              <w:right w:val="single" w:sz="4" w:space="0" w:color="BFBFBF"/>
            </w:tcBorders>
          </w:tcPr>
          <w:p>
            <w:pPr>
              <w:pStyle w:val="Normal"/>
              <w:rPr/>
            </w:pPr>
            <w:r>
              <w:rPr>
                <w:rFonts w:eastAsia="Times New Roman" w:cs="Times New Roman"/>
                <w:b w:val="false"/>
                <w:bCs w:val="false"/>
                <w:color w:val="1F1F1F"/>
                <w:sz w:val="20"/>
                <w:szCs w:val="20"/>
              </w:rPr>
              <w:t>Moderate - Noticeable impact requiring management attention</w:t>
            </w:r>
          </w:p>
        </w:tc>
      </w:tr>
      <w:tr>
        <w:trPr/>
        <w:tc>
          <w:tcPr>
            <w:tcW w:w="900" w:type="dxa"/>
            <w:tcBorders>
              <w:top w:val="single" w:sz="4" w:space="0" w:color="BFBFBF"/>
              <w:left w:val="single" w:sz="4" w:space="0" w:color="BFBFBF"/>
              <w:bottom w:val="single" w:sz="4" w:space="0" w:color="BFBFBF"/>
              <w:right w:val="single" w:sz="4" w:space="0" w:color="BFBFBF"/>
            </w:tcBorders>
          </w:tcPr>
          <w:p>
            <w:pPr>
              <w:pStyle w:val="Normal"/>
              <w:rPr/>
            </w:pPr>
            <w:r>
              <w:rPr>
                <w:rFonts w:eastAsia="Times New Roman" w:cs="Times New Roman"/>
                <w:b/>
                <w:bCs/>
                <w:color w:val="1F1F1F"/>
                <w:sz w:val="20"/>
                <w:szCs w:val="20"/>
              </w:rPr>
              <w:t>4</w:t>
            </w:r>
          </w:p>
        </w:tc>
        <w:tc>
          <w:tcPr>
            <w:tcW w:w="8459" w:type="dxa"/>
            <w:tcBorders>
              <w:top w:val="single" w:sz="4" w:space="0" w:color="BFBFBF"/>
              <w:left w:val="single" w:sz="4" w:space="0" w:color="BFBFBF"/>
              <w:bottom w:val="single" w:sz="4" w:space="0" w:color="BFBFBF"/>
              <w:right w:val="single" w:sz="4" w:space="0" w:color="BFBFBF"/>
            </w:tcBorders>
          </w:tcPr>
          <w:p>
            <w:pPr>
              <w:pStyle w:val="Normal"/>
              <w:rPr/>
            </w:pPr>
            <w:r>
              <w:rPr>
                <w:rFonts w:eastAsia="Times New Roman" w:cs="Times New Roman"/>
                <w:b w:val="false"/>
                <w:bCs w:val="false"/>
                <w:color w:val="1F1F1F"/>
                <w:sz w:val="20"/>
                <w:szCs w:val="20"/>
              </w:rPr>
              <w:t>Major - Serious impact on operations, finances, or compliance</w:t>
            </w:r>
          </w:p>
        </w:tc>
      </w:tr>
      <w:tr>
        <w:trPr/>
        <w:tc>
          <w:tcPr>
            <w:tcW w:w="900" w:type="dxa"/>
            <w:tcBorders>
              <w:top w:val="single" w:sz="4" w:space="0" w:color="BFBFBF"/>
              <w:left w:val="single" w:sz="4" w:space="0" w:color="BFBFBF"/>
              <w:bottom w:val="single" w:sz="4" w:space="0" w:color="BFBFBF"/>
              <w:right w:val="single" w:sz="4" w:space="0" w:color="BFBFBF"/>
            </w:tcBorders>
          </w:tcPr>
          <w:p>
            <w:pPr>
              <w:pStyle w:val="Normal"/>
              <w:rPr/>
            </w:pPr>
            <w:r>
              <w:rPr>
                <w:rFonts w:eastAsia="Times New Roman" w:cs="Times New Roman"/>
                <w:b/>
                <w:bCs/>
                <w:color w:val="1F1F1F"/>
                <w:sz w:val="20"/>
                <w:szCs w:val="20"/>
              </w:rPr>
              <w:t>5</w:t>
            </w:r>
          </w:p>
        </w:tc>
        <w:tc>
          <w:tcPr>
            <w:tcW w:w="8459" w:type="dxa"/>
            <w:tcBorders>
              <w:top w:val="single" w:sz="4" w:space="0" w:color="BFBFBF"/>
              <w:left w:val="single" w:sz="4" w:space="0" w:color="BFBFBF"/>
              <w:bottom w:val="single" w:sz="4" w:space="0" w:color="BFBFBF"/>
              <w:right w:val="single" w:sz="4" w:space="0" w:color="BFBFBF"/>
            </w:tcBorders>
          </w:tcPr>
          <w:p>
            <w:pPr>
              <w:pStyle w:val="Normal"/>
              <w:rPr/>
            </w:pPr>
            <w:r>
              <w:rPr>
                <w:rFonts w:eastAsia="Times New Roman" w:cs="Times New Roman"/>
                <w:b w:val="false"/>
                <w:bCs w:val="false"/>
                <w:color w:val="1F1F1F"/>
                <w:sz w:val="20"/>
                <w:szCs w:val="20"/>
              </w:rPr>
              <w:t>Severe - Critical impact, regulatory breach, or long-term damage</w:t>
            </w:r>
          </w:p>
        </w:tc>
      </w:tr>
    </w:tbl>
    <w:p>
      <w:pPr>
        <w:pStyle w:val="Normal"/>
        <w:spacing w:before="0" w:after="160"/>
        <w:rPr/>
      </w:pPr>
      <w:r>
        <w:rPr/>
      </w:r>
    </w:p>
    <w:p>
      <w:pPr>
        <w:pStyle w:val="ListParagraph"/>
        <w:numPr>
          <w:ilvl w:val="0"/>
          <w:numId w:val="1"/>
        </w:numPr>
        <w:spacing w:lineRule="exact" w:line="300" w:before="0" w:after="120"/>
        <w:ind w:hanging="360" w:left="720"/>
        <w:rPr/>
      </w:pPr>
      <w:r>
        <w:rPr>
          <w:rFonts w:eastAsia="Times New Roman" w:cs="Times New Roman"/>
          <w:b w:val="false"/>
          <w:bCs w:val="false"/>
          <w:color w:val="1F1F1F"/>
          <w:sz w:val="22"/>
          <w:szCs w:val="22"/>
        </w:rPr>
        <w:t>Risk level calculation:</w:t>
      </w:r>
    </w:p>
    <w:p>
      <w:pPr>
        <w:pStyle w:val="ListParagraph"/>
        <w:numPr>
          <w:ilvl w:val="1"/>
          <w:numId w:val="1"/>
        </w:numPr>
        <w:spacing w:lineRule="exact" w:line="300" w:before="0" w:after="120"/>
        <w:ind w:hanging="360" w:left="1080"/>
        <w:rPr/>
      </w:pPr>
      <w:r>
        <w:rPr>
          <w:rFonts w:eastAsia="Times New Roman" w:cs="Times New Roman"/>
          <w:b w:val="false"/>
          <w:bCs w:val="false"/>
          <w:color w:val="1F1F1F"/>
          <w:sz w:val="22"/>
          <w:szCs w:val="22"/>
        </w:rPr>
        <w:t>Risk Score = Likelihood × Impact</w:t>
      </w:r>
    </w:p>
    <w:p>
      <w:pPr>
        <w:pStyle w:val="ListParagraph"/>
        <w:numPr>
          <w:ilvl w:val="1"/>
          <w:numId w:val="1"/>
        </w:numPr>
        <w:spacing w:lineRule="exact" w:line="300" w:before="0" w:after="120"/>
        <w:ind w:hanging="360" w:left="1080"/>
        <w:rPr/>
      </w:pPr>
      <w:r>
        <w:rPr>
          <w:rFonts w:eastAsia="Times New Roman" w:cs="Times New Roman"/>
          <w:b w:val="false"/>
          <w:bCs w:val="false"/>
          <w:color w:val="1F1F1F"/>
          <w:sz w:val="22"/>
          <w:szCs w:val="22"/>
        </w:rPr>
        <w:t>Maximum Score = 25</w:t>
      </w:r>
    </w:p>
    <w:p>
      <w:pPr>
        <w:pStyle w:val="Normal"/>
        <w:rPr/>
      </w:pPr>
      <w:r>
        <w:rPr/>
      </w:r>
      <w:r>
        <w:br w:type="page"/>
      </w:r>
    </w:p>
    <w:p>
      <w:pPr>
        <w:pStyle w:val="Heading1"/>
        <w:spacing w:before="0" w:after="160"/>
        <w:rPr/>
      </w:pPr>
      <w:bookmarkStart w:id="5" w:name="__RefHeading___Toc286_441392701"/>
      <w:bookmarkEnd w:id="5"/>
      <w:r>
        <w:rPr>
          <w:rFonts w:eastAsia="Liberation Sans" w:cs="Liberation Sans" w:ascii="Liberation Sans" w:hAnsi="Liberation Sans"/>
          <w:b/>
          <w:bCs/>
          <w:color w:val="2E75B6"/>
          <w:sz w:val="30"/>
          <w:szCs w:val="30"/>
        </w:rPr>
        <w:t>Risk Evaluation Criteria</w:t>
      </w:r>
    </w:p>
    <w:tbl>
      <w:tblPr>
        <w:tblW w:w="9360" w:type="dxa"/>
        <w:jc w:val="left"/>
        <w:tblInd w:w="0" w:type="dxa"/>
        <w:tblLayout w:type="fixed"/>
        <w:tblCellMar>
          <w:top w:w="80" w:type="dxa"/>
          <w:left w:w="100" w:type="dxa"/>
          <w:bottom w:w="80" w:type="dxa"/>
          <w:right w:w="100" w:type="dxa"/>
        </w:tblCellMar>
      </w:tblPr>
      <w:tblGrid>
        <w:gridCol w:w="1500"/>
        <w:gridCol w:w="1499"/>
        <w:gridCol w:w="6361"/>
      </w:tblGrid>
      <w:tr>
        <w:trPr>
          <w:tblHeader w:val="true"/>
        </w:trPr>
        <w:tc>
          <w:tcPr>
            <w:tcW w:w="1500" w:type="dxa"/>
            <w:tcBorders>
              <w:top w:val="single" w:sz="4" w:space="0" w:color="BFBFBF"/>
              <w:left w:val="single" w:sz="4" w:space="0" w:color="BFBFBF"/>
              <w:bottom w:val="single" w:sz="4" w:space="0" w:color="BFBFBF"/>
              <w:right w:val="single" w:sz="4" w:space="0" w:color="BFBFBF"/>
            </w:tcBorders>
            <w:shd w:color="auto" w:fill="D9E2F3" w:val="clear"/>
            <w:vAlign w:val="center"/>
          </w:tcPr>
          <w:p>
            <w:pPr>
              <w:pStyle w:val="Normal"/>
              <w:rPr/>
            </w:pPr>
            <w:r>
              <w:rPr>
                <w:rFonts w:eastAsia="Times New Roman" w:cs="Times New Roman"/>
                <w:b/>
                <w:bCs/>
                <w:color w:val="1F1F1F"/>
                <w:sz w:val="20"/>
                <w:szCs w:val="20"/>
              </w:rPr>
              <w:t>Risk Score</w:t>
            </w:r>
          </w:p>
        </w:tc>
        <w:tc>
          <w:tcPr>
            <w:tcW w:w="1499" w:type="dxa"/>
            <w:tcBorders>
              <w:top w:val="single" w:sz="4" w:space="0" w:color="BFBFBF"/>
              <w:left w:val="single" w:sz="4" w:space="0" w:color="BFBFBF"/>
              <w:bottom w:val="single" w:sz="4" w:space="0" w:color="BFBFBF"/>
              <w:right w:val="single" w:sz="4" w:space="0" w:color="BFBFBF"/>
            </w:tcBorders>
            <w:shd w:color="auto" w:fill="D9E2F3" w:val="clear"/>
            <w:vAlign w:val="center"/>
          </w:tcPr>
          <w:p>
            <w:pPr>
              <w:pStyle w:val="Normal"/>
              <w:rPr/>
            </w:pPr>
            <w:r>
              <w:rPr>
                <w:rFonts w:eastAsia="Times New Roman" w:cs="Times New Roman"/>
                <w:b/>
                <w:bCs/>
                <w:color w:val="1F1F1F"/>
                <w:sz w:val="20"/>
                <w:szCs w:val="20"/>
              </w:rPr>
              <w:t>Risk Level</w:t>
            </w:r>
          </w:p>
        </w:tc>
        <w:tc>
          <w:tcPr>
            <w:tcW w:w="6361" w:type="dxa"/>
            <w:tcBorders>
              <w:top w:val="single" w:sz="4" w:space="0" w:color="BFBFBF"/>
              <w:left w:val="single" w:sz="4" w:space="0" w:color="BFBFBF"/>
              <w:bottom w:val="single" w:sz="4" w:space="0" w:color="BFBFBF"/>
              <w:right w:val="single" w:sz="4" w:space="0" w:color="BFBFBF"/>
            </w:tcBorders>
            <w:shd w:color="auto" w:fill="D9E2F3" w:val="clear"/>
            <w:vAlign w:val="center"/>
          </w:tcPr>
          <w:p>
            <w:pPr>
              <w:pStyle w:val="Normal"/>
              <w:rPr/>
            </w:pPr>
            <w:r>
              <w:rPr>
                <w:rFonts w:eastAsia="Times New Roman" w:cs="Times New Roman"/>
                <w:b/>
                <w:bCs/>
                <w:color w:val="1F1F1F"/>
                <w:sz w:val="20"/>
                <w:szCs w:val="20"/>
              </w:rPr>
              <w:t>Action Required</w:t>
            </w:r>
          </w:p>
        </w:tc>
      </w:tr>
      <w:tr>
        <w:trPr/>
        <w:tc>
          <w:tcPr>
            <w:tcW w:w="1500" w:type="dxa"/>
            <w:tcBorders>
              <w:top w:val="single" w:sz="4" w:space="0" w:color="BFBFBF"/>
              <w:left w:val="single" w:sz="4" w:space="0" w:color="BFBFBF"/>
              <w:bottom w:val="single" w:sz="4" w:space="0" w:color="BFBFBF"/>
              <w:right w:val="single" w:sz="4" w:space="0" w:color="BFBFBF"/>
            </w:tcBorders>
          </w:tcPr>
          <w:p>
            <w:pPr>
              <w:pStyle w:val="Normal"/>
              <w:rPr/>
            </w:pPr>
            <w:r>
              <w:rPr>
                <w:rFonts w:eastAsia="Times New Roman" w:cs="Times New Roman"/>
                <w:b/>
                <w:bCs/>
                <w:color w:val="1F1F1F"/>
                <w:sz w:val="20"/>
                <w:szCs w:val="20"/>
              </w:rPr>
              <w:t>1-6</w:t>
            </w:r>
          </w:p>
        </w:tc>
        <w:tc>
          <w:tcPr>
            <w:tcW w:w="1499" w:type="dxa"/>
            <w:tcBorders>
              <w:top w:val="single" w:sz="4" w:space="0" w:color="BFBFBF"/>
              <w:left w:val="single" w:sz="4" w:space="0" w:color="BFBFBF"/>
              <w:bottom w:val="single" w:sz="4" w:space="0" w:color="BFBFBF"/>
              <w:right w:val="single" w:sz="4" w:space="0" w:color="BFBFBF"/>
            </w:tcBorders>
          </w:tcPr>
          <w:p>
            <w:pPr>
              <w:pStyle w:val="Normal"/>
              <w:rPr/>
            </w:pPr>
            <w:r>
              <w:rPr>
                <w:rFonts w:eastAsia="Times New Roman" w:cs="Times New Roman"/>
                <w:b w:val="false"/>
                <w:bCs w:val="false"/>
                <w:color w:val="1F1F1F"/>
                <w:sz w:val="20"/>
                <w:szCs w:val="20"/>
              </w:rPr>
              <w:t>Low</w:t>
            </w:r>
          </w:p>
        </w:tc>
        <w:tc>
          <w:tcPr>
            <w:tcW w:w="6361" w:type="dxa"/>
            <w:tcBorders>
              <w:top w:val="single" w:sz="4" w:space="0" w:color="BFBFBF"/>
              <w:left w:val="single" w:sz="4" w:space="0" w:color="BFBFBF"/>
              <w:bottom w:val="single" w:sz="4" w:space="0" w:color="BFBFBF"/>
              <w:right w:val="single" w:sz="4" w:space="0" w:color="BFBFBF"/>
            </w:tcBorders>
          </w:tcPr>
          <w:p>
            <w:pPr>
              <w:pStyle w:val="Normal"/>
              <w:rPr/>
            </w:pPr>
            <w:r>
              <w:rPr>
                <w:rFonts w:eastAsia="Times New Roman" w:cs="Times New Roman"/>
                <w:b w:val="false"/>
                <w:bCs w:val="false"/>
                <w:color w:val="1F1F1F"/>
                <w:sz w:val="20"/>
                <w:szCs w:val="20"/>
              </w:rPr>
              <w:t>Acceptable risk - monitor only</w:t>
            </w:r>
          </w:p>
        </w:tc>
      </w:tr>
      <w:tr>
        <w:trPr/>
        <w:tc>
          <w:tcPr>
            <w:tcW w:w="1500" w:type="dxa"/>
            <w:tcBorders>
              <w:top w:val="single" w:sz="4" w:space="0" w:color="BFBFBF"/>
              <w:left w:val="single" w:sz="4" w:space="0" w:color="BFBFBF"/>
              <w:bottom w:val="single" w:sz="4" w:space="0" w:color="BFBFBF"/>
              <w:right w:val="single" w:sz="4" w:space="0" w:color="BFBFBF"/>
            </w:tcBorders>
          </w:tcPr>
          <w:p>
            <w:pPr>
              <w:pStyle w:val="Normal"/>
              <w:rPr/>
            </w:pPr>
            <w:r>
              <w:rPr>
                <w:rFonts w:eastAsia="Times New Roman" w:cs="Times New Roman"/>
                <w:b/>
                <w:bCs/>
                <w:color w:val="1F1F1F"/>
                <w:sz w:val="20"/>
                <w:szCs w:val="20"/>
              </w:rPr>
              <w:t>7-14</w:t>
            </w:r>
          </w:p>
        </w:tc>
        <w:tc>
          <w:tcPr>
            <w:tcW w:w="1499" w:type="dxa"/>
            <w:tcBorders>
              <w:top w:val="single" w:sz="4" w:space="0" w:color="BFBFBF"/>
              <w:left w:val="single" w:sz="4" w:space="0" w:color="BFBFBF"/>
              <w:bottom w:val="single" w:sz="4" w:space="0" w:color="BFBFBF"/>
              <w:right w:val="single" w:sz="4" w:space="0" w:color="BFBFBF"/>
            </w:tcBorders>
          </w:tcPr>
          <w:p>
            <w:pPr>
              <w:pStyle w:val="Normal"/>
              <w:rPr/>
            </w:pPr>
            <w:r>
              <w:rPr>
                <w:rFonts w:eastAsia="Times New Roman" w:cs="Times New Roman"/>
                <w:b w:val="false"/>
                <w:bCs w:val="false"/>
                <w:color w:val="1F1F1F"/>
                <w:sz w:val="20"/>
                <w:szCs w:val="20"/>
              </w:rPr>
              <w:t>Medium</w:t>
            </w:r>
          </w:p>
        </w:tc>
        <w:tc>
          <w:tcPr>
            <w:tcW w:w="6361" w:type="dxa"/>
            <w:tcBorders>
              <w:top w:val="single" w:sz="4" w:space="0" w:color="BFBFBF"/>
              <w:left w:val="single" w:sz="4" w:space="0" w:color="BFBFBF"/>
              <w:bottom w:val="single" w:sz="4" w:space="0" w:color="BFBFBF"/>
              <w:right w:val="single" w:sz="4" w:space="0" w:color="BFBFBF"/>
            </w:tcBorders>
          </w:tcPr>
          <w:p>
            <w:pPr>
              <w:pStyle w:val="Normal"/>
              <w:rPr/>
            </w:pPr>
            <w:r>
              <w:rPr>
                <w:rFonts w:eastAsia="Times New Roman" w:cs="Times New Roman"/>
                <w:b w:val="false"/>
                <w:bCs w:val="false"/>
                <w:color w:val="1F1F1F"/>
                <w:sz w:val="20"/>
                <w:szCs w:val="20"/>
              </w:rPr>
              <w:t>Treatment or mitigation required based on context</w:t>
            </w:r>
          </w:p>
        </w:tc>
      </w:tr>
      <w:tr>
        <w:trPr/>
        <w:tc>
          <w:tcPr>
            <w:tcW w:w="1500" w:type="dxa"/>
            <w:tcBorders>
              <w:top w:val="single" w:sz="4" w:space="0" w:color="BFBFBF"/>
              <w:left w:val="single" w:sz="4" w:space="0" w:color="BFBFBF"/>
              <w:bottom w:val="single" w:sz="4" w:space="0" w:color="BFBFBF"/>
              <w:right w:val="single" w:sz="4" w:space="0" w:color="BFBFBF"/>
            </w:tcBorders>
          </w:tcPr>
          <w:p>
            <w:pPr>
              <w:pStyle w:val="Normal"/>
              <w:rPr/>
            </w:pPr>
            <w:r>
              <w:rPr>
                <w:rFonts w:eastAsia="Times New Roman" w:cs="Times New Roman"/>
                <w:b/>
                <w:bCs/>
                <w:color w:val="1F1F1F"/>
                <w:sz w:val="20"/>
                <w:szCs w:val="20"/>
              </w:rPr>
              <w:t>15-25</w:t>
            </w:r>
          </w:p>
        </w:tc>
        <w:tc>
          <w:tcPr>
            <w:tcW w:w="1499" w:type="dxa"/>
            <w:tcBorders>
              <w:top w:val="single" w:sz="4" w:space="0" w:color="BFBFBF"/>
              <w:left w:val="single" w:sz="4" w:space="0" w:color="BFBFBF"/>
              <w:bottom w:val="single" w:sz="4" w:space="0" w:color="BFBFBF"/>
              <w:right w:val="single" w:sz="4" w:space="0" w:color="BFBFBF"/>
            </w:tcBorders>
          </w:tcPr>
          <w:p>
            <w:pPr>
              <w:pStyle w:val="Normal"/>
              <w:rPr/>
            </w:pPr>
            <w:r>
              <w:rPr>
                <w:rFonts w:eastAsia="Times New Roman" w:cs="Times New Roman"/>
                <w:b w:val="false"/>
                <w:bCs w:val="false"/>
                <w:color w:val="1F1F1F"/>
                <w:sz w:val="20"/>
                <w:szCs w:val="20"/>
              </w:rPr>
              <w:t>High</w:t>
            </w:r>
          </w:p>
        </w:tc>
        <w:tc>
          <w:tcPr>
            <w:tcW w:w="6361" w:type="dxa"/>
            <w:tcBorders>
              <w:top w:val="single" w:sz="4" w:space="0" w:color="BFBFBF"/>
              <w:left w:val="single" w:sz="4" w:space="0" w:color="BFBFBF"/>
              <w:bottom w:val="single" w:sz="4" w:space="0" w:color="BFBFBF"/>
              <w:right w:val="single" w:sz="4" w:space="0" w:color="BFBFBF"/>
            </w:tcBorders>
          </w:tcPr>
          <w:p>
            <w:pPr>
              <w:pStyle w:val="Normal"/>
              <w:rPr/>
            </w:pPr>
            <w:r>
              <w:rPr>
                <w:rFonts w:eastAsia="Times New Roman" w:cs="Times New Roman"/>
                <w:b w:val="false"/>
                <w:bCs w:val="false"/>
                <w:color w:val="1F1F1F"/>
                <w:sz w:val="20"/>
                <w:szCs w:val="20"/>
              </w:rPr>
              <w:t>Unacceptable - immediate treatment required</w:t>
            </w:r>
          </w:p>
        </w:tc>
      </w:tr>
    </w:tbl>
    <w:p>
      <w:pPr>
        <w:pStyle w:val="Heading1"/>
        <w:spacing w:before="200" w:after="160"/>
        <w:rPr/>
      </w:pPr>
      <w:bookmarkStart w:id="6" w:name="__RefHeading___Toc288_441392701"/>
      <w:bookmarkEnd w:id="6"/>
      <w:r>
        <w:rPr>
          <w:rFonts w:eastAsia="Liberation Sans" w:cs="Liberation Sans" w:ascii="Liberation Sans" w:hAnsi="Liberation Sans"/>
          <w:b/>
          <w:bCs/>
          <w:color w:val="2E75B6"/>
          <w:sz w:val="30"/>
          <w:szCs w:val="30"/>
        </w:rPr>
        <w:t>Risk Acceptance Criteria</w:t>
      </w:r>
    </w:p>
    <w:p>
      <w:pPr>
        <w:pStyle w:val="ListParagraph"/>
        <w:numPr>
          <w:ilvl w:val="0"/>
          <w:numId w:val="1"/>
        </w:numPr>
        <w:spacing w:lineRule="exact" w:line="300" w:before="0" w:after="120"/>
        <w:ind w:hanging="360" w:left="720"/>
        <w:rPr/>
      </w:pPr>
      <w:r>
        <w:rPr>
          <w:rFonts w:eastAsia="Times New Roman" w:cs="Times New Roman"/>
          <w:b/>
          <w:bCs/>
          <w:color w:val="1F1F1F"/>
          <w:sz w:val="22"/>
          <w:szCs w:val="22"/>
        </w:rPr>
        <w:t>Low risks</w:t>
      </w:r>
      <w:r>
        <w:rPr>
          <w:rFonts w:eastAsia="Times New Roman" w:cs="Times New Roman"/>
          <w:b w:val="false"/>
          <w:bCs w:val="false"/>
          <w:color w:val="1F1F1F"/>
          <w:sz w:val="22"/>
          <w:szCs w:val="22"/>
        </w:rPr>
        <w:t xml:space="preserve"> are generally acceptable with monitoring.</w:t>
      </w:r>
    </w:p>
    <w:p>
      <w:pPr>
        <w:pStyle w:val="ListParagraph"/>
        <w:numPr>
          <w:ilvl w:val="0"/>
          <w:numId w:val="1"/>
        </w:numPr>
        <w:spacing w:lineRule="exact" w:line="300" w:before="0" w:after="120"/>
        <w:ind w:hanging="360" w:left="720"/>
        <w:rPr/>
      </w:pPr>
      <w:r>
        <w:rPr>
          <w:rFonts w:eastAsia="Times New Roman" w:cs="Times New Roman"/>
          <w:b/>
          <w:bCs/>
          <w:color w:val="1F1F1F"/>
          <w:sz w:val="22"/>
          <w:szCs w:val="22"/>
        </w:rPr>
        <w:t>Medium risks</w:t>
      </w:r>
      <w:r>
        <w:rPr>
          <w:rFonts w:eastAsia="Times New Roman" w:cs="Times New Roman"/>
          <w:b w:val="false"/>
          <w:bCs w:val="false"/>
          <w:color w:val="1F1F1F"/>
          <w:sz w:val="22"/>
          <w:szCs w:val="22"/>
        </w:rPr>
        <w:t xml:space="preserve"> require business justification or partial mitigation.</w:t>
      </w:r>
    </w:p>
    <w:p>
      <w:pPr>
        <w:pStyle w:val="ListParagraph"/>
        <w:numPr>
          <w:ilvl w:val="0"/>
          <w:numId w:val="1"/>
        </w:numPr>
        <w:spacing w:lineRule="exact" w:line="300" w:before="0" w:after="120"/>
        <w:ind w:hanging="360" w:left="720"/>
        <w:rPr/>
      </w:pPr>
      <w:r>
        <w:rPr>
          <w:rFonts w:eastAsia="Times New Roman" w:cs="Times New Roman"/>
          <w:b/>
          <w:bCs/>
          <w:color w:val="1F1F1F"/>
          <w:sz w:val="22"/>
          <w:szCs w:val="22"/>
        </w:rPr>
        <w:t>High risks</w:t>
      </w:r>
      <w:r>
        <w:rPr>
          <w:rFonts w:eastAsia="Times New Roman" w:cs="Times New Roman"/>
          <w:b w:val="false"/>
          <w:bCs w:val="false"/>
          <w:color w:val="1F1F1F"/>
          <w:sz w:val="22"/>
          <w:szCs w:val="22"/>
        </w:rPr>
        <w:t xml:space="preserve"> must be treated or explicitly accepted by senior management.</w:t>
      </w:r>
    </w:p>
    <w:p>
      <w:pPr>
        <w:pStyle w:val="Heading1"/>
        <w:spacing w:before="200" w:after="160"/>
        <w:rPr/>
      </w:pPr>
      <w:bookmarkStart w:id="7" w:name="__RefHeading___Toc290_441392701"/>
      <w:bookmarkEnd w:id="7"/>
      <w:r>
        <w:rPr>
          <w:rFonts w:eastAsia="Liberation Sans" w:cs="Liberation Sans" w:ascii="Liberation Sans" w:hAnsi="Liberation Sans"/>
          <w:b/>
          <w:bCs/>
          <w:color w:val="2E75B6"/>
          <w:sz w:val="30"/>
          <w:szCs w:val="30"/>
        </w:rPr>
        <w:t>Asset Identification</w:t>
      </w:r>
    </w:p>
    <w:p>
      <w:pPr>
        <w:pStyle w:val="Normal"/>
        <w:spacing w:lineRule="exact" w:line="300" w:before="0" w:after="200"/>
        <w:rPr/>
      </w:pPr>
      <w:r>
        <w:rPr>
          <w:rFonts w:eastAsia="Times New Roman" w:cs="Times New Roman"/>
          <w:b w:val="false"/>
          <w:bCs w:val="false"/>
          <w:color w:val="1F1F1F"/>
          <w:sz w:val="22"/>
          <w:szCs w:val="22"/>
        </w:rPr>
        <w:t>Assets considered in risk assessments may include:</w:t>
      </w:r>
    </w:p>
    <w:p>
      <w:pPr>
        <w:pStyle w:val="ListParagraph"/>
        <w:numPr>
          <w:ilvl w:val="0"/>
          <w:numId w:val="1"/>
        </w:numPr>
        <w:spacing w:lineRule="exact" w:line="300" w:before="0" w:after="120"/>
        <w:ind w:hanging="360" w:left="720"/>
        <w:rPr/>
      </w:pPr>
      <w:r>
        <w:rPr>
          <w:rFonts w:eastAsia="Times New Roman" w:cs="Times New Roman"/>
          <w:b w:val="false"/>
          <w:bCs w:val="false"/>
          <w:color w:val="1F1F1F"/>
          <w:sz w:val="22"/>
          <w:szCs w:val="22"/>
        </w:rPr>
        <w:t>Source code repository</w:t>
      </w:r>
    </w:p>
    <w:p>
      <w:pPr>
        <w:pStyle w:val="ListParagraph"/>
        <w:numPr>
          <w:ilvl w:val="0"/>
          <w:numId w:val="1"/>
        </w:numPr>
        <w:spacing w:lineRule="exact" w:line="300" w:before="0" w:after="120"/>
        <w:ind w:hanging="360" w:left="720"/>
        <w:rPr/>
      </w:pPr>
      <w:r>
        <w:rPr>
          <w:rFonts w:eastAsia="Times New Roman" w:cs="Times New Roman"/>
          <w:b w:val="false"/>
          <w:bCs w:val="false"/>
          <w:color w:val="1F1F1F"/>
          <w:sz w:val="22"/>
          <w:szCs w:val="22"/>
        </w:rPr>
        <w:t>CI/CD Pipeline</w:t>
      </w:r>
    </w:p>
    <w:p>
      <w:pPr>
        <w:pStyle w:val="ListParagraph"/>
        <w:numPr>
          <w:ilvl w:val="0"/>
          <w:numId w:val="1"/>
        </w:numPr>
        <w:spacing w:lineRule="exact" w:line="300" w:before="0" w:after="120"/>
        <w:ind w:hanging="360" w:left="720"/>
        <w:rPr/>
      </w:pPr>
      <w:r>
        <w:rPr>
          <w:rFonts w:eastAsia="Times New Roman" w:cs="Times New Roman"/>
          <w:b w:val="false"/>
          <w:bCs w:val="false"/>
          <w:color w:val="1F1F1F"/>
          <w:sz w:val="22"/>
          <w:szCs w:val="22"/>
        </w:rPr>
        <w:t>Cloud infrastructure (AWS EC2, S3)</w:t>
      </w:r>
    </w:p>
    <w:p>
      <w:pPr>
        <w:pStyle w:val="ListParagraph"/>
        <w:numPr>
          <w:ilvl w:val="0"/>
          <w:numId w:val="1"/>
        </w:numPr>
        <w:spacing w:lineRule="exact" w:line="300" w:before="0" w:after="120"/>
        <w:ind w:hanging="360" w:left="720"/>
        <w:rPr/>
      </w:pPr>
      <w:r>
        <w:rPr>
          <w:rFonts w:eastAsia="Times New Roman" w:cs="Times New Roman"/>
          <w:b w:val="false"/>
          <w:bCs w:val="false"/>
          <w:color w:val="1F1F1F"/>
          <w:sz w:val="22"/>
          <w:szCs w:val="22"/>
        </w:rPr>
        <w:t>Employee laptops</w:t>
      </w:r>
    </w:p>
    <w:p>
      <w:pPr>
        <w:pStyle w:val="ListParagraph"/>
        <w:numPr>
          <w:ilvl w:val="0"/>
          <w:numId w:val="1"/>
        </w:numPr>
        <w:spacing w:lineRule="exact" w:line="300" w:before="0" w:after="120"/>
        <w:ind w:hanging="360" w:left="720"/>
        <w:rPr/>
      </w:pPr>
      <w:r>
        <w:rPr>
          <w:rFonts w:eastAsia="Times New Roman" w:cs="Times New Roman"/>
          <w:b w:val="false"/>
          <w:bCs w:val="false"/>
          <w:color w:val="1F1F1F"/>
          <w:sz w:val="22"/>
          <w:szCs w:val="22"/>
        </w:rPr>
        <w:t>Data (even if no personal data is processed)</w:t>
      </w:r>
    </w:p>
    <w:p>
      <w:pPr>
        <w:pStyle w:val="Heading1"/>
        <w:spacing w:before="200" w:after="160"/>
        <w:rPr/>
      </w:pPr>
      <w:bookmarkStart w:id="8" w:name="__RefHeading___Toc292_441392701"/>
      <w:bookmarkEnd w:id="8"/>
      <w:r>
        <w:rPr>
          <w:rFonts w:eastAsia="Liberation Sans" w:cs="Liberation Sans" w:ascii="Liberation Sans" w:hAnsi="Liberation Sans"/>
          <w:b/>
          <w:bCs/>
          <w:color w:val="2E75B6"/>
          <w:sz w:val="30"/>
          <w:szCs w:val="30"/>
        </w:rPr>
        <w:t>Threats and Vulnerabilities</w:t>
      </w:r>
    </w:p>
    <w:p>
      <w:pPr>
        <w:pStyle w:val="Normal"/>
        <w:spacing w:lineRule="exact" w:line="300" w:before="0" w:after="200"/>
        <w:rPr/>
      </w:pPr>
      <w:r>
        <w:rPr>
          <w:rFonts w:eastAsia="Times New Roman" w:cs="Times New Roman"/>
          <w:b w:val="false"/>
          <w:bCs w:val="false"/>
          <w:color w:val="1F1F1F"/>
          <w:sz w:val="22"/>
          <w:szCs w:val="22"/>
        </w:rPr>
        <w:t>Abionic Inc. uses recognised sources such as:</w:t>
      </w:r>
    </w:p>
    <w:p>
      <w:pPr>
        <w:pStyle w:val="ListParagraph"/>
        <w:numPr>
          <w:ilvl w:val="0"/>
          <w:numId w:val="1"/>
        </w:numPr>
        <w:spacing w:lineRule="exact" w:line="300" w:before="0" w:after="120"/>
        <w:ind w:hanging="360" w:left="720"/>
        <w:rPr/>
      </w:pPr>
      <w:r>
        <w:rPr>
          <w:rFonts w:eastAsia="Times New Roman" w:cs="Times New Roman"/>
          <w:b w:val="false"/>
          <w:bCs w:val="false"/>
          <w:color w:val="1F1F1F"/>
          <w:sz w:val="22"/>
          <w:szCs w:val="22"/>
        </w:rPr>
        <w:t>OWASP Top 10</w:t>
      </w:r>
    </w:p>
    <w:p>
      <w:pPr>
        <w:pStyle w:val="ListParagraph"/>
        <w:numPr>
          <w:ilvl w:val="0"/>
          <w:numId w:val="1"/>
        </w:numPr>
        <w:spacing w:lineRule="exact" w:line="300" w:before="0" w:after="120"/>
        <w:ind w:hanging="360" w:left="720"/>
        <w:rPr/>
      </w:pPr>
      <w:r>
        <w:rPr>
          <w:rFonts w:eastAsia="Times New Roman" w:cs="Times New Roman"/>
          <w:b w:val="false"/>
          <w:bCs w:val="false"/>
          <w:color w:val="1F1F1F"/>
          <w:sz w:val="22"/>
          <w:szCs w:val="22"/>
        </w:rPr>
        <w:t>NIST SP 800-30</w:t>
      </w:r>
    </w:p>
    <w:p>
      <w:pPr>
        <w:pStyle w:val="ListParagraph"/>
        <w:numPr>
          <w:ilvl w:val="0"/>
          <w:numId w:val="1"/>
        </w:numPr>
        <w:spacing w:lineRule="exact" w:line="300" w:before="0" w:after="120"/>
        <w:ind w:hanging="360" w:left="720"/>
        <w:rPr/>
      </w:pPr>
      <w:r>
        <w:rPr>
          <w:rFonts w:eastAsia="Times New Roman" w:cs="Times New Roman"/>
          <w:b w:val="false"/>
          <w:bCs w:val="false"/>
          <w:color w:val="1F1F1F"/>
          <w:sz w:val="22"/>
          <w:szCs w:val="22"/>
        </w:rPr>
        <w:t>Industry threat intelligence</w:t>
      </w:r>
    </w:p>
    <w:p>
      <w:pPr>
        <w:pStyle w:val="ListParagraph"/>
        <w:numPr>
          <w:ilvl w:val="0"/>
          <w:numId w:val="1"/>
        </w:numPr>
        <w:spacing w:lineRule="exact" w:line="300" w:before="0" w:after="120"/>
        <w:ind w:hanging="360" w:left="720"/>
        <w:rPr/>
      </w:pPr>
      <w:r>
        <w:rPr>
          <w:rFonts w:eastAsia="Times New Roman" w:cs="Times New Roman"/>
          <w:b w:val="false"/>
          <w:bCs w:val="false"/>
          <w:color w:val="1F1F1F"/>
          <w:sz w:val="22"/>
          <w:szCs w:val="22"/>
        </w:rPr>
        <w:t>Internal incident history</w:t>
      </w:r>
    </w:p>
    <w:p>
      <w:pPr>
        <w:pStyle w:val="Normal"/>
        <w:spacing w:lineRule="exact" w:line="300" w:before="0" w:after="200"/>
        <w:rPr/>
      </w:pPr>
      <w:r>
        <w:rPr>
          <w:rFonts w:eastAsia="Times New Roman" w:cs="Times New Roman"/>
          <w:b w:val="false"/>
          <w:bCs w:val="false"/>
          <w:color w:val="1F1F1F"/>
          <w:sz w:val="22"/>
          <w:szCs w:val="22"/>
        </w:rPr>
        <w:t>Each asset is assessed for applicable threats and vulnerabilities that could compromise confidentiality, integrity, or availability.</w:t>
      </w:r>
    </w:p>
    <w:p>
      <w:pPr>
        <w:pStyle w:val="Normal"/>
        <w:rPr/>
      </w:pPr>
      <w:r>
        <w:rPr/>
      </w:r>
      <w:r>
        <w:br w:type="page"/>
      </w:r>
    </w:p>
    <w:p>
      <w:pPr>
        <w:pStyle w:val="Heading1"/>
        <w:spacing w:before="0" w:after="160"/>
        <w:rPr/>
      </w:pPr>
      <w:bookmarkStart w:id="9" w:name="__RefHeading___Toc294_441392701"/>
      <w:bookmarkEnd w:id="9"/>
      <w:r>
        <w:rPr>
          <w:rFonts w:eastAsia="Liberation Sans" w:cs="Liberation Sans" w:ascii="Liberation Sans" w:hAnsi="Liberation Sans"/>
          <w:b/>
          <w:bCs/>
          <w:color w:val="2E75B6"/>
          <w:sz w:val="30"/>
          <w:szCs w:val="30"/>
        </w:rPr>
        <w:t>Risk Ownership</w:t>
      </w:r>
    </w:p>
    <w:p>
      <w:pPr>
        <w:pStyle w:val="Normal"/>
        <w:spacing w:lineRule="exact" w:line="300" w:before="0" w:after="200"/>
        <w:rPr/>
      </w:pPr>
      <w:r>
        <w:rPr>
          <w:rFonts w:eastAsia="Times New Roman" w:cs="Times New Roman"/>
          <w:b w:val="false"/>
          <w:bCs w:val="false"/>
          <w:color w:val="1F1F1F"/>
          <w:sz w:val="22"/>
          <w:szCs w:val="22"/>
        </w:rPr>
        <w:t>Every identified risk is assigned to a Risk Owner, typically the owner of the associated asset or business process. Risk Owners are responsible for validating assessments and supporting treatment efforts.</w:t>
      </w:r>
    </w:p>
    <w:p>
      <w:pPr>
        <w:pStyle w:val="Heading1"/>
        <w:spacing w:before="200" w:after="160"/>
        <w:rPr/>
      </w:pPr>
      <w:bookmarkStart w:id="10" w:name="__RefHeading___Toc296_441392701"/>
      <w:bookmarkEnd w:id="10"/>
      <w:r>
        <w:rPr>
          <w:rFonts w:eastAsia="Liberation Sans" w:cs="Liberation Sans" w:ascii="Liberation Sans" w:hAnsi="Liberation Sans"/>
          <w:b/>
          <w:bCs/>
          <w:color w:val="2E75B6"/>
          <w:sz w:val="30"/>
          <w:szCs w:val="30"/>
        </w:rPr>
        <w:t>Review and Frequency</w:t>
      </w:r>
    </w:p>
    <w:p>
      <w:pPr>
        <w:pStyle w:val="Normal"/>
        <w:spacing w:lineRule="exact" w:line="300" w:before="0" w:after="200"/>
        <w:rPr/>
      </w:pPr>
      <w:r>
        <w:rPr>
          <w:rFonts w:eastAsia="Times New Roman" w:cs="Times New Roman"/>
          <w:b w:val="false"/>
          <w:bCs w:val="false"/>
          <w:color w:val="1F1F1F"/>
          <w:sz w:val="22"/>
          <w:szCs w:val="22"/>
        </w:rPr>
        <w:t>Risk assessments are:</w:t>
      </w:r>
    </w:p>
    <w:p>
      <w:pPr>
        <w:pStyle w:val="ListParagraph"/>
        <w:numPr>
          <w:ilvl w:val="0"/>
          <w:numId w:val="1"/>
        </w:numPr>
        <w:spacing w:lineRule="exact" w:line="300" w:before="0" w:after="120"/>
        <w:ind w:hanging="360" w:left="720"/>
        <w:rPr/>
      </w:pPr>
      <w:r>
        <w:rPr>
          <w:rFonts w:eastAsia="Times New Roman" w:cs="Times New Roman"/>
          <w:b w:val="false"/>
          <w:bCs w:val="false"/>
          <w:color w:val="1F1F1F"/>
          <w:sz w:val="22"/>
          <w:szCs w:val="22"/>
        </w:rPr>
        <w:t xml:space="preserve">Reviewed at least </w:t>
      </w:r>
      <w:r>
        <w:rPr>
          <w:rFonts w:eastAsia="Times New Roman" w:cs="Times New Roman"/>
          <w:b/>
          <w:bCs/>
          <w:color w:val="1F1F1F"/>
          <w:sz w:val="22"/>
          <w:szCs w:val="22"/>
        </w:rPr>
        <w:t>annually</w:t>
      </w:r>
    </w:p>
    <w:p>
      <w:pPr>
        <w:pStyle w:val="ListParagraph"/>
        <w:numPr>
          <w:ilvl w:val="0"/>
          <w:numId w:val="1"/>
        </w:numPr>
        <w:spacing w:lineRule="exact" w:line="300" w:before="0" w:after="120"/>
        <w:ind w:hanging="360" w:left="720"/>
        <w:rPr/>
      </w:pPr>
      <w:r>
        <w:rPr>
          <w:rFonts w:eastAsia="Times New Roman" w:cs="Times New Roman"/>
          <w:b w:val="false"/>
          <w:bCs w:val="false"/>
          <w:color w:val="1F1F1F"/>
          <w:sz w:val="22"/>
          <w:szCs w:val="22"/>
        </w:rPr>
        <w:t>Re-performed when there are significant changes to systems, processes, or threats</w:t>
      </w:r>
    </w:p>
    <w:p>
      <w:pPr>
        <w:pStyle w:val="ListParagraph"/>
        <w:numPr>
          <w:ilvl w:val="0"/>
          <w:numId w:val="1"/>
        </w:numPr>
        <w:spacing w:lineRule="exact" w:line="300" w:before="0" w:after="120"/>
        <w:ind w:hanging="360" w:left="720"/>
        <w:rPr/>
      </w:pPr>
      <w:r>
        <w:rPr>
          <w:rFonts w:eastAsia="Times New Roman" w:cs="Times New Roman"/>
          <w:b w:val="false"/>
          <w:bCs w:val="false"/>
          <w:color w:val="1F1F1F"/>
          <w:sz w:val="22"/>
          <w:szCs w:val="22"/>
        </w:rPr>
        <w:t>Updated before management reviews and internal audits</w:t>
      </w:r>
    </w:p>
    <w:p>
      <w:pPr>
        <w:pStyle w:val="Heading1"/>
        <w:spacing w:before="200" w:after="160"/>
        <w:rPr/>
      </w:pPr>
      <w:bookmarkStart w:id="11" w:name="__RefHeading___Toc298_441392701"/>
      <w:bookmarkEnd w:id="11"/>
      <w:r>
        <w:rPr>
          <w:rFonts w:eastAsia="Liberation Sans" w:cs="Liberation Sans" w:ascii="Liberation Sans" w:hAnsi="Liberation Sans"/>
          <w:b/>
          <w:bCs/>
          <w:color w:val="2E75B6"/>
          <w:sz w:val="30"/>
          <w:szCs w:val="30"/>
        </w:rPr>
        <w:t>Outputs and Records</w:t>
      </w:r>
    </w:p>
    <w:p>
      <w:pPr>
        <w:pStyle w:val="ListParagraph"/>
        <w:numPr>
          <w:ilvl w:val="0"/>
          <w:numId w:val="1"/>
        </w:numPr>
        <w:spacing w:lineRule="exact" w:line="300" w:before="0" w:after="120"/>
        <w:ind w:hanging="360" w:left="720"/>
        <w:rPr/>
      </w:pPr>
      <w:r>
        <w:rPr>
          <w:rFonts w:eastAsia="Times New Roman" w:cs="Times New Roman"/>
          <w:b w:val="false"/>
          <w:bCs w:val="false"/>
          <w:color w:val="1F1F1F"/>
          <w:sz w:val="22"/>
          <w:szCs w:val="22"/>
        </w:rPr>
        <w:t>Risk Register</w:t>
      </w:r>
    </w:p>
    <w:p>
      <w:pPr>
        <w:pStyle w:val="ListParagraph"/>
        <w:numPr>
          <w:ilvl w:val="0"/>
          <w:numId w:val="1"/>
        </w:numPr>
        <w:spacing w:lineRule="exact" w:line="300" w:before="0" w:after="120"/>
        <w:ind w:hanging="360" w:left="720"/>
        <w:rPr/>
      </w:pPr>
      <w:r>
        <w:rPr>
          <w:rFonts w:eastAsia="Times New Roman" w:cs="Times New Roman"/>
          <w:b w:val="false"/>
          <w:bCs w:val="false"/>
          <w:color w:val="1F1F1F"/>
          <w:sz w:val="22"/>
          <w:szCs w:val="22"/>
        </w:rPr>
        <w:t>Risk Assessment Report</w:t>
      </w:r>
    </w:p>
    <w:p>
      <w:pPr>
        <w:pStyle w:val="ListParagraph"/>
        <w:numPr>
          <w:ilvl w:val="0"/>
          <w:numId w:val="1"/>
        </w:numPr>
        <w:spacing w:lineRule="exact" w:line="300" w:before="0" w:after="120"/>
        <w:ind w:hanging="360" w:left="720"/>
        <w:rPr/>
      </w:pPr>
      <w:r>
        <w:rPr>
          <w:rFonts w:eastAsia="Times New Roman" w:cs="Times New Roman"/>
          <w:b w:val="false"/>
          <w:bCs w:val="false"/>
          <w:color w:val="1F1F1F"/>
          <w:sz w:val="22"/>
          <w:szCs w:val="22"/>
        </w:rPr>
        <w:t>Updated Asset Inventory</w:t>
      </w:r>
    </w:p>
    <w:p>
      <w:pPr>
        <w:pStyle w:val="ListParagraph"/>
        <w:numPr>
          <w:ilvl w:val="0"/>
          <w:numId w:val="1"/>
        </w:numPr>
        <w:spacing w:lineRule="exact" w:line="300" w:before="0" w:after="120"/>
        <w:ind w:hanging="360" w:left="720"/>
        <w:rPr/>
      </w:pPr>
      <w:r>
        <w:rPr>
          <w:rFonts w:eastAsia="Times New Roman" w:cs="Times New Roman"/>
          <w:b w:val="false"/>
          <w:bCs w:val="false"/>
          <w:color w:val="1F1F1F"/>
          <w:sz w:val="22"/>
          <w:szCs w:val="22"/>
        </w:rPr>
        <w:t>Treatment Plan input</w:t>
      </w:r>
    </w:p>
    <w:p>
      <w:pPr>
        <w:pStyle w:val="ListParagraph"/>
        <w:numPr>
          <w:ilvl w:val="0"/>
          <w:numId w:val="1"/>
        </w:numPr>
        <w:spacing w:lineRule="exact" w:line="300" w:before="0" w:after="120"/>
        <w:ind w:hanging="360" w:left="720"/>
        <w:rPr/>
      </w:pPr>
      <w:r>
        <w:rPr>
          <w:rFonts w:eastAsia="Times New Roman" w:cs="Times New Roman"/>
          <w:b w:val="false"/>
          <w:bCs w:val="false"/>
          <w:color w:val="1F1F1F"/>
          <w:sz w:val="22"/>
          <w:szCs w:val="22"/>
        </w:rPr>
        <w:t>Statement of Applicability input</w:t>
      </w:r>
    </w:p>
    <w:sectPr>
      <w:footerReference w:type="even" r:id="rId2"/>
      <w:footerReference w:type="default" r:id="rId3"/>
      <w:footerReference w:type="first" r:id="rId4"/>
      <w:type w:val="nextPage"/>
      <w:pgSz w:w="12240" w:h="15840"/>
      <w:pgMar w:left="1440" w:right="1440" w:gutter="0" w:header="0" w:top="1440" w:footer="708" w:bottom="1440"/>
      <w:pgNumType w:fmt="decimal"/>
      <w:formProt w:val="false"/>
      <w:textDirection w:val="lrTb"/>
      <w:docGrid w:type="default" w:linePitch="360" w:charSpace="8192"/>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Liberation Sans">
    <w:altName w:val="Arial"/>
    <w:charset w:val="01"/>
    <w:family w:val="swiss"/>
    <w:pitch w:val="variable"/>
  </w:font>
  <w:font w:name="Liberation Sans">
    <w:altName w:val="Arial"/>
    <w:charset w:val="01"/>
    <w:family w:val="roman"/>
    <w:pitch w:val="variable"/>
  </w:font>
  <w:font w:name="Georgia">
    <w:charset w:val="01"/>
    <w:family w:val="roman"/>
    <w:pitch w:val="variable"/>
  </w:font>
  <w:font w:name="Wingdings">
    <w:charset w:val="02"/>
    <w:family w:val="auto"/>
    <w:pitch w:val="default"/>
  </w:font>
  <w:font w:name="Courier New">
    <w:charset w:val="01"/>
    <w:family w:val="modern"/>
    <w:pitch w:val="fixed"/>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color w:val="808080"/>
        <w:sz w:val="16"/>
        <w:szCs w:val="16"/>
      </w:rPr>
      <w:t>Abionic Inc. - Risk Assessment Process - Confidential</w: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color w:val="808080"/>
        <w:sz w:val="16"/>
        <w:szCs w:val="16"/>
      </w:rPr>
      <w:t>Abionic Inc. - Risk Assessment Process - Confidential</w: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o"/>
      <w:lvlJc w:val="left"/>
      <w:pPr>
        <w:tabs>
          <w:tab w:val="num" w:pos="0"/>
        </w:tabs>
        <w:ind w:left="1080" w:hanging="360"/>
      </w:pPr>
      <w:rPr>
        <w:rFonts w:ascii="Courier New" w:hAnsi="Courier New" w:cs="Courier New" w:hint="default"/>
      </w:r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1"/>
    <w:lvlOverride w:ilvl="0">
      <w:startOverride w:val="1"/>
    </w:lvlOverride>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Noto Serif CJK SC" w:cs="FreeSans"/>
        <w:lang w:val="en-US" w:eastAsia="zh-CN" w:bidi="hi-IN"/>
      </w:rPr>
    </w:rPrDefault>
    <w:pPrDefault>
      <w:pPr>
        <w:suppressAutoHyphens w:val="true"/>
      </w:pPr>
    </w:pPrDefault>
  </w:docDefaults>
  <w:style w:type="paragraph" w:styleId="Normal">
    <w:name w:val="Normal"/>
    <w:qFormat/>
    <w:pPr>
      <w:widowControl/>
      <w:bidi w:val="0"/>
      <w:spacing w:before="0" w:after="0"/>
      <w:jc w:val="left"/>
    </w:pPr>
    <w:rPr>
      <w:rFonts w:ascii="Times New Roman" w:hAnsi="Times New Roman" w:eastAsia="Noto Serif CJK SC" w:cs="FreeSans"/>
      <w:color w:val="auto"/>
      <w:kern w:val="0"/>
      <w:sz w:val="20"/>
      <w:szCs w:val="20"/>
      <w:lang w:val="en-US" w:eastAsia="zh-CN" w:bidi="hi-IN"/>
    </w:rPr>
  </w:style>
  <w:style w:type="paragraph" w:styleId="Heading1">
    <w:name w:val="Heading 1"/>
    <w:basedOn w:val="Heading"/>
    <w:qFormat/>
    <w:pPr>
      <w:outlineLvl w:val="0"/>
    </w:pPr>
    <w:rPr>
      <w:color w:val="2E74B5"/>
      <w:sz w:val="32"/>
      <w:szCs w:val="32"/>
    </w:rPr>
  </w:style>
  <w:style w:type="paragraph" w:styleId="Heading2">
    <w:name w:val="Heading 2"/>
    <w:basedOn w:val="Heading"/>
    <w:qFormat/>
    <w:pPr>
      <w:outlineLvl w:val="1"/>
    </w:pPr>
    <w:rPr>
      <w:color w:val="2E74B5"/>
      <w:sz w:val="26"/>
      <w:szCs w:val="26"/>
    </w:rPr>
  </w:style>
  <w:style w:type="paragraph" w:styleId="Heading3">
    <w:name w:val="Heading 3"/>
    <w:basedOn w:val="Heading"/>
    <w:qFormat/>
    <w:pPr>
      <w:outlineLvl w:val="2"/>
    </w:pPr>
    <w:rPr>
      <w:color w:val="1F4D78"/>
      <w:sz w:val="24"/>
      <w:szCs w:val="24"/>
    </w:rPr>
  </w:style>
  <w:style w:type="paragraph" w:styleId="Heading4">
    <w:name w:val="Heading 4"/>
    <w:basedOn w:val="Heading"/>
    <w:qFormat/>
    <w:pPr>
      <w:outlineLvl w:val="3"/>
    </w:pPr>
    <w:rPr>
      <w:i/>
      <w:iCs/>
      <w:color w:val="2E74B5"/>
    </w:rPr>
  </w:style>
  <w:style w:type="paragraph" w:styleId="Heading5">
    <w:name w:val="Heading 5"/>
    <w:basedOn w:val="Heading"/>
    <w:qFormat/>
    <w:pPr>
      <w:outlineLvl w:val="4"/>
    </w:pPr>
    <w:rPr>
      <w:color w:val="2E74B5"/>
    </w:rPr>
  </w:style>
  <w:style w:type="paragraph" w:styleId="Heading6">
    <w:name w:val="Heading 6"/>
    <w:basedOn w:val="Heading"/>
    <w:qFormat/>
    <w:pPr>
      <w:outlineLvl w:val="5"/>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left"/>
    </w:pPr>
    <w:rPr>
      <w:rFonts w:ascii="Times New Roman" w:hAnsi="Times New Roman" w:eastAsia="Noto Serif CJK SC" w:cs="FreeSans"/>
      <w:b/>
      <w:bCs/>
      <w:color w:val="auto"/>
      <w:kern w:val="0"/>
      <w:sz w:val="20"/>
      <w:szCs w:val="20"/>
      <w:lang w:val="en-US" w:eastAsia="zh-CN" w:bidi="hi-IN"/>
    </w:rPr>
  </w:style>
  <w:style w:type="paragraph" w:styleId="ListParagraph">
    <w:name w:val="List Paragraph"/>
    <w:qFormat/>
    <w:pPr>
      <w:widowControl/>
      <w:bidi w:val="0"/>
      <w:spacing w:before="0" w:after="0"/>
      <w:jc w:val="left"/>
    </w:pPr>
    <w:rPr>
      <w:rFonts w:ascii="Times New Roman" w:hAnsi="Times New Roman" w:eastAsia="Noto Serif CJK SC" w:cs="FreeSans"/>
      <w:color w:val="auto"/>
      <w:kern w:val="0"/>
      <w:sz w:val="20"/>
      <w:szCs w:val="20"/>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HeaderandFooter">
    <w:name w:val="Header and Footer"/>
    <w:basedOn w:val="Normal"/>
    <w:qFormat/>
    <w:pPr/>
    <w:rPr/>
  </w:style>
  <w:style w:type="paragraph" w:styleId="Footer">
    <w:name w:val="Footer"/>
    <w:basedOn w:val="HeaderandFooter"/>
    <w:pPr/>
    <w:rPr/>
  </w:style>
  <w:style w:type="paragraph" w:styleId="TOC1">
    <w:name w:val="TOC 1"/>
    <w:basedOn w:val="Index"/>
    <w:pPr>
      <w:tabs>
        <w:tab w:val="clear" w:pos="720"/>
        <w:tab w:val="right" w:pos="9360" w:leader="dot"/>
      </w:tabs>
      <w:ind w:hanging="0" w:left="0"/>
    </w:pPr>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2026-08-23T17:39:19Z</dcterms:created>
  <dc:creator>Abionic Inc.</dc:creator>
  <dc:description/>
  <dc:language>en-US</dc:language>
  <cp:lastModifiedBy>Abionic Inc.</cp:lastModifiedBy>
  <dcterms:modified xsi:type="dcterms:W3CDTF">2026-08-23T17:39:26Z</dcterms:modified>
  <cp:revision>2</cp:revision>
  <dc:subject/>
  <dc:title/>
</cp:coreProperties>
</file>