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100"/>
        <w:jc w:val="center"/>
        <w:rPr/>
      </w:pPr>
      <w:r>
        <w:rPr>
          <w:rFonts w:eastAsia="Liberation Sans" w:cs="Liberation Sans" w:ascii="Liberation Sans" w:hAnsi="Liberation Sans"/>
          <w:color w:val="000000"/>
          <w:sz w:val="56"/>
          <w:szCs w:val="56"/>
        </w:rPr>
        <w:t>ISMS Risks and Opportunities Register</w:t>
      </w:r>
    </w:p>
    <w:p>
      <w:pPr>
        <w:pStyle w:val="Normal"/>
        <w:jc w:val="center"/>
        <w:rPr/>
      </w:pPr>
      <w:r>
        <w:rPr/>
      </w:r>
    </w:p>
    <w:p>
      <w:pPr>
        <w:pStyle w:val="Normal"/>
        <w:jc w:val="center"/>
        <w:rPr/>
      </w:pPr>
      <w:r>
        <w:rPr/>
      </w:r>
    </w:p>
    <w:p>
      <w:pPr>
        <w:pStyle w:val="Normal"/>
        <w:spacing w:before="360" w:after="80"/>
        <w:jc w:val="center"/>
        <w:rPr/>
      </w:pPr>
      <w:r>
        <w:rPr>
          <w:rFonts w:eastAsia="Georgia" w:cs="Georgia" w:ascii="Georgia" w:hAnsi="Georgia"/>
          <w:i/>
          <w:iCs/>
          <w:color w:val="666666"/>
          <w:sz w:val="48"/>
          <w:szCs w:val="48"/>
        </w:rPr>
        <w:t>Abionic Inc.</w:t>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Fonts w:eastAsia="Times New Roman" w:cs="Times New Roman"/>
          <w:sz w:val="22"/>
          <w:szCs w:val="22"/>
        </w:rPr>
        <w:t>Version 1.0</w:t>
      </w:r>
    </w:p>
    <w:p>
      <w:pPr>
        <w:pStyle w:val="Normal"/>
        <w:jc w:val="center"/>
        <w:rPr/>
      </w:pPr>
      <w:r>
        <w:rPr>
          <w:rFonts w:eastAsia="Times New Roman" w:cs="Times New Roman"/>
          <w:sz w:val="22"/>
          <w:szCs w:val="22"/>
        </w:rPr>
        <w:t>August 31, 2026</w:t>
      </w:r>
    </w:p>
    <w:p>
      <w:pPr>
        <w:pStyle w:val="Normal"/>
        <w:rPr/>
      </w:pPr>
      <w:r>
        <w:rPr/>
      </w:r>
      <w:r>
        <w:br w:type="page"/>
      </w:r>
    </w:p>
    <w:p>
      <w:pPr>
        <w:pStyle w:val="Normal"/>
        <w:spacing w:before="0" w:after="200"/>
        <w:rPr/>
      </w:pPr>
      <w:r>
        <w:rPr>
          <w:rFonts w:eastAsia="Liberation Sans" w:cs="Liberation Sans" w:ascii="Liberation Sans" w:hAnsi="Liberation Sans"/>
          <w:b/>
          <w:bCs/>
          <w:color w:val="2E75B6"/>
          <w:sz w:val="30"/>
          <w:szCs w:val="30"/>
        </w:rPr>
        <w:t>Table of 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"1-2" \h</w:instrText>
          </w:r>
          <w:r>
            <w:rPr>
              <w:rStyle w:val="IndexLink"/>
            </w:rPr>
            <w:fldChar w:fldCharType="separate"/>
          </w:r>
        </w:p>
        <w:p>
          <w:pPr>
            <w:pStyle w:val="TOC1"/>
            <w:tabs>
              <w:tab w:val="clear" w:pos="9360"/>
              <w:tab w:val="right" w:pos="9359" w:leader="dot"/>
            </w:tabs>
            <w:rPr/>
          </w:pPr>
          <w:hyperlink w:anchor="__RefHeading___Toc369_605544599">
            <w:r>
              <w:rPr>
                <w:rStyle w:val="IndexLink"/>
              </w:rPr>
              <w:t xml:space="preserve">Change Log</w:t>
              <w:tab/>
              <w:t xml:space="preserve">3</w:t>
            </w:r>
          </w:hyperlink>
        </w:p>
        <w:p>
          <w:pPr>
            <w:pStyle w:val="TOC1"/>
            <w:tabs>
              <w:tab w:val="clear" w:pos="9360"/>
              <w:tab w:val="right" w:pos="9359" w:leader="dot"/>
            </w:tabs>
            <w:rPr/>
          </w:pPr>
          <w:hyperlink w:anchor="__RefHeading___Toc369_605544599">
            <w:r>
              <w:rPr>
                <w:rStyle w:val="IndexLink"/>
              </w:rPr>
              <w:t xml:space="preserve">Purpose</w:t>
              <w:tab/>
              <w:t xml:space="preserve">4</w:t>
            </w:r>
          </w:hyperlink>
        </w:p>
        <w:p>
          <w:pPr>
            <w:pStyle w:val="TOC1"/>
            <w:tabs>
              <w:tab w:val="clear" w:pos="9360"/>
              <w:tab w:val="right" w:pos="9359" w:leader="dot"/>
            </w:tabs>
            <w:rPr/>
          </w:pPr>
          <w:hyperlink w:anchor="__RefHeading___Toc369_605544599">
            <w:r>
              <w:rPr>
                <w:rStyle w:val="IndexLink"/>
              </w:rPr>
              <w:t xml:space="preserve">Scope</w:t>
              <w:tab/>
              <w:t xml:space="preserve">4</w:t>
            </w:r>
          </w:hyperlink>
        </w:p>
        <w:p>
          <w:pPr>
            <w:pStyle w:val="TOC1"/>
            <w:tabs>
              <w:tab w:val="clear" w:pos="9360"/>
              <w:tab w:val="right" w:pos="9359" w:leader="dot"/>
            </w:tabs>
            <w:rPr/>
          </w:pPr>
          <w:hyperlink w:anchor="__RefHeading___Toc369_605544599">
            <w:r>
              <w:rPr>
                <w:rStyle w:val="IndexLink"/>
              </w:rPr>
              <w:t xml:space="preserve">Method</w:t>
              <w:tab/>
              <w:t xml:space="preserve">4</w:t>
            </w:r>
          </w:hyperlink>
        </w:p>
        <w:p>
          <w:pPr>
            <w:pStyle w:val="TOC1"/>
            <w:tabs>
              <w:tab w:val="clear" w:pos="9360"/>
              <w:tab w:val="right" w:pos="9359" w:leader="dot"/>
            </w:tabs>
            <w:rPr/>
          </w:pPr>
          <w:hyperlink w:anchor="__RefHeading___Toc369_605544599">
            <w:r>
              <w:rPr>
                <w:rStyle w:val="IndexLink"/>
              </w:rPr>
              <w:t xml:space="preserve">Risks to the ISMS</w:t>
              <w:tab/>
              <w:t xml:space="preserve">4</w:t>
            </w:r>
          </w:hyperlink>
        </w:p>
        <w:p>
          <w:pPr>
            <w:pStyle w:val="TOC1"/>
            <w:tabs>
              <w:tab w:val="clear" w:pos="9360"/>
              <w:tab w:val="right" w:pos="9359" w:leader="dot"/>
            </w:tabs>
            <w:rPr/>
          </w:pPr>
          <w:hyperlink w:anchor="__RefHeading___Toc369_605544599">
            <w:r>
              <w:rPr>
                <w:rStyle w:val="IndexLink"/>
              </w:rPr>
              <w:t xml:space="preserve">Opportunities for the ISMS</w:t>
              <w:tab/>
              <w:t xml:space="preserve">5</w:t>
            </w:r>
          </w:hyperlink>
        </w:p>
        <w:p>
          <w:pPr>
            <w:pStyle w:val="TOC1"/>
            <w:tabs>
              <w:tab w:val="clear" w:pos="9360"/>
              <w:tab w:val="right" w:pos="9359" w:leader="dot"/>
            </w:tabs>
            <w:rPr/>
          </w:pPr>
          <w:hyperlink w:anchor="__RefHeading___Toc369_605544599">
            <w:r>
              <w:rPr>
                <w:rStyle w:val="IndexLink"/>
              </w:rPr>
              <w:t xml:space="preserve">Integration and Evaluation</w:t>
              <w:tab/>
              <w:t xml:space="preserve">5</w:t>
            </w:r>
          </w:hyperlink>
        </w:p>
        <w:p>
          <w:pPr>
            <w:pStyle w:val="TOC1"/>
            <w:tabs>
              <w:tab w:val="clear" w:pos="9360"/>
              <w:tab w:val="right" w:pos="9359" w:leader="dot"/>
            </w:tabs>
            <w:rPr/>
          </w:pPr>
          <w:hyperlink w:anchor="__RefHeading___Toc369_605544599">
            <w:r>
              <w:rPr>
                <w:rStyle w:val="IndexLink"/>
              </w:rPr>
              <w:t xml:space="preserve">Review and Updates</w:t>
              <w:tab/>
              <w:t xml:space="preserve">5</w:t>
            </w:r>
          </w:hyperlink>
        </w:p>
      </w:sdtContent>
    </w:sdt>
    <w:p>
      <w:pPr>
        <w:pStyle w:val="Normal"/>
        <w:rPr/>
      </w:pPr>
      <w:r>
        <w:rPr/>
      </w:r>
    </w:p>
    <w:p>
      <w:pPr>
        <w:pStyle w:val="Normal"/>
        <w:rPr/>
      </w:pPr>
      <w:r>
        <w:rPr/>
      </w:r>
      <w:r>
        <w:br w:type="page"/>
      </w:r>
    </w:p>
    <w:p>
      <w:pPr>
        <w:pStyle w:val="Heading1"/>
        <w:spacing w:before="0" w:after="160"/>
        <w:rPr/>
      </w:pPr>
      <w:bookmarkStart w:id="1" w:name="__RefHeading___Toc369_605544599"/>
      <w:bookmarkEnd w:id="1"/>
      <w:r>
        <w:rPr>
          <w:rFonts w:eastAsia="Liberation Sans" w:cs="Liberation Sans" w:ascii="Liberation Sans" w:hAnsi="Liberation Sans"/>
          <w:b/>
          <w:bCs/>
          <w:color w:val="2E75B6"/>
          <w:sz w:val="30"/>
          <w:szCs w:val="30"/>
        </w:rPr>
        <w:t xml:space="preserve">Change Log</w:t>
      </w:r>
    </w:p>
    <w:tbl>
      <w:tblPr>
        <w:tblW w:w="9440" w:type="dxa"/>
        <w:jc w:val="left"/>
        <w:tblInd w:w="0" w:type="dxa"/>
        <w:tblLayout w:type="fixed"/>
        <w:tblCellMar>
          <w:top w:w="80" w:type="dxa"/>
          <w:left w:w="100" w:type="dxa"/>
          <w:bottom w:w="80" w:type="dxa"/>
          <w:right w:w="100" w:type="dxa"/>
        </w:tblCellMar>
      </w:tblPr>
      <w:tblGrid>
        <w:gridCol w:w="1180"/>
        <w:gridCol w:w="1180"/>
        <w:gridCol w:w="1180"/>
        <w:gridCol w:w="1180"/>
        <w:gridCol w:w="1180"/>
        <w:gridCol w:w="1180"/>
        <w:gridCol w:w="1180"/>
        <w:gridCol w:w="1178"/>
      </w:tblGrid>
      <w:tr>
        <w:trPr>
          <w:tblHeader w:val="true"/>
        </w:trPr>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Date</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Version</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Author</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Description</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Approved By</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Last Updated</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Review Frequency</w:t>
            </w:r>
          </w:p>
        </w:tc>
        <w:tc>
          <w:tcPr>
            <w:tcW w:w="1178"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Next Review</w:t>
            </w:r>
          </w:p>
        </w:tc>
      </w:tr>
      <w:tr>
        <w:trPr/>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August 31, 2026</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1.0</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GRC Analyst</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Initial version</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Information Security Manager</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August 31, 2026</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Annually</w:t>
            </w:r>
          </w:p>
        </w:tc>
        <w:tc>
          <w:tcPr>
            <w:tcW w:w="1178"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August 31, 2027</w:t>
            </w:r>
          </w:p>
        </w:tc>
      </w:tr>
    </w:tbl>
    <w:p>
      <w:pPr>
        <w:pStyle w:val="Normal"/>
        <w:rPr/>
      </w:pPr>
      <w:r>
        <w:rPr/>
      </w:r>
      <w:r>
        <w:br w:type="page"/>
      </w:r>
    </w:p>
    <w:p>
      <w:pPr>
        <w:pStyle w:val="Heading1"/>
        <w:spacing w:before="0" w:after="160"/>
        <w:rPr/>
      </w:pPr>
      <w:bookmarkStart w:id="2" w:name="__RefHeading___Toc369_605544599_2"/>
      <w:bookmarkEnd w:id="2"/>
      <w:r>
        <w:rPr>
          <w:rFonts w:eastAsia="Liberation Sans" w:cs="Liberation Sans" w:ascii="Liberation Sans" w:hAnsi="Liberation Sans"/>
          <w:b/>
          <w:bCs/>
          <w:color w:val="2E75B6"/>
          <w:sz w:val="30"/>
          <w:szCs w:val="30"/>
        </w:rPr>
        <w:t xml:space="preserve">Purpose</w:t>
      </w:r>
    </w:p>
    <w:p>
      <w:pPr>
        <w:pStyle w:val="Normal"/>
        <w:spacing w:lineRule="exact" w:line="300" w:before="0" w:after="200"/>
        <w:rPr/>
      </w:pPr>
      <w:r>
        <w:rPr>
          <w:rFonts w:eastAsia="Times New Roman" w:cs="Times New Roman"/>
          <w:b w:val="false"/>
          <w:bCs w:val="false"/>
          <w:color w:val="1F1F1F"/>
          <w:sz w:val="22"/>
          <w:szCs w:val="22"/>
        </w:rPr>
        <w:t xml:space="preserve">This register records the risks and opportunities that could affect the ability of Abionic Inc.'s information security management system to achieve its intended outcomes, and the actions planned to address them. It satisfies ISO/IEC 27001:2022 clause 6.1.1.</w:t>
      </w:r>
    </w:p>
    <w:p>
      <w:pPr>
        <w:pStyle w:val="Heading1"/>
        <w:spacing w:before="0" w:after="160"/>
        <w:rPr/>
      </w:pPr>
      <w:bookmarkStart w:id="3" w:name="__RefHeading___Toc369_605544599_3"/>
      <w:bookmarkEnd w:id="3"/>
      <w:r>
        <w:rPr>
          <w:rFonts w:eastAsia="Liberation Sans" w:cs="Liberation Sans" w:ascii="Liberation Sans" w:hAnsi="Liberation Sans"/>
          <w:b/>
          <w:bCs/>
          <w:color w:val="2E75B6"/>
          <w:sz w:val="30"/>
          <w:szCs w:val="30"/>
        </w:rPr>
        <w:t xml:space="preserve">Scope</w:t>
      </w:r>
    </w:p>
    <w:p>
      <w:pPr>
        <w:pStyle w:val="Normal"/>
        <w:spacing w:lineRule="exact" w:line="300" w:before="0" w:after="200"/>
        <w:rPr/>
      </w:pPr>
      <w:r>
        <w:rPr>
          <w:rFonts w:eastAsia="Times New Roman" w:cs="Times New Roman"/>
          <w:b w:val="false"/>
          <w:bCs w:val="false"/>
          <w:color w:val="1F1F1F"/>
          <w:sz w:val="22"/>
          <w:szCs w:val="22"/>
        </w:rPr>
        <w:t xml:space="preserve">Covers risks and opportunities at the management-system level, arising from the internal and external issues identified under clause 4.1 and the needs and expectations of interested parties identified under clause 4.2. Information security risks to specific assets are assessed separately under clause 6.1.2 and recorded in the Statement of Applicability workbook.</w:t>
      </w:r>
    </w:p>
    <w:p>
      <w:pPr>
        <w:pStyle w:val="Heading1"/>
        <w:spacing w:before="0" w:after="160"/>
        <w:rPr/>
      </w:pPr>
      <w:bookmarkStart w:id="4" w:name="__RefHeading___Toc369_605544599_4"/>
      <w:bookmarkEnd w:id="4"/>
      <w:r>
        <w:rPr>
          <w:rFonts w:eastAsia="Liberation Sans" w:cs="Liberation Sans" w:ascii="Liberation Sans" w:hAnsi="Liberation Sans"/>
          <w:b/>
          <w:bCs/>
          <w:color w:val="2E75B6"/>
          <w:sz w:val="30"/>
          <w:szCs w:val="30"/>
        </w:rPr>
        <w:t xml:space="preserve">Method</w:t>
      </w:r>
    </w:p>
    <w:p>
      <w:pPr>
        <w:pStyle w:val="Normal"/>
        <w:spacing w:lineRule="exact" w:line="300" w:before="0" w:after="200"/>
        <w:rPr/>
      </w:pPr>
      <w:r>
        <w:rPr>
          <w:rFonts w:eastAsia="Times New Roman" w:cs="Times New Roman"/>
          <w:b w:val="false"/>
          <w:bCs w:val="false"/>
          <w:color w:val="1F1F1F"/>
          <w:sz w:val="22"/>
          <w:szCs w:val="22"/>
        </w:rPr>
        <w:t xml:space="preserve">Issues from clauses 4.1 and 4.2 are reviewed at each management review. Each is expressed as a risk or an opportunity to the ISMS itself, assigned an owner and a planned action, and tracked to closure. Actions are integrated into existing ISMS processes rather than run separately.</w:t>
      </w:r>
    </w:p>
    <w:p>
      <w:pPr>
        <w:pStyle w:val="Heading1"/>
        <w:spacing w:before="0" w:after="160"/>
        <w:rPr/>
      </w:pPr>
      <w:bookmarkStart w:id="5" w:name="__RefHeading___Toc369_605544599_5"/>
      <w:bookmarkEnd w:id="5"/>
      <w:r>
        <w:rPr>
          <w:rFonts w:eastAsia="Liberation Sans" w:cs="Liberation Sans" w:ascii="Liberation Sans" w:hAnsi="Liberation Sans"/>
          <w:b/>
          <w:bCs/>
          <w:color w:val="2E75B6"/>
          <w:sz w:val="30"/>
          <w:szCs w:val="30"/>
        </w:rPr>
        <w:t xml:space="preserve">Risks to the ISMS</w:t>
      </w:r>
    </w:p>
    <w:tbl>
      <w:tblPr>
        <w:tblW w:w="9360" w:type="dxa"/>
        <w:jc w:val="left"/>
        <w:tblInd w:w="0" w:type="dxa"/>
        <w:tblLayout w:type="fixed"/>
        <w:tblCellMar>
          <w:top w:w="80" w:type="dxa"/>
          <w:left w:w="100" w:type="dxa"/>
          <w:bottom w:w="80" w:type="dxa"/>
          <w:right w:w="100" w:type="dxa"/>
        </w:tblCellMar>
      </w:tblPr>
      <w:tblGrid>
        <w:gridCol w:w="2340"/>
        <w:gridCol w:w="2340"/>
        <w:gridCol w:w="2340"/>
        <w:gridCol w:w="2340"/>
      </w:tblGrid>
      <w:tr>
        <w:trPr>
          <w:tblHeader w:val="true"/>
        </w:trPr>
        <w:tc>
          <w:tcPr>
            <w:tcW w:w="234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Risk to the ISMS</w:t>
            </w:r>
          </w:p>
        </w:tc>
        <w:tc>
          <w:tcPr>
            <w:tcW w:w="234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Source Issue</w:t>
            </w:r>
          </w:p>
        </w:tc>
        <w:tc>
          <w:tcPr>
            <w:tcW w:w="234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Planned Action</w:t>
            </w:r>
          </w:p>
        </w:tc>
        <w:tc>
          <w:tcPr>
            <w:tcW w:w="234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Owner</w:t>
            </w:r>
          </w:p>
        </w:tc>
      </w:tr>
      <w:tr>
        <w:trPr/>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Security work is deprioritised against product delivery deadlines</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4.1 internal: small team, fast release cadence</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Security objectives set and reviewed quarterly at management review with the CEO present</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Information Security Manager</w:t>
            </w:r>
          </w:p>
        </w:tc>
      </w:tr>
      <w:tr>
        <w:trPr/>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Key-person dependency: ISMS knowledge concentrated in one or two people</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4.1 internal: headcount under 10</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Documented procedure for every clause, competence records maintained, no undocumented process</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Information Security Manager</w:t>
            </w:r>
          </w:p>
        </w:tc>
      </w:tr>
      <w:tr>
        <w:trPr/>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Customer security requirements outpace the current control set</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4.2: enterprise customers and prospects</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Customer security questionnaires reviewed for recurring gaps and fed into the risk assessment cycle</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Information Security Manager</w:t>
            </w:r>
          </w:p>
        </w:tc>
      </w:tr>
      <w:tr>
        <w:trPr/>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Reliance on AWS and SaaS providers concentrates risk outside direct control</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4.1 external: cloud-hosted delivery model</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Supplier and vendor management policy applied at onboarding and renewal; provider assurance reports reviewed</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IT Infrastructure Engineer</w:t>
            </w:r>
          </w:p>
        </w:tc>
      </w:tr>
      <w:tr>
        <w:trPr/>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Regulatory change in a customer jurisdiction creates new obligations</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4.2: regulators</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Legal and regulatory requirements reviewed annually and on entry to a new market</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Chief Executive Officer</w:t>
            </w:r>
          </w:p>
        </w:tc>
      </w:tr>
    </w:tbl>
    <w:p>
      <w:pPr>
        <w:pStyle w:val="Heading1"/>
        <w:spacing w:before="0" w:after="160"/>
        <w:rPr/>
      </w:pPr>
      <w:bookmarkStart w:id="6" w:name="__RefHeading___Toc369_605544599_6"/>
      <w:bookmarkEnd w:id="6"/>
      <w:r>
        <w:rPr>
          <w:rFonts w:eastAsia="Liberation Sans" w:cs="Liberation Sans" w:ascii="Liberation Sans" w:hAnsi="Liberation Sans"/>
          <w:b/>
          <w:bCs/>
          <w:color w:val="2E75B6"/>
          <w:sz w:val="30"/>
          <w:szCs w:val="30"/>
        </w:rPr>
        <w:t xml:space="preserve">Opportunities for the ISMS</w:t>
      </w:r>
    </w:p>
    <w:tbl>
      <w:tblPr>
        <w:tblW w:w="9360" w:type="dxa"/>
        <w:jc w:val="left"/>
        <w:tblInd w:w="0" w:type="dxa"/>
        <w:tblLayout w:type="fixed"/>
        <w:tblCellMar>
          <w:top w:w="80" w:type="dxa"/>
          <w:left w:w="100" w:type="dxa"/>
          <w:bottom w:w="80" w:type="dxa"/>
          <w:right w:w="100" w:type="dxa"/>
        </w:tblCellMar>
      </w:tblPr>
      <w:tblGrid>
        <w:gridCol w:w="2340"/>
        <w:gridCol w:w="2340"/>
        <w:gridCol w:w="2340"/>
        <w:gridCol w:w="2340"/>
      </w:tblGrid>
      <w:tr>
        <w:trPr>
          <w:tblHeader w:val="true"/>
        </w:trPr>
        <w:tc>
          <w:tcPr>
            <w:tcW w:w="234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Opportunity</w:t>
            </w:r>
          </w:p>
        </w:tc>
        <w:tc>
          <w:tcPr>
            <w:tcW w:w="234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Source Issue</w:t>
            </w:r>
          </w:p>
        </w:tc>
        <w:tc>
          <w:tcPr>
            <w:tcW w:w="234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Planned Action</w:t>
            </w:r>
          </w:p>
        </w:tc>
        <w:tc>
          <w:tcPr>
            <w:tcW w:w="234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 xml:space="preserve">Owner</w:t>
            </w:r>
          </w:p>
        </w:tc>
      </w:tr>
      <w:tr>
        <w:trPr/>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Certification as a commercial differentiator in enterprise sales</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4.2: enterprise customers require assurance</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Maintain the ISMS toward certification readiness and use the evidence set in sales conversations</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Chief Executive Officer</w:t>
            </w:r>
          </w:p>
        </w:tc>
      </w:tr>
      <w:tr>
        <w:trPr/>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Cloud-native estate allows controls to be automated rather than manual</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4.1 internal: AWS and CI/CD based delivery</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Prefer automated, pipeline-enforced controls over procedural ones where a choice exists</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IT Infrastructure Engineer</w:t>
            </w:r>
          </w:p>
        </w:tc>
      </w:tr>
      <w:tr>
        <w:trPr/>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 xml:space="preserve">Small organisation size makes culture change fast to achieve</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4.1 internal: headcount under 10</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Run awareness as a short, frequent cycle rather than an annual event</w:t>
            </w:r>
          </w:p>
        </w:tc>
        <w:tc>
          <w:tcPr>
            <w:tcW w:w="234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Information Security Manager</w:t>
            </w:r>
          </w:p>
        </w:tc>
      </w:tr>
    </w:tbl>
    <w:p>
      <w:pPr>
        <w:pStyle w:val="Heading1"/>
        <w:spacing w:before="0" w:after="160"/>
        <w:rPr/>
      </w:pPr>
      <w:bookmarkStart w:id="7" w:name="__RefHeading___Toc369_605544599_7"/>
      <w:bookmarkEnd w:id="7"/>
      <w:r>
        <w:rPr>
          <w:rFonts w:eastAsia="Liberation Sans" w:cs="Liberation Sans" w:ascii="Liberation Sans" w:hAnsi="Liberation Sans"/>
          <w:b/>
          <w:bCs/>
          <w:color w:val="2E75B6"/>
          <w:sz w:val="30"/>
          <w:szCs w:val="30"/>
        </w:rPr>
        <w:t xml:space="preserve">Integration and Evaluation</w:t>
      </w:r>
    </w:p>
    <w:p>
      <w:pPr>
        <w:pStyle w:val="Normal"/>
        <w:spacing w:lineRule="exact" w:line="300" w:before="0" w:after="200"/>
        <w:rPr/>
      </w:pPr>
      <w:r>
        <w:rPr>
          <w:rFonts w:eastAsia="Times New Roman" w:cs="Times New Roman"/>
          <w:b w:val="false"/>
          <w:bCs w:val="false"/>
          <w:color w:val="1F1F1F"/>
          <w:sz w:val="22"/>
          <w:szCs w:val="22"/>
        </w:rPr>
        <w:t xml:space="preserve">Planned actions are assigned to a named owner and reviewed at management review under clause 9.3. Effectiveness is evaluated against whether the risk has reduced or the opportunity has been realised. Unresolved items carry forward with a revised action.</w:t>
      </w:r>
    </w:p>
    <w:p>
      <w:pPr>
        <w:pStyle w:val="Heading1"/>
        <w:spacing w:before="0" w:after="160"/>
        <w:rPr/>
      </w:pPr>
      <w:bookmarkStart w:id="8" w:name="__RefHeading___Toc369_605544599_8"/>
      <w:bookmarkEnd w:id="8"/>
      <w:r>
        <w:rPr>
          <w:rFonts w:eastAsia="Liberation Sans" w:cs="Liberation Sans" w:ascii="Liberation Sans" w:hAnsi="Liberation Sans"/>
          <w:b/>
          <w:bCs/>
          <w:color w:val="2E75B6"/>
          <w:sz w:val="30"/>
          <w:szCs w:val="30"/>
        </w:rPr>
        <w:t xml:space="preserve">Review and Updates</w:t>
      </w:r>
    </w:p>
    <w:p>
      <w:pPr>
        <w:pStyle w:val="Normal"/>
        <w:spacing w:lineRule="exact" w:line="300" w:before="0" w:after="200"/>
        <w:rPr/>
      </w:pPr>
      <w:r>
        <w:rPr>
          <w:rFonts w:eastAsia="Times New Roman" w:cs="Times New Roman"/>
          <w:b w:val="false"/>
          <w:bCs w:val="false"/>
          <w:color w:val="1F1F1F"/>
          <w:sz w:val="22"/>
          <w:szCs w:val="22"/>
        </w:rPr>
        <w:t xml:space="preserve">This document is reviewed:</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Annually</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At each management review</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On a material change to the internal or external issues recorded under clause 4.1</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Liberation Sans">
    <w:altName w:val="Arial"/>
    <w:charset w:val="01"/>
    <w:family w:val="roman"/>
    <w:pitch w:val="variable"/>
  </w:font>
  <w:font w:name="Georgia">
    <w:charset w:val="01"/>
    <w:family w:val="roman"/>
    <w:pitch w:val="variable"/>
  </w:font>
  <w:font w:name="Wingdings">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6"/>
        <w:szCs w:val="16"/>
      </w:rPr>
      <w:t>Abionic Inc. - ISMS Risks and Opportunities Register - Confidential</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6"/>
        <w:szCs w:val="16"/>
      </w:rPr>
      <w:t>Abionic Inc. - ISMS Risks and Opportunities Register - Confidential</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FreeSans"/>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Heading1">
    <w:name w:val="Heading 1"/>
    <w:basedOn w:val="Heading"/>
    <w:qFormat/>
    <w:pPr>
      <w:outlineLvl w:val="0"/>
    </w:pPr>
    <w:rPr>
      <w:color w:val="2E74B5"/>
      <w:sz w:val="32"/>
      <w:szCs w:val="32"/>
    </w:rPr>
  </w:style>
  <w:style w:type="paragraph" w:styleId="Heading2">
    <w:name w:val="Heading 2"/>
    <w:basedOn w:val="Heading"/>
    <w:qFormat/>
    <w:pPr>
      <w:outlineLvl w:val="1"/>
    </w:pPr>
    <w:rPr>
      <w:color w:val="2E74B5"/>
      <w:sz w:val="26"/>
      <w:szCs w:val="26"/>
    </w:rPr>
  </w:style>
  <w:style w:type="paragraph" w:styleId="Heading3">
    <w:name w:val="Heading 3"/>
    <w:basedOn w:val="Heading"/>
    <w:qFormat/>
    <w:pPr>
      <w:outlineLvl w:val="2"/>
    </w:pPr>
    <w:rPr>
      <w:color w:val="1F4D78"/>
      <w:sz w:val="24"/>
      <w:szCs w:val="24"/>
    </w:rPr>
  </w:style>
  <w:style w:type="paragraph" w:styleId="Heading4">
    <w:name w:val="Heading 4"/>
    <w:basedOn w:val="Heading"/>
    <w:qFormat/>
    <w:pPr>
      <w:outlineLvl w:val="3"/>
    </w:pPr>
    <w:rPr>
      <w:i/>
      <w:iCs/>
      <w:color w:val="2E74B5"/>
    </w:rPr>
  </w:style>
  <w:style w:type="paragraph" w:styleId="Heading5">
    <w:name w:val="Heading 5"/>
    <w:basedOn w:val="Heading"/>
    <w:qFormat/>
    <w:pPr>
      <w:outlineLvl w:val="4"/>
    </w:pPr>
    <w:rPr>
      <w:color w:val="2E74B5"/>
    </w:rPr>
  </w:style>
  <w:style w:type="paragraph" w:styleId="Heading6">
    <w:name w:val="Heading 6"/>
    <w:basedOn w:val="Heading"/>
    <w:qFormat/>
    <w:pPr>
      <w:outlineLvl w:val="5"/>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FreeSans"/>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2026-08-30T15:44:23Z</dcterms:created>
  <dc:creator>Abionic Inc.</dc:creator>
  <dc:description/>
  <dc:language>en-US</dc:language>
  <cp:lastModifiedBy>Abionic Inc.</cp:lastModifiedBy>
  <dcterms:modified xsi:type="dcterms:W3CDTF">2026-08-30T15:46:32Z</dcterms:modified>
  <cp:revision>2</cp:revision>
  <dc:subject/>
  <dc:title/>
</cp:coreProperties>
</file>