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56"/>
          <w:szCs w:val="56"/>
          <w:rtl w:val="0"/>
        </w:rPr>
        <w:t xml:space="preserve">Risk Treatment Process and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0"/>
        </w:rPr>
        <w:t xml:space="preserve">Abionic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August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1453360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9pdnlwp23to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pek5b89aj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ity4y7nz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dwk9rommj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Treatment Objectives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a0yyjgie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Treatment Options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lalpysrg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Selection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o42519v3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Treatment Plan (RTP)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kqwm2qa49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Residual Risk and Acceptance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ddgkeoi4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Monitoring and Review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hzz6voxao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and Responsibilities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98oyoab5p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Related Documents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60" w:before="0" w:lineRule="auto"/>
        <w:rPr/>
      </w:pPr>
      <w:bookmarkStart w:colFirst="0" w:colLast="0" w:name="_9pdnlwp23toq" w:id="0"/>
      <w:bookmarkEnd w:id="0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Change Log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100.0" w:type="dxa"/>
        <w:tblLayout w:type="fixed"/>
        <w:tblLook w:val="0000"/>
      </w:tblPr>
      <w:tblGrid>
        <w:gridCol w:w="915"/>
        <w:gridCol w:w="930"/>
        <w:gridCol w:w="1125"/>
        <w:gridCol w:w="2340"/>
        <w:gridCol w:w="1080"/>
        <w:gridCol w:w="990"/>
        <w:gridCol w:w="1155"/>
        <w:gridCol w:w="945"/>
        <w:tblGridChange w:id="0">
          <w:tblGrid>
            <w:gridCol w:w="915"/>
            <w:gridCol w:w="930"/>
            <w:gridCol w:w="1125"/>
            <w:gridCol w:w="2340"/>
            <w:gridCol w:w="1080"/>
            <w:gridCol w:w="990"/>
            <w:gridCol w:w="1155"/>
            <w:gridCol w:w="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Next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August 23,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1.0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GRC Analyst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Initial version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Information Security Manager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August 23,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Annually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>
            <w:r>
              <w:t>August 23, 2027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60" w:before="0" w:lineRule="auto"/>
        <w:rPr/>
      </w:pPr>
      <w:bookmarkStart w:colFirst="0" w:colLast="0" w:name="_iipek5b89aj9" w:id="1"/>
      <w:bookmarkEnd w:id="1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This document defines the process by which Abionic Inc. selects and implements appropriate information security controls to treat identified risks. It also provides a framework for developing, approving, and monitoring Risk Treatment Plans (RTPs) in accordance with ISO/IEC 27001:2022 Clause 6.1.3.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60" w:before="200" w:lineRule="auto"/>
        <w:rPr/>
      </w:pPr>
      <w:bookmarkStart w:colFirst="0" w:colLast="0" w:name="_b4ity4y7nzbg" w:id="2"/>
      <w:bookmarkEnd w:id="2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This process applies to all risks identified as unacceptable during the risk assessment phase and covers all information assets, operations, and systems within the ISMS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60" w:before="200" w:lineRule="auto"/>
        <w:rPr/>
      </w:pPr>
      <w:bookmarkStart w:colFirst="0" w:colLast="0" w:name="_t9dwk9rommjl" w:id="3"/>
      <w:bookmarkEnd w:id="3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Risk Treatment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Reduce information security risks to acceptable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Ensure selected controls are proportionate and effective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Document and track all treatment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Integrate treatment into business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200" w:lineRule="auto"/>
        <w:rPr/>
      </w:pPr>
      <w:bookmarkStart w:colFirst="0" w:colLast="0" w:name="_8wa0yyjgietb" w:id="4"/>
      <w:bookmarkEnd w:id="4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Risk Treatment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For each unacceptable risk, one or more of the following options will be applied: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0.0" w:type="dxa"/>
        <w:tblLayout w:type="fixed"/>
        <w:tblLook w:val="0000"/>
      </w:tblPr>
      <w:tblGrid>
        <w:gridCol w:w="1599"/>
        <w:gridCol w:w="7760"/>
        <w:tblGridChange w:id="0">
          <w:tblGrid>
            <w:gridCol w:w="1599"/>
            <w:gridCol w:w="7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Mitigate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Apply controls to reduce the likelihood and/or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Discontinue the activity that causes the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Shift the risk to a third party (e.g. via insurance, contracts)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Acknowledge the risk when within the organisation's risk tolerance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60" w:before="0" w:lineRule="auto"/>
        <w:rPr/>
      </w:pPr>
      <w:bookmarkStart w:colFirst="0" w:colLast="0" w:name="_l7lalpysrg98" w:id="5"/>
      <w:bookmarkEnd w:id="5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Control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Controls are selected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Risk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Nature of the asset and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Business context and resource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ISO/IEC 27001:2022 Annex A control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Controls may also include custom or industry-specific measures. All selected controls are documented and justified in the Statement of Applicability (SoA).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200" w:lineRule="auto"/>
        <w:rPr/>
      </w:pPr>
      <w:bookmarkStart w:colFirst="0" w:colLast="0" w:name="_hso42519v3zf" w:id="6"/>
      <w:bookmarkEnd w:id="6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Risk Treatment Plan (RTP)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Each Risk Treatment Plan includes:</w:t>
      </w:r>
      <w:r w:rsidDel="00000000" w:rsidR="00000000" w:rsidRPr="00000000">
        <w:rPr>
          <w:rtl w:val="0"/>
        </w:rPr>
      </w:r>
    </w:p>
    <w:tbl>
      <w:tblPr>
        <w:tblStyle w:val="Table3"/>
        <w:tblW w:w="9359.0" w:type="dxa"/>
        <w:jc w:val="left"/>
        <w:tblInd w:w="-100.0" w:type="dxa"/>
        <w:tblLayout w:type="fixed"/>
        <w:tblLook w:val="0000"/>
      </w:tblPr>
      <w:tblGrid>
        <w:gridCol w:w="2600"/>
        <w:gridCol w:w="6759"/>
        <w:tblGridChange w:id="0">
          <w:tblGrid>
            <w:gridCol w:w="2600"/>
            <w:gridCol w:w="67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Unique reference to the assessed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Associated information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Nature of the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Risk score before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Treatment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Selected treatment strategy (mitigate, avoid, transfer, accept)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Selected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Specific Annex A (or custom) controls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Residual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Risk level after controls are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Assigned risk owner or implementer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Target Completion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Planned date for control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Open / In Progress /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60" w:before="0" w:lineRule="auto"/>
        <w:rPr/>
      </w:pPr>
      <w:bookmarkStart w:colFirst="0" w:colLast="0" w:name="_5ckqwm2qa49e" w:id="7"/>
      <w:bookmarkEnd w:id="7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Residual Risk and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Once treatment is complete, residual risk is re-evaluated: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If residual risk is acceptable, no further action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If residual risk exceeds the threshold, it must be formally accepted by top management (e.g. CEO), and this acceptance must be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60" w:before="200" w:lineRule="auto"/>
        <w:rPr/>
      </w:pPr>
      <w:bookmarkStart w:colFirst="0" w:colLast="0" w:name="_vxddgkeoi4j" w:id="8"/>
      <w:bookmarkEnd w:id="8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Monitoring and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Risk treatment plans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Reviewed monthly by the Information Security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Tracked using a risk treatment log 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Validated during internal audits and management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0" w:line="300" w:lineRule="auto"/>
        <w:rPr/>
      </w:pPr>
      <w:r w:rsidDel="00000000" w:rsidR="00000000" w:rsidRPr="00000000">
        <w:rPr>
          <w:b w:val="0"/>
          <w:bCs w:val="0"/>
          <w:color w:val="1f1f1f"/>
          <w:sz w:val="22"/>
          <w:szCs w:val="22"/>
          <w:rtl w:val="0"/>
        </w:rPr>
        <w:t xml:space="preserve">Control effectiveness is tested through technical evaluations, user feedback, and incident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160" w:before="200" w:lineRule="auto"/>
        <w:rPr/>
      </w:pPr>
      <w:bookmarkStart w:colFirst="0" w:colLast="0" w:name="_tlhzz6voxaov" w:id="9"/>
      <w:bookmarkEnd w:id="9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0.0" w:type="dxa"/>
        <w:tblLayout w:type="fixed"/>
        <w:tblLook w:val="0000"/>
      </w:tblPr>
      <w:tblGrid>
        <w:gridCol w:w="3200"/>
        <w:gridCol w:w="6159"/>
        <w:tblGridChange w:id="0">
          <w:tblGrid>
            <w:gridCol w:w="3200"/>
            <w:gridCol w:w="61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Information Security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Oversees treatment planning, validates control effectiveness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Cyber Security GRC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Maintains RTPs, coordinates updates and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Risk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Ensure implementation of assigned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Top Management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Approves residual risk acceptance where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spacing w:after="160" w:before="0" w:lineRule="auto"/>
        <w:rPr>
          <w:b w:val="1"/>
          <w:bCs w:val="1"/>
          <w:color w:val="2e75b6"/>
          <w:sz w:val="30"/>
          <w:szCs w:val="30"/>
        </w:rPr>
      </w:pPr>
      <w:bookmarkStart w:colFirst="0" w:colLast="0" w:name="_94b4tszgjey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0" w:lineRule="auto"/>
        <w:rPr/>
      </w:pPr>
      <w:bookmarkStart w:colFirst="0" w:colLast="0" w:name="_bw98oyoab5pk" w:id="11"/>
      <w:bookmarkEnd w:id="11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e75b6"/>
          <w:sz w:val="30"/>
          <w:szCs w:val="30"/>
          <w:rtl w:val="0"/>
        </w:rPr>
        <w:t xml:space="preserve">Related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Asset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Risk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Statement of Applicability (SoA)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Residual Risk Acceptance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Internal Audit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Control Implementation Logs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5840" w:w="12240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Abionic Inc. - Risk Treatment Process and Plan - Confidential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Abionic Inc. - Risk Treatment Process and Plan - Confidential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