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ISMS Awareness Programme</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What Everyone Must Be Aware Of</w:t>
              <w:tab/>
              <w:t xml:space="preserve">4</w:t>
            </w:r>
          </w:hyperlink>
        </w:p>
        <w:p>
          <w:pPr>
            <w:pStyle w:val="TOC1"/>
            <w:tabs>
              <w:tab w:val="clear" w:pos="9360"/>
              <w:tab w:val="right" w:pos="9359" w:leader="dot"/>
            </w:tabs>
            <w:rPr/>
          </w:pPr>
          <w:hyperlink w:anchor="__RefHeading___Toc369_605544599">
            <w:r>
              <w:rPr>
                <w:rStyle w:val="IndexLink"/>
              </w:rPr>
              <w:t xml:space="preserve">Programme</w:t>
              <w:tab/>
              <w:t xml:space="preserve">4</w:t>
            </w:r>
          </w:hyperlink>
        </w:p>
        <w:p>
          <w:pPr>
            <w:pStyle w:val="TOC1"/>
            <w:tabs>
              <w:tab w:val="clear" w:pos="9360"/>
              <w:tab w:val="right" w:pos="9359" w:leader="dot"/>
            </w:tabs>
            <w:rPr/>
          </w:pPr>
          <w:hyperlink w:anchor="__RefHeading___Toc369_605544599">
            <w:r>
              <w:rPr>
                <w:rStyle w:val="IndexLink"/>
              </w:rPr>
              <w:t xml:space="preserve">Reaching a Small Team</w:t>
              <w:tab/>
              <w:t xml:space="preserve">5</w:t>
            </w:r>
          </w:hyperlink>
        </w:p>
        <w:p>
          <w:pPr>
            <w:pStyle w:val="TOC1"/>
            <w:tabs>
              <w:tab w:val="clear" w:pos="9360"/>
              <w:tab w:val="right" w:pos="9359" w:leader="dot"/>
            </w:tabs>
            <w:rPr/>
          </w:pPr>
          <w:hyperlink w:anchor="__RefHeading___Toc369_605544599">
            <w:r>
              <w:rPr>
                <w:rStyle w:val="IndexLink"/>
              </w:rPr>
              <w:t xml:space="preserve">Measuring Effectiveness</w:t>
              <w:tab/>
              <w:t xml:space="preserve">5</w:t>
            </w:r>
          </w:hyperlink>
        </w:p>
        <w:p>
          <w:pPr>
            <w:pStyle w:val="TOC1"/>
            <w:tabs>
              <w:tab w:val="clear" w:pos="9360"/>
              <w:tab w:val="right" w:pos="9359" w:leader="dot"/>
            </w:tabs>
            <w:rPr/>
          </w:pPr>
          <w:hyperlink w:anchor="__RefHeading___Toc369_605544599">
            <w:r>
              <w:rPr>
                <w:rStyle w:val="IndexLink"/>
              </w:rPr>
              <w:t xml:space="preserve">Non-Conformance</w:t>
              <w:tab/>
              <w:t xml:space="preserve">6</w:t>
            </w:r>
          </w:hyperlink>
        </w:p>
        <w:p>
          <w:pPr>
            <w:pStyle w:val="TOC1"/>
            <w:tabs>
              <w:tab w:val="clear" w:pos="9360"/>
              <w:tab w:val="right" w:pos="9359" w:leader="dot"/>
            </w:tabs>
            <w:rPr/>
          </w:pPr>
          <w:hyperlink w:anchor="__RefHeading___Toc369_605544599">
            <w:r>
              <w:rPr>
                <w:rStyle w:val="IndexLink"/>
              </w:rPr>
              <w:t xml:space="preserve">Roles and Responsibilities</w:t>
              <w:tab/>
              <w:t xml:space="preserve">6</w:t>
            </w:r>
          </w:hyperlink>
        </w:p>
        <w:p>
          <w:pPr>
            <w:pStyle w:val="TOC1"/>
            <w:tabs>
              <w:tab w:val="clear" w:pos="9360"/>
              <w:tab w:val="right" w:pos="9359" w:leader="dot"/>
            </w:tabs>
            <w:rPr/>
          </w:pPr>
          <w:hyperlink w:anchor="__RefHeading___Toc369_605544599">
            <w:r>
              <w:rPr>
                <w:rStyle w:val="IndexLink"/>
              </w:rPr>
              <w:t xml:space="preserve">Review and Updates</w:t>
              <w:tab/>
              <w:t xml:space="preserve">6</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programme ensures that persons doing work under Abionic Inc.'s control are aware of the information security policy, their contribution to the effectiveness of the ISMS, and the implications of not conforming to it. It satisfies ISO/IEC 27001:2022 clause 7.3 and operationalises the Training and Awareness Policy held under Annex A.</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Applies to all employees and contractors, from onboarding onward, including anyone with access to the production environment, the source code repository or customer data.</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What Everyone Must Be Aware Of</w:t>
      </w:r>
    </w:p>
    <w:p>
      <w:pPr>
        <w:pStyle w:val="Normal"/>
        <w:spacing w:lineRule="exact" w:line="300" w:before="0" w:after="200"/>
        <w:rPr/>
      </w:pPr>
      <w:r>
        <w:rPr>
          <w:rFonts w:eastAsia="Times New Roman" w:cs="Times New Roman"/>
          <w:b w:val="false"/>
          <w:bCs w:val="false"/>
          <w:color w:val="1F1F1F"/>
          <w:sz w:val="22"/>
          <w:szCs w:val="22"/>
        </w:rPr>
        <w:t xml:space="preserve">Clause 7.3 sets three specific awareness outcomes. Every activity below maps to one of them:</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 information security policy: that it exists, where to find it, and what it commits the organisation to</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Their own contribution to ISMS effectiveness, including the benefits of improved security performance in their day-to-day work</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 implications of not conforming, including the consequences for customers, for the organisation, and under the disciplinary process</w:t>
      </w:r>
    </w:p>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Programme</w:t>
      </w:r>
    </w:p>
    <w:tbl>
      <w:tblPr>
        <w:tblW w:w="9360" w:type="dxa"/>
        <w:jc w:val="left"/>
        <w:tblInd w:w="0" w:type="dxa"/>
        <w:tblLayout w:type="fixed"/>
        <w:tblCellMar>
          <w:top w:w="80" w:type="dxa"/>
          <w:left w:w="100" w:type="dxa"/>
          <w:bottom w:w="80" w:type="dxa"/>
          <w:right w:w="100" w:type="dxa"/>
        </w:tblCellMar>
      </w:tblPr>
      <w:tblGrid>
        <w:gridCol w:w="1799"/>
        <w:gridCol w:w="2201"/>
        <w:gridCol w:w="1399"/>
        <w:gridCol w:w="1700"/>
        <w:gridCol w:w="2261"/>
      </w:tblGrid>
      <w:tr>
        <w:trPr>
          <w:tblHeader w:val="true"/>
        </w:trPr>
        <w:tc>
          <w:tcPr>
            <w:tcW w:w="17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Activity</w:t>
            </w:r>
          </w:p>
        </w:tc>
        <w:tc>
          <w:tcPr>
            <w:tcW w:w="22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Audience</w:t>
            </w:r>
          </w:p>
        </w:tc>
        <w:tc>
          <w:tcPr>
            <w:tcW w:w="13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Frequency</w:t>
            </w:r>
          </w:p>
        </w:tc>
        <w:tc>
          <w:tcPr>
            <w:tcW w:w="17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Owner</w:t>
            </w:r>
          </w:p>
        </w:tc>
        <w:tc>
          <w:tcPr>
            <w:tcW w:w="226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Record</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Onboarding security briefing and policy acknowledgement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New employees and contractors</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Within the first week</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Signed acknowledgement</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Annual refresher covering policy, phishing, data handling and incident reporting</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All personnel</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Attendance and completion record</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Simulated phishing exercise</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All personnel</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Twice per year</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Security Analyst</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Results summary and follow-up for repeat clicks</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Secure development briefing (OWASP Top 10, secrets handling)</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Developers</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 and on a material change to the pipeline</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Developer</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Attendance record</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Short security note circulated after any incident or near miss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All personnel</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Event driven</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Copy retained with the incident record</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Policy change notification and re-acknowledgement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All personnel</w:t>
            </w:r>
          </w:p>
        </w:tc>
        <w:tc>
          <w:tcPr>
            <w:tcW w:w="1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On each material policy revision</w:t>
            </w:r>
          </w:p>
        </w:tc>
        <w:tc>
          <w:tcPr>
            <w:tcW w:w="17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22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Acknowledgement record</w:t>
            </w:r>
          </w:p>
        </w:tc>
      </w:tr>
    </w:tbl>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Reaching a Small Team</w:t>
      </w:r>
    </w:p>
    <w:p>
      <w:pPr>
        <w:pStyle w:val="Normal"/>
        <w:spacing w:lineRule="exact" w:line="300" w:before="0" w:after="200"/>
        <w:rPr/>
      </w:pPr>
      <w:r>
        <w:rPr>
          <w:rFonts w:eastAsia="Times New Roman" w:cs="Times New Roman"/>
          <w:b w:val="false"/>
          <w:bCs w:val="false"/>
          <w:color w:val="1F1F1F"/>
          <w:sz w:val="22"/>
          <w:szCs w:val="22"/>
        </w:rPr>
        <w:t xml:space="preserve">Abionic Inc. has fewer than ten people. Awareness is delivered as short, frequent, conversational activity rather than a long annual course, because that is what a team this size will actually absorb. Delivery in a team meeting is acceptable provided the record is kept.</w:t>
      </w:r>
    </w:p>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Measuring Effectiveness</w:t>
      </w:r>
    </w:p>
    <w:p>
      <w:pPr>
        <w:pStyle w:val="Normal"/>
        <w:spacing w:lineRule="exact" w:line="300" w:before="0" w:after="200"/>
        <w:rPr/>
      </w:pPr>
      <w:r>
        <w:rPr>
          <w:rFonts w:eastAsia="Times New Roman" w:cs="Times New Roman"/>
          <w:b w:val="false"/>
          <w:bCs w:val="false"/>
          <w:color w:val="1F1F1F"/>
          <w:sz w:val="22"/>
          <w:szCs w:val="22"/>
        </w:rPr>
        <w:t xml:space="preserve">Awareness is measured, not assumed. The following feed the monitoring and measurement procedure under clause 9.1:</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Completion rate for onboarding acknowledgements and the annual refresher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Phishing simulation click rate and reporting rate, tracked over time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Number of security events reported by personnel rather than detected by tooling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Repeat findings in audit or incident review that point to an awareness gap</w:t>
      </w:r>
    </w:p>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Non-Conformance</w:t>
      </w:r>
    </w:p>
    <w:p>
      <w:pPr>
        <w:pStyle w:val="Normal"/>
        <w:spacing w:lineRule="exact" w:line="300" w:before="0" w:after="200"/>
        <w:rPr/>
      </w:pPr>
      <w:r>
        <w:rPr>
          <w:rFonts w:eastAsia="Times New Roman" w:cs="Times New Roman"/>
          <w:b w:val="false"/>
          <w:bCs w:val="false"/>
          <w:color w:val="1F1F1F"/>
          <w:sz w:val="22"/>
          <w:szCs w:val="22"/>
        </w:rPr>
        <w:t xml:space="preserve">Failure to complete required awareness activity is raised with the individual and their manager, and persistent failure is handled under the disciplinary process referenced in the Training and Awareness Policy.</w:t>
      </w:r>
    </w:p>
    <w:p>
      <w:pPr>
        <w:pStyle w:val="Heading1"/>
        <w:spacing w:before="0" w:after="160"/>
        <w:rPr/>
      </w:pPr>
      <w:bookmarkStart w:id="9" w:name="__RefHeading___Toc369_605544599_9"/>
      <w:bookmarkEnd w:id="9"/>
      <w:r>
        <w:rPr>
          <w:rFonts w:eastAsia="Liberation Sans" w:cs="Liberation Sans" w:ascii="Liberation Sans" w:hAnsi="Liberation Sans"/>
          <w:b/>
          <w:bCs/>
          <w:color w:val="2E75B6"/>
          <w:sz w:val="30"/>
          <w:szCs w:val="30"/>
        </w:rPr>
        <w:t xml:space="preserve">Roles and Responsibilities</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Role</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Responsibilities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Manager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Owns this programme, delivers briefings, maintains records, reports completion at management review.</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Security Analyst</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Runs phishing simulations and reports results.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All personnel</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Complete required activity, acknowledge policies, report suspected security events.</w:t>
            </w:r>
          </w:p>
        </w:tc>
      </w:tr>
    </w:tbl>
    <w:p>
      <w:pPr>
        <w:pStyle w:val="Heading1"/>
        <w:spacing w:before="0" w:after="160"/>
        <w:rPr/>
      </w:pPr>
      <w:bookmarkStart w:id="10" w:name="__RefHeading___Toc369_605544599_10"/>
      <w:bookmarkEnd w:id="10"/>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After an incident where awareness was a contributing factor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On a material change to the information security policy</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Awareness Programme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Awareness Programme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