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" w:after="100"/>
        <w:jc w:val="center"/>
        <w:rPr/>
      </w:pPr>
      <w:r>
        <w:rPr>
          <w:rFonts w:eastAsia="Liberation Sans" w:cs="Liberation Sans" w:ascii="Liberation Sans" w:hAnsi="Liberation Sans"/>
          <w:color w:val="000000"/>
          <w:sz w:val="56"/>
          <w:szCs w:val="56"/>
        </w:rPr>
        <w:t>ISMS Communication Plan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spacing w:before="360" w:after="80"/>
        <w:jc w:val="center"/>
        <w:rPr/>
      </w:pPr>
      <w:r>
        <w:rPr>
          <w:rFonts w:eastAsia="Georgia" w:cs="Georgia" w:ascii="Georgia" w:hAnsi="Georgia"/>
          <w:i/>
          <w:iCs/>
          <w:color w:val="666666"/>
          <w:sz w:val="48"/>
          <w:szCs w:val="48"/>
        </w:rPr>
        <w:t>Abionic Inc.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rFonts w:eastAsia="Times New Roman" w:cs="Times New Roman"/>
          <w:sz w:val="22"/>
          <w:szCs w:val="22"/>
        </w:rPr>
        <w:t>Version 1.0</w:t>
      </w:r>
    </w:p>
    <w:p>
      <w:pPr>
        <w:pStyle w:val="Normal"/>
        <w:jc w:val="center"/>
        <w:rPr/>
      </w:pPr>
      <w:r>
        <w:rPr>
          <w:rFonts w:eastAsia="Times New Roman" w:cs="Times New Roman"/>
          <w:sz w:val="22"/>
          <w:szCs w:val="22"/>
        </w:rPr>
        <w:t>August 31,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Table of 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"1-2" \h</w:instrText>
          </w:r>
          <w:r>
            <w:rPr>
              <w:rStyle w:val="IndexLink"/>
            </w:rPr>
            <w:fldChar w:fldCharType="separate"/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69_605544599">
            <w:r>
              <w:rPr>
                <w:rStyle w:val="IndexLink"/>
              </w:rPr>
              <w:t xml:space="preserve">Change Log</w:t>
              <w:tab/>
              <w:t xml:space="preserve"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69_605544599">
            <w:r>
              <w:rPr>
                <w:rStyle w:val="IndexLink"/>
              </w:rPr>
              <w:t xml:space="preserve">Purpose</w:t>
              <w:tab/>
              <w:t xml:space="preserve"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69_605544599">
            <w:r>
              <w:rPr>
                <w:rStyle w:val="IndexLink"/>
              </w:rPr>
              <w:t xml:space="preserve">Scope</w:t>
              <w:tab/>
              <w:t xml:space="preserve"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69_605544599">
            <w:r>
              <w:rPr>
                <w:rStyle w:val="IndexLink"/>
              </w:rPr>
              <w:t xml:space="preserve">Principles</w:t>
              <w:tab/>
              <w:t xml:space="preserve"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69_605544599">
            <w:r>
              <w:rPr>
                <w:rStyle w:val="IndexLink"/>
              </w:rPr>
              <w:t xml:space="preserve">Internal Communication</w:t>
              <w:tab/>
              <w:t xml:space="preserve"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69_605544599">
            <w:r>
              <w:rPr>
                <w:rStyle w:val="IndexLink"/>
              </w:rPr>
              <w:t xml:space="preserve">External Communication</w:t>
              <w:tab/>
              <w:t xml:space="preserve"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69_605544599">
            <w:r>
              <w:rPr>
                <w:rStyle w:val="IndexLink"/>
              </w:rPr>
              <w:t xml:space="preserve">Communication During a Security Incident</w:t>
              <w:tab/>
              <w:t xml:space="preserve"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69_605544599">
            <w:r>
              <w:rPr>
                <w:rStyle w:val="IndexLink"/>
              </w:rPr>
              <w:t xml:space="preserve">Records</w:t>
              <w:tab/>
              <w:t xml:space="preserve"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69_605544599">
            <w:r>
              <w:rPr>
                <w:rStyle w:val="IndexLink"/>
              </w:rPr>
              <w:t xml:space="preserve">Roles and Responsibilities</w:t>
              <w:tab/>
              <w:t xml:space="preserve"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69_605544599">
            <w:r>
              <w:rPr>
                <w:rStyle w:val="IndexLink"/>
              </w:rPr>
              <w:t xml:space="preserve">Review and Updates</w:t>
              <w:tab/>
              <w:t xml:space="preserve">6</w:t>
            </w:r>
          </w:hyperlink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1" w:name="__RefHeading___Toc369_605544599"/>
      <w:bookmarkEnd w:id="1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 xml:space="preserve">Change Log</w:t>
      </w:r>
    </w:p>
    <w:tbl>
      <w:tblPr>
        <w:tblW w:w="944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180"/>
        <w:gridCol w:w="1180"/>
        <w:gridCol w:w="1180"/>
        <w:gridCol w:w="1180"/>
        <w:gridCol w:w="1180"/>
        <w:gridCol w:w="1180"/>
        <w:gridCol w:w="1180"/>
        <w:gridCol w:w="1178"/>
      </w:tblGrid>
      <w:tr>
        <w:trPr>
          <w:tblHeader w:val="true"/>
        </w:trPr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 xml:space="preserve">Date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 xml:space="preserve">Version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 xml:space="preserve">Author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 xml:space="preserve">Description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 xml:space="preserve">Approved By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 xml:space="preserve">Last Updated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 xml:space="preserve">Review Frequency</w:t>
            </w:r>
          </w:p>
        </w:tc>
        <w:tc>
          <w:tcPr>
            <w:tcW w:w="11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 xml:space="preserve">Next Review</w:t>
            </w:r>
          </w:p>
        </w:tc>
      </w:tr>
      <w:tr>
        <w:trPr/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August 31, 2026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1.0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GRC Analyst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Initial version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Information Security Manager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August 31, 2026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Annually</w:t>
            </w:r>
          </w:p>
        </w:tc>
        <w:tc>
          <w:tcPr>
            <w:tcW w:w="11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August 31, 2027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2" w:name="__RefHeading___Toc369_605544599_2"/>
      <w:bookmarkEnd w:id="2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 xml:space="preserve">Purpose</w:t>
      </w:r>
    </w:p>
    <w:p>
      <w:pPr>
        <w:pStyle w:val="Normal"/>
        <w:spacing w:lineRule="exact" w:line="300" w:before="0" w:after="20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 xml:space="preserve">This plan determines the internal and external communications relevant to Abionic Inc.'s information security management system: what is communicated, when, with whom, by whom, and by what method. It satisfies ISO/IEC 27001:2022 clause 7.4.</w:t>
      </w:r>
    </w:p>
    <w:p>
      <w:pPr>
        <w:pStyle w:val="Heading1"/>
        <w:spacing w:before="0" w:after="160"/>
        <w:rPr/>
      </w:pPr>
      <w:bookmarkStart w:id="3" w:name="__RefHeading___Toc369_605544599_3"/>
      <w:bookmarkEnd w:id="3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 xml:space="preserve">Scope</w:t>
      </w:r>
    </w:p>
    <w:p>
      <w:pPr>
        <w:pStyle w:val="Normal"/>
        <w:spacing w:lineRule="exact" w:line="300" w:before="0" w:after="20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 xml:space="preserve">Applies to all communication relating to the ISMS, its policies, its performance and its incidents, covering personnel, contractors, customers, suppliers, regulators and certification bodies within the ISMS scope.</w:t>
      </w:r>
    </w:p>
    <w:p>
      <w:pPr>
        <w:pStyle w:val="Heading1"/>
        <w:spacing w:before="0" w:after="160"/>
        <w:rPr/>
      </w:pPr>
      <w:bookmarkStart w:id="4" w:name="__RefHeading___Toc369_605544599_4"/>
      <w:bookmarkEnd w:id="4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 xml:space="preserve">Principles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 xml:space="preserve">Communication is proportionate to the sensitivity of the information and is classified in line with the Asset Management and Data Classification Policy.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 xml:space="preserve">Every communication in the matrices below has one named accountable role, so that no message is issued without an owner.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 xml:space="preserve">External communication about a security incident is issued only by the roles authorised in this plan.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 xml:space="preserve">Where a communication is also a record, it is retained under the Documented Information Control Procedure.</w:t>
      </w:r>
    </w:p>
    <w:p>
      <w:pPr>
        <w:pStyle w:val="Heading1"/>
        <w:spacing w:before="0" w:after="160"/>
        <w:rPr/>
      </w:pPr>
      <w:bookmarkStart w:id="5" w:name="__RefHeading___Toc369_605544599_5"/>
      <w:bookmarkEnd w:id="5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 xml:space="preserve">Internal Communication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99"/>
        <w:gridCol w:w="2201"/>
        <w:gridCol w:w="1399"/>
        <w:gridCol w:w="1700"/>
        <w:gridCol w:w="2261"/>
      </w:tblGrid>
      <w:tr>
        <w:trPr>
          <w:tblHeader w:val="true"/>
        </w:trPr>
        <w:tc>
          <w:tcPr>
            <w:tcW w:w="1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 xml:space="preserve">What</w:t>
            </w:r>
          </w:p>
        </w:tc>
        <w:tc>
          <w:tcPr>
            <w:tcW w:w="2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 xml:space="preserve">When</w:t>
            </w:r>
          </w:p>
        </w:tc>
        <w:tc>
          <w:tcPr>
            <w:tcW w:w="1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 xml:space="preserve">With Whom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 xml:space="preserve">By Whom</w:t>
            </w:r>
          </w:p>
        </w:tc>
        <w:tc>
          <w:tcPr>
            <w:tcW w:w="22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 xml:space="preserve">Method</w:t>
            </w:r>
          </w:p>
        </w:tc>
      </w:tr>
      <w:tr>
        <w:trPr/>
        <w:tc>
          <w:tcPr>
            <w:tcW w:w="1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 xml:space="preserve">Information security policy and any change to it</w:t>
            </w:r>
          </w:p>
        </w:tc>
        <w:tc>
          <w:tcPr>
            <w:tcW w:w="2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On issue and on each revision</w:t>
            </w:r>
          </w:p>
        </w:tc>
        <w:tc>
          <w:tcPr>
            <w:tcW w:w="1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All personnel and contractors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Information Security Manager</w:t>
            </w:r>
          </w:p>
        </w:tc>
        <w:tc>
          <w:tcPr>
            <w:tcW w:w="22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Repository notice and all-hands briefing</w:t>
            </w:r>
          </w:p>
        </w:tc>
      </w:tr>
      <w:tr>
        <w:trPr/>
        <w:tc>
          <w:tcPr>
            <w:tcW w:w="1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 xml:space="preserve">Security objectives and progress against them</w:t>
            </w:r>
          </w:p>
        </w:tc>
        <w:tc>
          <w:tcPr>
            <w:tcW w:w="2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Quarterly</w:t>
            </w:r>
          </w:p>
        </w:tc>
        <w:tc>
          <w:tcPr>
            <w:tcW w:w="1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CEO and all personnel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Information Security Manager</w:t>
            </w:r>
          </w:p>
        </w:tc>
        <w:tc>
          <w:tcPr>
            <w:tcW w:w="22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Management review output and team briefing</w:t>
            </w:r>
          </w:p>
        </w:tc>
      </w:tr>
      <w:tr>
        <w:trPr/>
        <w:tc>
          <w:tcPr>
            <w:tcW w:w="1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 xml:space="preserve">Security awareness content and role obligations</w:t>
            </w:r>
          </w:p>
        </w:tc>
        <w:tc>
          <w:tcPr>
            <w:tcW w:w="2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On onboarding, then annually</w:t>
            </w:r>
          </w:p>
        </w:tc>
        <w:tc>
          <w:tcPr>
            <w:tcW w:w="1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All personnel and contractors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Information Security Manager</w:t>
            </w:r>
          </w:p>
        </w:tc>
        <w:tc>
          <w:tcPr>
            <w:tcW w:w="22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Awareness session and acknowledgement record</w:t>
            </w:r>
          </w:p>
        </w:tc>
      </w:tr>
      <w:tr>
        <w:trPr/>
        <w:tc>
          <w:tcPr>
            <w:tcW w:w="1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 xml:space="preserve">Risk assessment results and treatment decisions</w:t>
            </w:r>
          </w:p>
        </w:tc>
        <w:tc>
          <w:tcPr>
            <w:tcW w:w="2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On completion of each assessment cycle</w:t>
            </w:r>
          </w:p>
        </w:tc>
        <w:tc>
          <w:tcPr>
            <w:tcW w:w="1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CEO, asset owners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GRC Analyst</w:t>
            </w:r>
          </w:p>
        </w:tc>
        <w:tc>
          <w:tcPr>
            <w:tcW w:w="22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Risk register extract and review meeting</w:t>
            </w:r>
          </w:p>
        </w:tc>
      </w:tr>
      <w:tr>
        <w:trPr/>
        <w:tc>
          <w:tcPr>
            <w:tcW w:w="1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 xml:space="preserve">Monitoring and measurement results</w:t>
            </w:r>
          </w:p>
        </w:tc>
        <w:tc>
          <w:tcPr>
            <w:tcW w:w="2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Monthly</w:t>
            </w:r>
          </w:p>
        </w:tc>
        <w:tc>
          <w:tcPr>
            <w:tcW w:w="1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Information Security Manager, asset owners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GRC Analyst</w:t>
            </w:r>
          </w:p>
        </w:tc>
        <w:tc>
          <w:tcPr>
            <w:tcW w:w="22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Metrics report</w:t>
            </w:r>
          </w:p>
        </w:tc>
      </w:tr>
      <w:tr>
        <w:trPr/>
        <w:tc>
          <w:tcPr>
            <w:tcW w:w="1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 xml:space="preserve">Internal audit findings and corrective actions</w:t>
            </w:r>
          </w:p>
        </w:tc>
        <w:tc>
          <w:tcPr>
            <w:tcW w:w="2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On issue of each audit report</w:t>
            </w:r>
          </w:p>
        </w:tc>
        <w:tc>
          <w:tcPr>
            <w:tcW w:w="1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CEO, Information Security Manager, affected owners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GRC Analyst</w:t>
            </w:r>
          </w:p>
        </w:tc>
        <w:tc>
          <w:tcPr>
            <w:tcW w:w="22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Audit report and nonconformity log</w:t>
            </w:r>
          </w:p>
        </w:tc>
      </w:tr>
      <w:tr>
        <w:trPr/>
        <w:tc>
          <w:tcPr>
            <w:tcW w:w="1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 xml:space="preserve">Security incidents and their status</w:t>
            </w:r>
          </w:p>
        </w:tc>
        <w:tc>
          <w:tcPr>
            <w:tcW w:w="2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On detection, then per incident severity</w:t>
            </w:r>
          </w:p>
        </w:tc>
        <w:tc>
          <w:tcPr>
            <w:tcW w:w="1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Incident response participants, CEO for major incidents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Security Analyst</w:t>
            </w:r>
          </w:p>
        </w:tc>
        <w:tc>
          <w:tcPr>
            <w:tcW w:w="22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Incident record and direct escalation</w:t>
            </w:r>
          </w:p>
        </w:tc>
      </w:tr>
      <w:tr>
        <w:trPr/>
        <w:tc>
          <w:tcPr>
            <w:tcW w:w="1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 xml:space="preserve">Changes to systems affecting security posture</w:t>
            </w:r>
          </w:p>
        </w:tc>
        <w:tc>
          <w:tcPr>
            <w:tcW w:w="2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Before implementation</w:t>
            </w:r>
          </w:p>
        </w:tc>
        <w:tc>
          <w:tcPr>
            <w:tcW w:w="1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Information Security Manager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IT Infrastructure Engineer</w:t>
            </w:r>
          </w:p>
        </w:tc>
        <w:tc>
          <w:tcPr>
            <w:tcW w:w="22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Change request record</w:t>
            </w:r>
          </w:p>
        </w:tc>
      </w:tr>
      <w:tr>
        <w:trPr/>
        <w:tc>
          <w:tcPr>
            <w:tcW w:w="1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 xml:space="preserve">Vulnerability and patch status</w:t>
            </w:r>
          </w:p>
        </w:tc>
        <w:tc>
          <w:tcPr>
            <w:tcW w:w="2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Monthly</w:t>
            </w:r>
          </w:p>
        </w:tc>
        <w:tc>
          <w:tcPr>
            <w:tcW w:w="1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Information Security Manager, Developer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Security Analyst</w:t>
            </w:r>
          </w:p>
        </w:tc>
        <w:tc>
          <w:tcPr>
            <w:tcW w:w="22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Vulnerability report</w:t>
            </w:r>
          </w:p>
        </w:tc>
      </w:tr>
    </w:tbl>
    <w:p>
      <w:pPr>
        <w:pStyle w:val="Heading1"/>
        <w:spacing w:before="0" w:after="160"/>
        <w:rPr/>
      </w:pPr>
      <w:bookmarkStart w:id="6" w:name="__RefHeading___Toc369_605544599_6"/>
      <w:bookmarkEnd w:id="6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 xml:space="preserve">External Communication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99"/>
        <w:gridCol w:w="2201"/>
        <w:gridCol w:w="1399"/>
        <w:gridCol w:w="1700"/>
        <w:gridCol w:w="2261"/>
      </w:tblGrid>
      <w:tr>
        <w:trPr>
          <w:tblHeader w:val="true"/>
        </w:trPr>
        <w:tc>
          <w:tcPr>
            <w:tcW w:w="1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 xml:space="preserve">What</w:t>
            </w:r>
          </w:p>
        </w:tc>
        <w:tc>
          <w:tcPr>
            <w:tcW w:w="2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 xml:space="preserve">When</w:t>
            </w:r>
          </w:p>
        </w:tc>
        <w:tc>
          <w:tcPr>
            <w:tcW w:w="1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 xml:space="preserve">With Whom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 xml:space="preserve">By Whom</w:t>
            </w:r>
          </w:p>
        </w:tc>
        <w:tc>
          <w:tcPr>
            <w:tcW w:w="22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 xml:space="preserve">Method</w:t>
            </w:r>
          </w:p>
        </w:tc>
      </w:tr>
      <w:tr>
        <w:trPr/>
        <w:tc>
          <w:tcPr>
            <w:tcW w:w="1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 xml:space="preserve">Security posture and control evidence</w:t>
            </w:r>
          </w:p>
        </w:tc>
        <w:tc>
          <w:tcPr>
            <w:tcW w:w="2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On request and at contract renewal</w:t>
            </w:r>
          </w:p>
        </w:tc>
        <w:tc>
          <w:tcPr>
            <w:tcW w:w="1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Customers and prospects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Information Security Manager</w:t>
            </w:r>
          </w:p>
        </w:tc>
        <w:tc>
          <w:tcPr>
            <w:tcW w:w="22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Security summary and questionnaire response</w:t>
            </w:r>
          </w:p>
        </w:tc>
      </w:tr>
      <w:tr>
        <w:trPr/>
        <w:tc>
          <w:tcPr>
            <w:tcW w:w="1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 xml:space="preserve">Security requirements and obligations</w:t>
            </w:r>
          </w:p>
        </w:tc>
        <w:tc>
          <w:tcPr>
            <w:tcW w:w="2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At onboarding and at contract renewal</w:t>
            </w:r>
          </w:p>
        </w:tc>
        <w:tc>
          <w:tcPr>
            <w:tcW w:w="1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Suppliers and service providers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Information Security Manager</w:t>
            </w:r>
          </w:p>
        </w:tc>
        <w:tc>
          <w:tcPr>
            <w:tcW w:w="22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Contract terms and supplier assessment</w:t>
            </w:r>
          </w:p>
        </w:tc>
      </w:tr>
      <w:tr>
        <w:trPr/>
        <w:tc>
          <w:tcPr>
            <w:tcW w:w="1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 xml:space="preserve">Notification of a security incident affecting a third party</w:t>
            </w:r>
          </w:p>
        </w:tc>
        <w:tc>
          <w:tcPr>
            <w:tcW w:w="2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Without undue delay, per contractual and legal deadlines</w:t>
            </w:r>
          </w:p>
        </w:tc>
        <w:tc>
          <w:tcPr>
            <w:tcW w:w="1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Affected customers, affected data subjects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CEO, advised by the Information Security Manager</w:t>
            </w:r>
          </w:p>
        </w:tc>
        <w:tc>
          <w:tcPr>
            <w:tcW w:w="22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Formal written notification</w:t>
            </w:r>
          </w:p>
        </w:tc>
      </w:tr>
      <w:tr>
        <w:trPr/>
        <w:tc>
          <w:tcPr>
            <w:tcW w:w="1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 xml:space="preserve">Regulatory or breach notification</w:t>
            </w:r>
          </w:p>
        </w:tc>
        <w:tc>
          <w:tcPr>
            <w:tcW w:w="2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Within the statutory deadline applicable to the jurisdiction</w:t>
            </w:r>
          </w:p>
        </w:tc>
        <w:tc>
          <w:tcPr>
            <w:tcW w:w="1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Relevant supervisory authority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CEO, advised by the Information Security Manager</w:t>
            </w:r>
          </w:p>
        </w:tc>
        <w:tc>
          <w:tcPr>
            <w:tcW w:w="22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Formal written notification</w:t>
            </w:r>
          </w:p>
        </w:tc>
      </w:tr>
      <w:tr>
        <w:trPr/>
        <w:tc>
          <w:tcPr>
            <w:tcW w:w="1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 xml:space="preserve">Audit evidence and ISMS documentation</w:t>
            </w:r>
          </w:p>
        </w:tc>
        <w:tc>
          <w:tcPr>
            <w:tcW w:w="2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On scheduled audit</w:t>
            </w:r>
          </w:p>
        </w:tc>
        <w:tc>
          <w:tcPr>
            <w:tcW w:w="1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Certification body and external auditors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Information Security Manager</w:t>
            </w:r>
          </w:p>
        </w:tc>
        <w:tc>
          <w:tcPr>
            <w:tcW w:w="22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Controlled document set and evidence pack</w:t>
            </w:r>
          </w:p>
        </w:tc>
      </w:tr>
      <w:tr>
        <w:trPr/>
        <w:tc>
          <w:tcPr>
            <w:tcW w:w="1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 xml:space="preserve">Vulnerability reports received from outside the organisation</w:t>
            </w:r>
          </w:p>
        </w:tc>
        <w:tc>
          <w:tcPr>
            <w:tcW w:w="2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On receipt</w:t>
            </w:r>
          </w:p>
        </w:tc>
        <w:tc>
          <w:tcPr>
            <w:tcW w:w="1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Reporter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Security Analyst</w:t>
            </w:r>
          </w:p>
        </w:tc>
        <w:tc>
          <w:tcPr>
            <w:tcW w:w="22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Acknowledgement and status update</w:t>
            </w:r>
          </w:p>
        </w:tc>
      </w:tr>
    </w:tbl>
    <w:p>
      <w:pPr>
        <w:pStyle w:val="Heading1"/>
        <w:spacing w:before="0" w:after="160"/>
        <w:rPr/>
      </w:pPr>
      <w:bookmarkStart w:id="7" w:name="__RefHeading___Toc369_605544599_7"/>
      <w:bookmarkEnd w:id="7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 xml:space="preserve">Communication During a Security Incident</w:t>
      </w:r>
    </w:p>
    <w:p>
      <w:pPr>
        <w:pStyle w:val="Normal"/>
        <w:spacing w:lineRule="exact" w:line="300" w:before="0" w:after="20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 xml:space="preserve">Incident communication follows the Incident Management Policy. This plan sets who may speak and to whom: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 xml:space="preserve">Internal escalation is initiated by the Security Analyst and does not require prior approval.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 xml:space="preserve">The Information Security Manager decides when an incident is escalated to the CEO.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 xml:space="preserve">Only the CEO, advised by the Information Security Manager, communicates externally about a confirmed incident.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 xml:space="preserve">No personnel communicate incident details outside the organisation, including on social media, without that authorisation.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 xml:space="preserve">All incident communications are recorded in the incident record and retained as evidence.</w:t>
      </w:r>
    </w:p>
    <w:p>
      <w:pPr>
        <w:pStyle w:val="Heading1"/>
        <w:spacing w:before="0" w:after="160"/>
        <w:rPr/>
      </w:pPr>
      <w:bookmarkStart w:id="8" w:name="__RefHeading___Toc369_605544599_8"/>
      <w:bookmarkEnd w:id="8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 xml:space="preserve">Records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 xml:space="preserve">Awareness session records and acknowledgements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 xml:space="preserve">Metrics reports and management review minutes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 xml:space="preserve">Incident records including the communications issued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 xml:space="preserve">Customer, supplier and regulator notifications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 xml:space="preserve">Audit correspondence and evidence packs</w:t>
      </w:r>
    </w:p>
    <w:p>
      <w:pPr>
        <w:pStyle w:val="Heading1"/>
        <w:spacing w:before="0" w:after="160"/>
        <w:rPr/>
      </w:pPr>
      <w:bookmarkStart w:id="9" w:name="__RefHeading___Toc369_605544599_9"/>
      <w:bookmarkEnd w:id="9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 xml:space="preserve">Roles and Responsibilities</w:t>
      </w:r>
    </w:p>
    <w:tbl>
      <w:tblPr>
        <w:tblW w:w="91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199"/>
        <w:gridCol w:w="5960"/>
      </w:tblGrid>
      <w:tr>
        <w:trPr>
          <w:tblHeader w:val="true"/>
        </w:trPr>
        <w:tc>
          <w:tcPr>
            <w:tcW w:w="3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 xml:space="preserve">Role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 xml:space="preserve">Responsibilities</w:t>
            </w:r>
          </w:p>
        </w:tc>
      </w:tr>
      <w:tr>
        <w:trPr/>
        <w:tc>
          <w:tcPr>
            <w:tcW w:w="3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 xml:space="preserve">Chief Executive Officer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Sole authority for external communication about a confirmed security incident and for regulatory notification.</w:t>
            </w:r>
          </w:p>
        </w:tc>
      </w:tr>
      <w:tr>
        <w:trPr/>
        <w:tc>
          <w:tcPr>
            <w:tcW w:w="3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 xml:space="preserve">Information Security Manager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Owns this plan. Issues policy and objective communications, advises the CEO on external notification, and represents the ISMS to auditors and customers.</w:t>
            </w:r>
          </w:p>
        </w:tc>
      </w:tr>
      <w:tr>
        <w:trPr/>
        <w:tc>
          <w:tcPr>
            <w:tcW w:w="3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 xml:space="preserve">GRC Analyst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Communicates risk, audit and measurement results internally and maintains the associated records.</w:t>
            </w:r>
          </w:p>
        </w:tc>
      </w:tr>
      <w:tr>
        <w:trPr/>
        <w:tc>
          <w:tcPr>
            <w:tcW w:w="3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 xml:space="preserve">Security Analyst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Initiates internal incident escalation and communicates vulnerability and patch status.</w:t>
            </w:r>
          </w:p>
        </w:tc>
      </w:tr>
      <w:tr>
        <w:trPr/>
        <w:tc>
          <w:tcPr>
            <w:tcW w:w="3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 xml:space="preserve">All personnel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Report suspected security events promptly and refrain from external communication about incidents.</w:t>
            </w:r>
          </w:p>
        </w:tc>
      </w:tr>
    </w:tbl>
    <w:p>
      <w:pPr>
        <w:pStyle w:val="Heading1"/>
        <w:spacing w:before="0" w:after="160"/>
        <w:rPr/>
      </w:pPr>
      <w:bookmarkStart w:id="10" w:name="__RefHeading___Toc369_605544599_10"/>
      <w:bookmarkEnd w:id="10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 xml:space="preserve">Review and Updates</w:t>
      </w:r>
    </w:p>
    <w:p>
      <w:pPr>
        <w:pStyle w:val="Normal"/>
        <w:spacing w:lineRule="exact" w:line="300" w:before="0" w:after="20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 xml:space="preserve">This document is reviewed: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 xml:space="preserve">Annually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 xml:space="preserve">Following a change to the ISMS scope, the organisational structure or applicable regulatory obligations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 xml:space="preserve">After any incident where communication was found to be late, incorrect or unauthorised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08080"/>
        <w:sz w:val="16"/>
        <w:szCs w:val="16"/>
      </w:rPr>
      <w:t>Abionic Inc. - ISMS Communication Plan - Confidential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08080"/>
        <w:sz w:val="16"/>
        <w:szCs w:val="16"/>
      </w:rPr>
      <w:t>Abionic Inc. - ISMS Communication Plan - Confidential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updateFields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Heading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Heading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qFormat/>
    <w:pPr>
      <w:outlineLvl w:val="4"/>
    </w:pPr>
    <w:rPr>
      <w:color w:val="2E74B5"/>
    </w:rPr>
  </w:style>
  <w:style w:type="paragraph" w:styleId="Heading6">
    <w:name w:val="Heading 6"/>
    <w:basedOn w:val="Heading"/>
    <w:qFormat/>
    <w:pPr>
      <w:outlineLvl w:val="5"/>
    </w:pPr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2026-08-30T15:44:23Z</dcterms:created>
  <dc:creator>Abionic Inc.</dc:creator>
  <dc:description/>
  <dc:language>en-US</dc:language>
  <cp:lastModifiedBy>Abionic Inc.</cp:lastModifiedBy>
  <dcterms:modified xsi:type="dcterms:W3CDTF">2026-08-30T15:46:32Z</dcterms:modified>
  <cp:revision>2</cp:revision>
  <dc:subject/>
  <dc:title/>
</cp:coreProperties>
</file>