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00"/>
        <w:jc w:val="center"/>
        <w:rPr/>
      </w:pPr>
      <w:r>
        <w:rPr>
          <w:rFonts w:eastAsia="Liberation Sans" w:cs="Liberation Sans" w:ascii="Liberation Sans" w:hAnsi="Liberation Sans"/>
          <w:color w:val="000000"/>
          <w:sz w:val="56"/>
          <w:szCs w:val="56"/>
        </w:rPr>
        <w:t>Competence Management and Awareness Records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360" w:after="80"/>
        <w:jc w:val="center"/>
        <w:rPr/>
      </w:pPr>
      <w:r>
        <w:rPr>
          <w:rFonts w:eastAsia="Georgia" w:cs="Georgia" w:ascii="Georgia" w:hAnsi="Georgia"/>
          <w:i/>
          <w:iCs/>
          <w:color w:val="666666"/>
          <w:sz w:val="48"/>
          <w:szCs w:val="48"/>
        </w:rPr>
        <w:t>Abionic Inc.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Version 1.0</w:t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August 25,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Change Log</w:t>
            <w:tab/>
            <w:t>3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>
              <w:rStyle w:val="IndexLink"/>
            </w:rPr>
            <w:t>Purpose</w:t>
            <w:tab/>
            <w:t>4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>
              <w:rStyle w:val="IndexLink"/>
            </w:rPr>
            <w:t>Scope</w:t>
            <w:tab/>
            <w:t>4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>
              <w:rStyle w:val="IndexLink"/>
            </w:rPr>
            <w:t>Competence Requirements</w:t>
            <w:tab/>
            <w:t>4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>
              <w:rStyle w:val="IndexLink"/>
            </w:rPr>
            <w:t>Competence Records Table</w:t>
            <w:tab/>
            <w:t>4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>
              <w:rStyle w:val="IndexLink"/>
            </w:rPr>
            <w:t>Competence Maintenance</w:t>
            <w:tab/>
            <w:t>4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>
              <w:rStyle w:val="IndexLink"/>
            </w:rPr>
            <w:t>Review and Updates</w:t>
            <w:tab/>
            <w:t>4</w:t>
          </w:r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264_2453085178"/>
      <w:bookmarkEnd w:id="0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Change Log</w:t>
      </w:r>
    </w:p>
    <w:tbl>
      <w:tblPr>
        <w:tblW w:w="944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78"/>
      </w:tblGrid>
      <w:tr>
        <w:trPr>
          <w:tblHeader w:val="true"/>
        </w:trPr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Date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Author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Approved By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Last Updated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Review Frequency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Next Review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25,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1.0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GRC Analyst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Initial 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Information Security Manager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25,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Annually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25, 2027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</w:pPr>
      <w:r>
        <w:t>Purpose</w:t>
      </w:r>
    </w:p>
    <w:p>
      <w:pPr>
        <w:pStyle w:val="Normal"/>
      </w:pPr>
      <w:r>
        <w:t>This document records and manages evidence of competence for all employees and contractors, ensuring that individuals are qualified to perform their roles and responsibilities in relation to information security.</w:t>
      </w:r>
    </w:p>
    <w:p>
      <w:pPr>
        <w:pStyle w:val="Heading1"/>
      </w:pPr>
      <w:r>
        <w:t>Scope</w:t>
      </w:r>
    </w:p>
    <w:p>
      <w:pPr>
        <w:pStyle w:val="Normal"/>
      </w:pPr>
      <w:r>
        <w:t>Covers all personnel involved in the operation, management, and support of the ISMS, including IT, security, development, HR, legal, and management.</w:t>
      </w:r>
    </w:p>
    <w:p>
      <w:pPr>
        <w:pStyle w:val="Heading1"/>
      </w:pPr>
      <w:r>
        <w:t>Competence Requirements</w:t>
      </w:r>
    </w:p>
    <w:p>
      <w:pPr>
        <w:pStyle w:val="Normal"/>
      </w:pPr>
      <w:r>
        <w:t>Competence is determined by:</w:t>
      </w:r>
    </w:p>
    <w:p>
      <w:pPr>
        <w:pStyle w:val="ListParagraph"/>
        <w:numPr>
          <w:ilvl w:val="0"/>
          <w:numId w:val="1"/>
        </w:numPr>
      </w:pPr>
      <w:r>
        <w:t>Formal education and certifications</w:t>
      </w:r>
    </w:p>
    <w:p>
      <w:pPr>
        <w:pStyle w:val="ListParagraph"/>
        <w:numPr>
          <w:ilvl w:val="0"/>
          <w:numId w:val="1"/>
        </w:numPr>
      </w:pPr>
      <w:r>
        <w:t>Professional experience and skills</w:t>
      </w:r>
    </w:p>
    <w:p>
      <w:pPr>
        <w:pStyle w:val="ListParagraph"/>
        <w:numPr>
          <w:ilvl w:val="0"/>
          <w:numId w:val="1"/>
        </w:numPr>
      </w:pPr>
      <w:r>
        <w:t>Completion of required security training and awareness programs</w:t>
      </w:r>
    </w:p>
    <w:p>
      <w:pPr>
        <w:pStyle w:val="ListParagraph"/>
        <w:numPr>
          <w:ilvl w:val="0"/>
          <w:numId w:val="1"/>
        </w:numPr>
      </w:pPr>
      <w:r>
        <w:t>Specific role-based training (e.g., secure coding for developers, incident response for IT)</w:t>
      </w:r>
    </w:p>
    <w:p>
      <w:pPr>
        <w:pStyle w:val="Heading1"/>
      </w:pPr>
      <w:r>
        <w:t>Competence Records Table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500"/>
        <w:gridCol w:w="1500"/>
        <w:gridCol w:w="1900"/>
        <w:gridCol w:w="1900"/>
        <w:gridCol w:w="1760"/>
        <w:gridCol w:w="800"/>
      </w:tblGrid>
      <w:tr>
        <w:tc>
          <w:tcPr>
            <w:tcW w:type="dxa" w:w="1560"/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r/>
            <w:r>
              <w:rPr>
                <w:rFonts w:ascii="Times New Roman" w:hAnsi="Times New Roman"/>
                <w:b/>
                <w:color w:val="1F1F1F"/>
                <w:sz w:val="20"/>
              </w:rPr>
              <w:t>Name</w:t>
            </w:r>
          </w:p>
        </w:tc>
        <w:tc>
          <w:tcPr>
            <w:tcW w:type="dxa" w:w="1560"/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r/>
            <w:r>
              <w:rPr>
                <w:rFonts w:ascii="Times New Roman" w:hAnsi="Times New Roman"/>
                <w:b/>
                <w:color w:val="1F1F1F"/>
                <w:sz w:val="20"/>
              </w:rPr>
              <w:t>Role</w:t>
            </w:r>
          </w:p>
        </w:tc>
        <w:tc>
          <w:tcPr>
            <w:tcW w:type="dxa" w:w="1560"/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r/>
            <w:r>
              <w:rPr>
                <w:rFonts w:ascii="Times New Roman" w:hAnsi="Times New Roman"/>
                <w:b/>
                <w:color w:val="1F1F1F"/>
                <w:sz w:val="20"/>
              </w:rPr>
              <w:t>Required Competencies</w:t>
            </w:r>
          </w:p>
        </w:tc>
        <w:tc>
          <w:tcPr>
            <w:tcW w:type="dxa" w:w="1560"/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r/>
            <w:r>
              <w:rPr>
                <w:rFonts w:ascii="Times New Roman" w:hAnsi="Times New Roman"/>
                <w:b/>
                <w:color w:val="1F1F1F"/>
                <w:sz w:val="20"/>
              </w:rPr>
              <w:t>Evidence of Competence</w:t>
            </w:r>
          </w:p>
        </w:tc>
        <w:tc>
          <w:tcPr>
            <w:tcW w:type="dxa" w:w="1560"/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r/>
            <w:r>
              <w:rPr>
                <w:rFonts w:ascii="Times New Roman" w:hAnsi="Times New Roman"/>
                <w:b/>
                <w:color w:val="1F1F1F"/>
                <w:sz w:val="20"/>
              </w:rPr>
              <w:t>Training Completed</w:t>
            </w:r>
          </w:p>
        </w:tc>
        <w:tc>
          <w:tcPr>
            <w:tcW w:type="dxa" w:w="1560"/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r/>
            <w:r>
              <w:rPr>
                <w:rFonts w:ascii="Times New Roman" w:hAnsi="Times New Roman"/>
                <w:b/>
                <w:color w:val="1F1F1F"/>
                <w:sz w:val="20"/>
              </w:rPr>
              <w:t>Review Date</w:t>
            </w:r>
          </w:p>
        </w:tc>
      </w:tr>
      <w:tr>
        <w:tc>
          <w:tcPr>
            <w:tcW w:type="dxa" w:w="1560"/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A. Whitfield</w:t>
            </w:r>
          </w:p>
        </w:tc>
        <w:tc>
          <w:tcPr>
            <w:tcW w:type="dxa" w:w="1560"/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CEO</w:t>
            </w:r>
          </w:p>
        </w:tc>
        <w:tc>
          <w:tcPr>
            <w:tcW w:type="dxa" w:w="1560"/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ISMS Leadership, Risk Oversight</w:t>
            </w:r>
          </w:p>
        </w:tc>
        <w:tc>
          <w:tcPr>
            <w:tcW w:type="dxa" w:w="1560"/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Business strategy, ISMS endorsement</w:t>
            </w:r>
          </w:p>
        </w:tc>
        <w:tc>
          <w:tcPr>
            <w:tcW w:type="dxa" w:w="1560"/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ISMS awareness</w:t>
            </w:r>
          </w:p>
        </w:tc>
        <w:tc>
          <w:tcPr>
            <w:tcW w:type="dxa" w:w="1560"/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Not yet completed</w:t>
            </w:r>
          </w:p>
        </w:tc>
      </w:tr>
      <w:tr>
        <w:tc>
          <w:tcPr>
            <w:tcW w:type="dxa" w:w="1560"/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R. Castellan</w:t>
            </w:r>
          </w:p>
        </w:tc>
        <w:tc>
          <w:tcPr>
            <w:tcW w:type="dxa" w:w="1560"/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Information Security Manager</w:t>
            </w:r>
          </w:p>
        </w:tc>
        <w:tc>
          <w:tcPr>
            <w:tcW w:type="dxa" w:w="1560"/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Security governance, compliance</w:t>
            </w:r>
          </w:p>
        </w:tc>
        <w:tc>
          <w:tcPr>
            <w:tcW w:type="dxa" w:w="1560"/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ISO 27001 knowledge, previous audits</w:t>
            </w:r>
          </w:p>
        </w:tc>
        <w:tc>
          <w:tcPr>
            <w:tcW w:type="dxa" w:w="1560"/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ISO/IEC 27001 Lead Auditor training</w:t>
            </w:r>
          </w:p>
        </w:tc>
        <w:tc>
          <w:tcPr>
            <w:tcW w:type="dxa" w:w="1560"/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Not yet completed</w:t>
            </w:r>
          </w:p>
        </w:tc>
      </w:tr>
      <w:tr>
        <w:tc>
          <w:tcPr>
            <w:tcW w:type="dxa" w:w="1560"/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M. Okonjo</w:t>
            </w:r>
          </w:p>
        </w:tc>
        <w:tc>
          <w:tcPr>
            <w:tcW w:type="dxa" w:w="1560"/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Security Analyst</w:t>
            </w:r>
          </w:p>
        </w:tc>
        <w:tc>
          <w:tcPr>
            <w:tcW w:type="dxa" w:w="1560"/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Security monitoring, incident response</w:t>
            </w:r>
          </w:p>
        </w:tc>
        <w:tc>
          <w:tcPr>
            <w:tcW w:type="dxa" w:w="1560"/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SIEM use, IR exercises</w:t>
            </w:r>
          </w:p>
        </w:tc>
        <w:tc>
          <w:tcPr>
            <w:tcW w:type="dxa" w:w="1560"/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Incident response training</w:t>
            </w:r>
          </w:p>
        </w:tc>
        <w:tc>
          <w:tcPr>
            <w:tcW w:type="dxa" w:w="1560"/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Not yet completed</w:t>
            </w:r>
          </w:p>
        </w:tc>
      </w:tr>
      <w:tr>
        <w:tc>
          <w:tcPr>
            <w:tcW w:type="dxa" w:w="1560"/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S. Lindqvist</w:t>
            </w:r>
          </w:p>
        </w:tc>
        <w:tc>
          <w:tcPr>
            <w:tcW w:type="dxa" w:w="1560"/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Developer</w:t>
            </w:r>
          </w:p>
        </w:tc>
        <w:tc>
          <w:tcPr>
            <w:tcW w:type="dxa" w:w="1560"/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Secure coding, threat modelling</w:t>
            </w:r>
          </w:p>
        </w:tc>
        <w:tc>
          <w:tcPr>
            <w:tcW w:type="dxa" w:w="1560"/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SDLC knowledge, GitHub workflows</w:t>
            </w:r>
          </w:p>
        </w:tc>
        <w:tc>
          <w:tcPr>
            <w:tcW w:type="dxa" w:w="1560"/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Secure coding practices, OWASP Top 10</w:t>
            </w:r>
          </w:p>
        </w:tc>
        <w:tc>
          <w:tcPr>
            <w:tcW w:type="dxa" w:w="1560"/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Not yet completed</w:t>
            </w:r>
          </w:p>
        </w:tc>
      </w:tr>
      <w:tr>
        <w:tc>
          <w:tcPr>
            <w:tcW w:type="dxa" w:w="1560"/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K. Almeida</w:t>
            </w:r>
          </w:p>
        </w:tc>
        <w:tc>
          <w:tcPr>
            <w:tcW w:type="dxa" w:w="1560"/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IT Infrastructure Engineer</w:t>
            </w:r>
          </w:p>
        </w:tc>
        <w:tc>
          <w:tcPr>
            <w:tcW w:type="dxa" w:w="1560"/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Network security, cloud configuration</w:t>
            </w:r>
          </w:p>
        </w:tc>
        <w:tc>
          <w:tcPr>
            <w:tcW w:type="dxa" w:w="1560"/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AWS knowledge, network security</w:t>
            </w:r>
          </w:p>
        </w:tc>
        <w:tc>
          <w:tcPr>
            <w:tcW w:type="dxa" w:w="1560"/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AWS Security training, Network hardening</w:t>
            </w:r>
          </w:p>
        </w:tc>
        <w:tc>
          <w:tcPr>
            <w:tcW w:type="dxa" w:w="1560"/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Not yet completed</w:t>
            </w:r>
          </w:p>
        </w:tc>
      </w:tr>
      <w:tr>
        <w:tc>
          <w:tcPr>
            <w:tcW w:type="dxa" w:w="1560"/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T. Brandt</w:t>
            </w:r>
          </w:p>
        </w:tc>
        <w:tc>
          <w:tcPr>
            <w:tcW w:type="dxa" w:w="1560"/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GRC Analyst</w:t>
            </w:r>
          </w:p>
        </w:tc>
        <w:tc>
          <w:tcPr>
            <w:tcW w:type="dxa" w:w="1560"/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Risk assessment, compliance reporting</w:t>
            </w:r>
          </w:p>
        </w:tc>
        <w:tc>
          <w:tcPr>
            <w:tcW w:type="dxa" w:w="1560"/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Risk logs, SOA, audits</w:t>
            </w:r>
          </w:p>
        </w:tc>
        <w:tc>
          <w:tcPr>
            <w:tcW w:type="dxa" w:w="1560"/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ISO27001 awareness, risk management</w:t>
            </w:r>
          </w:p>
        </w:tc>
        <w:tc>
          <w:tcPr>
            <w:tcW w:type="dxa" w:w="1560"/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Not yet completed</w:t>
            </w:r>
          </w:p>
        </w:tc>
      </w:tr>
    </w:tbl>
    <w:p>
      <w:pPr>
        <w:pStyle w:val="Heading1"/>
      </w:pPr>
      <w:r>
        <w:t>Competence Maintenance</w:t>
      </w:r>
    </w:p>
    <w:p>
      <w:pPr>
        <w:pStyle w:val="Normal"/>
      </w:pPr>
      <w:r>
        <w:t>Competencies are reviewed annually as part of performance reviews.</w:t>
      </w:r>
    </w:p>
    <w:p>
      <w:pPr>
        <w:pStyle w:val="Normal"/>
      </w:pPr>
      <w:r>
        <w:t>Any gaps identified will result in targeted training or reassignment of duties.</w:t>
      </w:r>
    </w:p>
    <w:p>
      <w:pPr>
        <w:pStyle w:val="Heading1"/>
      </w:pPr>
      <w:r>
        <w:t>Review and Updates</w:t>
      </w:r>
    </w:p>
    <w:p>
      <w:pPr>
        <w:pStyle w:val="Normal"/>
      </w:pPr>
      <w:r>
        <w:t>This document is reviewed:</w:t>
      </w:r>
    </w:p>
    <w:p>
      <w:pPr>
        <w:pStyle w:val="ListParagraph"/>
        <w:numPr>
          <w:ilvl w:val="0"/>
          <w:numId w:val="1"/>
        </w:numPr>
      </w:pPr>
      <w:r>
        <w:t>Annually</w:t>
      </w:r>
    </w:p>
    <w:p>
      <w:pPr>
        <w:pStyle w:val="ListParagraph"/>
        <w:numPr>
          <w:ilvl w:val="0"/>
          <w:numId w:val="1"/>
        </w:numPr>
      </w:pPr>
      <w:r>
        <w:t>Following major role changes or new regulatory requirements</w:t>
      </w:r>
    </w:p>
    <w:p>
      <w:pPr>
        <w:pStyle w:val="ListParagraph"/>
        <w:numPr>
          <w:ilvl w:val="0"/>
          <w:numId w:val="1"/>
        </w:numPr>
      </w:pPr>
      <w:r>
        <w:t>After significant security incidents or audit findings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Competence &amp; Awareness Records - Confidential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Competence &amp; Awareness Records - Confidential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updateFields w:val="true"/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2026-08-25T01:41:45Z</dcterms:created>
  <dc:creator>Abionic Inc.</dc:creator>
  <dc:description/>
  <dc:language>en-US</dc:language>
  <cp:lastModifiedBy/>
  <dcterms:modified xsi:type="dcterms:W3CDTF">2026-08-25T01:42:32Z</dcterms:modified>
  <cp:revision>2</cp:revision>
  <dc:subject/>
  <dc:title/>
</cp:coreProperties>
</file>