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00"/>
        <w:jc w:val="center"/>
        <w:rPr/>
      </w:pPr>
      <w:r>
        <w:rPr>
          <w:rFonts w:eastAsia="Liberation Sans" w:cs="Liberation Sans" w:ascii="Liberation Sans" w:hAnsi="Liberation Sans"/>
          <w:color w:val="000000"/>
          <w:sz w:val="56"/>
          <w:szCs w:val="56"/>
        </w:rPr>
        <w:t>Documented Information Control Procedure</w:t>
      </w:r>
    </w:p>
    <w:p>
      <w:pPr>
        <w:pStyle w:val="Normal"/>
        <w:jc w:val="center"/>
        <w:rPr/>
      </w:pPr>
      <w:r>
        <w:rPr/>
      </w:r>
    </w:p>
    <w:p>
      <w:pPr>
        <w:pStyle w:val="Normal"/>
        <w:jc w:val="center"/>
        <w:rPr/>
      </w:pPr>
      <w:r>
        <w:rPr/>
      </w:r>
    </w:p>
    <w:p>
      <w:pPr>
        <w:pStyle w:val="Normal"/>
        <w:spacing w:before="360" w:after="80"/>
        <w:jc w:val="center"/>
        <w:rPr/>
      </w:pPr>
      <w:r>
        <w:rPr>
          <w:rFonts w:eastAsia="Georgia" w:cs="Georgia" w:ascii="Georgia" w:hAnsi="Georgia"/>
          <w:i/>
          <w:iCs/>
          <w:color w:val="666666"/>
          <w:sz w:val="48"/>
          <w:szCs w:val="48"/>
        </w:rPr>
        <w:t>Abionic Inc.</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Fonts w:eastAsia="Times New Roman" w:cs="Times New Roman"/>
          <w:sz w:val="22"/>
          <w:szCs w:val="22"/>
        </w:rPr>
        <w:t>Version 1.0</w:t>
      </w:r>
    </w:p>
    <w:p>
      <w:pPr>
        <w:pStyle w:val="Normal"/>
        <w:jc w:val="center"/>
        <w:rPr/>
      </w:pPr>
      <w:r>
        <w:rPr>
          <w:rFonts w:eastAsia="Times New Roman" w:cs="Times New Roman"/>
          <w:sz w:val="22"/>
          <w:szCs w:val="22"/>
        </w:rPr>
        <w:t>August 31, 2026</w:t>
      </w:r>
    </w:p>
    <w:p>
      <w:pPr>
        <w:pStyle w:val="Normal"/>
        <w:rPr/>
      </w:pPr>
      <w:r>
        <w:rPr/>
      </w:r>
      <w:r>
        <w:br w:type="page"/>
      </w:r>
    </w:p>
    <w:p>
      <w:pPr>
        <w:pStyle w:val="Normal"/>
        <w:spacing w:before="0" w:after="200"/>
        <w:rPr/>
      </w:pPr>
      <w:r>
        <w:rPr>
          <w:rFonts w:eastAsia="Liberation Sans" w:cs="Liberation Sans" w:ascii="Liberation Sans" w:hAnsi="Liberation Sans"/>
          <w:b/>
          <w:bCs/>
          <w:color w:val="2E75B6"/>
          <w:sz w:val="30"/>
          <w:szCs w:val="30"/>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p>
        <w:p>
          <w:pPr>
            <w:pStyle w:val="TOC1"/>
            <w:tabs>
              <w:tab w:val="clear" w:pos="9360"/>
              <w:tab w:val="right" w:pos="9359" w:leader="dot"/>
            </w:tabs>
            <w:rPr/>
          </w:pPr>
          <w:hyperlink w:anchor="__RefHeading___Toc369_605544599">
            <w:r>
              <w:rPr>
                <w:rStyle w:val="IndexLink"/>
              </w:rPr>
              <w:t xml:space="preserve">Change Log</w:t>
              <w:tab/>
              <w:t xml:space="preserve">3</w:t>
            </w:r>
          </w:hyperlink>
        </w:p>
        <w:p>
          <w:pPr>
            <w:pStyle w:val="TOC1"/>
            <w:tabs>
              <w:tab w:val="clear" w:pos="9360"/>
              <w:tab w:val="right" w:pos="9359" w:leader="dot"/>
            </w:tabs>
            <w:rPr/>
          </w:pPr>
          <w:hyperlink w:anchor="__RefHeading___Toc369_605544599">
            <w:r>
              <w:rPr>
                <w:rStyle w:val="IndexLink"/>
              </w:rPr>
              <w:t xml:space="preserve">Purpose</w:t>
              <w:tab/>
              <w:t xml:space="preserve">4</w:t>
            </w:r>
          </w:hyperlink>
        </w:p>
        <w:p>
          <w:pPr>
            <w:pStyle w:val="TOC1"/>
            <w:tabs>
              <w:tab w:val="clear" w:pos="9360"/>
              <w:tab w:val="right" w:pos="9359" w:leader="dot"/>
            </w:tabs>
            <w:rPr/>
          </w:pPr>
          <w:hyperlink w:anchor="__RefHeading___Toc369_605544599">
            <w:r>
              <w:rPr>
                <w:rStyle w:val="IndexLink"/>
              </w:rPr>
              <w:t xml:space="preserve">Scope</w:t>
              <w:tab/>
              <w:t xml:space="preserve">4</w:t>
            </w:r>
          </w:hyperlink>
        </w:p>
        <w:p>
          <w:pPr>
            <w:pStyle w:val="TOC1"/>
            <w:tabs>
              <w:tab w:val="clear" w:pos="9360"/>
              <w:tab w:val="right" w:pos="9359" w:leader="dot"/>
            </w:tabs>
            <w:rPr/>
          </w:pPr>
          <w:hyperlink w:anchor="__RefHeading___Toc369_605544599">
            <w:r>
              <w:rPr>
                <w:rStyle w:val="IndexLink"/>
              </w:rPr>
              <w:t xml:space="preserve">Documented Information Required by the ISMS</w:t>
              <w:tab/>
              <w:t xml:space="preserve">4</w:t>
            </w:r>
          </w:hyperlink>
        </w:p>
        <w:p>
          <w:pPr>
            <w:pStyle w:val="TOC1"/>
            <w:tabs>
              <w:tab w:val="clear" w:pos="9360"/>
              <w:tab w:val="right" w:pos="9359" w:leader="dot"/>
            </w:tabs>
            <w:rPr/>
          </w:pPr>
          <w:hyperlink w:anchor="__RefHeading___Toc369_605544599">
            <w:r>
              <w:rPr>
                <w:rStyle w:val="IndexLink"/>
              </w:rPr>
              <w:t xml:space="preserve">Creating and Updating</w:t>
              <w:tab/>
              <w:t xml:space="preserve">4</w:t>
            </w:r>
          </w:hyperlink>
        </w:p>
        <w:p>
          <w:pPr>
            <w:pStyle w:val="TOC1"/>
            <w:tabs>
              <w:tab w:val="clear" w:pos="9360"/>
              <w:tab w:val="right" w:pos="9359" w:leader="dot"/>
            </w:tabs>
            <w:rPr/>
          </w:pPr>
          <w:hyperlink w:anchor="__RefHeading___Toc369_605544599">
            <w:r>
              <w:rPr>
                <w:rStyle w:val="IndexLink"/>
              </w:rPr>
              <w:t xml:space="preserve">Control of Documented Information</w:t>
              <w:tab/>
              <w:t xml:space="preserve">5</w:t>
            </w:r>
          </w:hyperlink>
        </w:p>
        <w:p>
          <w:pPr>
            <w:pStyle w:val="TOC1"/>
            <w:tabs>
              <w:tab w:val="clear" w:pos="9360"/>
              <w:tab w:val="right" w:pos="9359" w:leader="dot"/>
            </w:tabs>
            <w:rPr/>
          </w:pPr>
          <w:hyperlink w:anchor="__RefHeading___Toc369_605544599">
            <w:r>
              <w:rPr>
                <w:rStyle w:val="IndexLink"/>
              </w:rPr>
              <w:t xml:space="preserve">Retention and Disposal Schedule</w:t>
              <w:tab/>
              <w:t xml:space="preserve">5</w:t>
            </w:r>
          </w:hyperlink>
        </w:p>
        <w:p>
          <w:pPr>
            <w:pStyle w:val="TOC1"/>
            <w:tabs>
              <w:tab w:val="clear" w:pos="9360"/>
              <w:tab w:val="right" w:pos="9359" w:leader="dot"/>
            </w:tabs>
            <w:rPr/>
          </w:pPr>
          <w:hyperlink w:anchor="__RefHeading___Toc369_605544599">
            <w:r>
              <w:rPr>
                <w:rStyle w:val="IndexLink"/>
              </w:rPr>
              <w:t xml:space="preserve">Records</w:t>
              <w:tab/>
              <w:t xml:space="preserve">6</w:t>
            </w:r>
          </w:hyperlink>
        </w:p>
        <w:p>
          <w:pPr>
            <w:pStyle w:val="TOC1"/>
            <w:tabs>
              <w:tab w:val="clear" w:pos="9360"/>
              <w:tab w:val="right" w:pos="9359" w:leader="dot"/>
            </w:tabs>
            <w:rPr/>
          </w:pPr>
          <w:hyperlink w:anchor="__RefHeading___Toc369_605544599">
            <w:r>
              <w:rPr>
                <w:rStyle w:val="IndexLink"/>
              </w:rPr>
              <w:t xml:space="preserve">Roles and Responsibilities</w:t>
              <w:tab/>
              <w:t xml:space="preserve">6</w:t>
            </w:r>
          </w:hyperlink>
        </w:p>
        <w:p>
          <w:pPr>
            <w:pStyle w:val="TOC1"/>
            <w:tabs>
              <w:tab w:val="clear" w:pos="9360"/>
              <w:tab w:val="right" w:pos="9359" w:leader="dot"/>
            </w:tabs>
            <w:rPr/>
          </w:pPr>
          <w:hyperlink w:anchor="__RefHeading___Toc369_605544599">
            <w:r>
              <w:rPr>
                <w:rStyle w:val="IndexLink"/>
              </w:rPr>
              <w:t xml:space="preserve">Review and Updates</w:t>
              <w:tab/>
              <w:t xml:space="preserve">7</w:t>
            </w:r>
          </w:hyperlink>
        </w:p>
      </w:sdtContent>
    </w:sdt>
    <w:p>
      <w:pPr>
        <w:pStyle w:val="Normal"/>
        <w:rPr/>
      </w:pPr>
      <w:r>
        <w:rPr/>
      </w:r>
    </w:p>
    <w:p>
      <w:pPr>
        <w:pStyle w:val="Normal"/>
        <w:rPr/>
      </w:pPr>
      <w:r>
        <w:rPr/>
      </w:r>
      <w:r>
        <w:br w:type="page"/>
      </w:r>
    </w:p>
    <w:p>
      <w:pPr>
        <w:pStyle w:val="Heading1"/>
        <w:spacing w:before="0" w:after="160"/>
        <w:rPr/>
      </w:pPr>
      <w:bookmarkStart w:id="1" w:name="__RefHeading___Toc369_605544599"/>
      <w:bookmarkEnd w:id="1"/>
      <w:r>
        <w:rPr>
          <w:rFonts w:eastAsia="Liberation Sans" w:cs="Liberation Sans" w:ascii="Liberation Sans" w:hAnsi="Liberation Sans"/>
          <w:b/>
          <w:bCs/>
          <w:color w:val="2E75B6"/>
          <w:sz w:val="30"/>
          <w:szCs w:val="30"/>
        </w:rPr>
        <w:t xml:space="preserve">Change Log</w:t>
      </w:r>
    </w:p>
    <w:tbl>
      <w:tblPr>
        <w:tblW w:w="9440" w:type="dxa"/>
        <w:jc w:val="left"/>
        <w:tblInd w:w="0" w:type="dxa"/>
        <w:tblLayout w:type="fixed"/>
        <w:tblCellMar>
          <w:top w:w="80" w:type="dxa"/>
          <w:left w:w="100" w:type="dxa"/>
          <w:bottom w:w="80" w:type="dxa"/>
          <w:right w:w="100" w:type="dxa"/>
        </w:tblCellMar>
      </w:tblPr>
      <w:tblGrid>
        <w:gridCol w:w="1180"/>
        <w:gridCol w:w="1180"/>
        <w:gridCol w:w="1180"/>
        <w:gridCol w:w="1180"/>
        <w:gridCol w:w="1180"/>
        <w:gridCol w:w="1180"/>
        <w:gridCol w:w="1180"/>
        <w:gridCol w:w="1178"/>
      </w:tblGrid>
      <w:tr>
        <w:trPr>
          <w:tblHeader w:val="true"/>
        </w:trPr>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Date</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Version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Author</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Description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Approved By</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Last Updated</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Review Frequency</w:t>
            </w:r>
          </w:p>
        </w:tc>
        <w:tc>
          <w:tcPr>
            <w:tcW w:w="1178"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Next Review</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August 31, 2026</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1.0</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GRC Analyst</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Initial version</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August 31, 2026</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Annually</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August 31, 2027</w:t>
            </w:r>
          </w:p>
        </w:tc>
      </w:tr>
    </w:tbl>
    <w:p>
      <w:pPr>
        <w:pStyle w:val="Normal"/>
        <w:rPr/>
      </w:pPr>
      <w:r>
        <w:rPr/>
      </w:r>
      <w:r>
        <w:br w:type="page"/>
      </w:r>
    </w:p>
    <w:p>
      <w:pPr>
        <w:pStyle w:val="Heading1"/>
        <w:spacing w:before="0" w:after="160"/>
        <w:rPr/>
      </w:pPr>
      <w:bookmarkStart w:id="2" w:name="__RefHeading___Toc369_605544599_2"/>
      <w:bookmarkEnd w:id="2"/>
      <w:r>
        <w:rPr>
          <w:rFonts w:eastAsia="Liberation Sans" w:cs="Liberation Sans" w:ascii="Liberation Sans" w:hAnsi="Liberation Sans"/>
          <w:b/>
          <w:bCs/>
          <w:color w:val="2E75B6"/>
          <w:sz w:val="30"/>
          <w:szCs w:val="30"/>
        </w:rPr>
        <w:t xml:space="preserve">Purpose</w:t>
      </w:r>
    </w:p>
    <w:p>
      <w:pPr>
        <w:pStyle w:val="Normal"/>
        <w:spacing w:lineRule="exact" w:line="300" w:before="0" w:after="200"/>
        <w:rPr/>
      </w:pPr>
      <w:r>
        <w:rPr>
          <w:rFonts w:eastAsia="Times New Roman" w:cs="Times New Roman"/>
          <w:b w:val="false"/>
          <w:bCs w:val="false"/>
          <w:color w:val="1F1F1F"/>
          <w:sz w:val="22"/>
          <w:szCs w:val="22"/>
        </w:rPr>
        <w:t xml:space="preserve">This procedure defines how Abionic Inc. creates, identifies, reviews, approves, distributes, stores, protects, versions, retains and disposes of the documented information required by its information security management system. It satisfies ISO/IEC 27001:2022 clauses 7.5.1, 7.5.2 and 7.5.3.</w:t>
      </w:r>
    </w:p>
    <w:p>
      <w:pPr>
        <w:pStyle w:val="Heading1"/>
        <w:spacing w:before="0" w:after="160"/>
        <w:rPr/>
      </w:pPr>
      <w:bookmarkStart w:id="3" w:name="__RefHeading___Toc369_605544599_3"/>
      <w:bookmarkEnd w:id="3"/>
      <w:r>
        <w:rPr>
          <w:rFonts w:eastAsia="Liberation Sans" w:cs="Liberation Sans" w:ascii="Liberation Sans" w:hAnsi="Liberation Sans"/>
          <w:b/>
          <w:bCs/>
          <w:color w:val="2E75B6"/>
          <w:sz w:val="30"/>
          <w:szCs w:val="30"/>
        </w:rPr>
        <w:t xml:space="preserve">Scope</w:t>
      </w:r>
    </w:p>
    <w:p>
      <w:pPr>
        <w:pStyle w:val="Normal"/>
        <w:spacing w:lineRule="exact" w:line="300" w:before="0" w:after="200"/>
        <w:rPr/>
      </w:pPr>
      <w:r>
        <w:rPr>
          <w:rFonts w:eastAsia="Times New Roman" w:cs="Times New Roman"/>
          <w:b w:val="false"/>
          <w:bCs w:val="false"/>
          <w:color w:val="1F1F1F"/>
          <w:sz w:val="22"/>
          <w:szCs w:val="22"/>
        </w:rPr>
        <w:t xml:space="preserve">Applies to all documented information required by the ISMS and by ISO/IEC 27001:2022, whether created internally or received from an external party, in any format or medium. This includes policies, procedures, registers, plans, records and evidence held in the ISMS document set and in supporting systems.</w:t>
      </w:r>
    </w:p>
    <w:p>
      <w:pPr>
        <w:pStyle w:val="Heading1"/>
        <w:spacing w:before="0" w:after="160"/>
        <w:rPr/>
      </w:pPr>
      <w:bookmarkStart w:id="4" w:name="__RefHeading___Toc369_605544599_4"/>
      <w:bookmarkEnd w:id="4"/>
      <w:r>
        <w:rPr>
          <w:rFonts w:eastAsia="Liberation Sans" w:cs="Liberation Sans" w:ascii="Liberation Sans" w:hAnsi="Liberation Sans"/>
          <w:b/>
          <w:bCs/>
          <w:color w:val="2E75B6"/>
          <w:sz w:val="30"/>
          <w:szCs w:val="30"/>
        </w:rPr>
        <w:t xml:space="preserve">Documented Information Required by the ISMS</w:t>
      </w:r>
    </w:p>
    <w:p>
      <w:pPr>
        <w:pStyle w:val="Normal"/>
        <w:spacing w:lineRule="exact" w:line="300" w:before="0" w:after="200"/>
        <w:rPr/>
      </w:pPr>
      <w:r>
        <w:rPr>
          <w:rFonts w:eastAsia="Times New Roman" w:cs="Times New Roman"/>
          <w:b w:val="false"/>
          <w:bCs w:val="false"/>
          <w:color w:val="1F1F1F"/>
          <w:sz w:val="22"/>
          <w:szCs w:val="22"/>
        </w:rPr>
        <w:t xml:space="preserve">The following documented information is maintained as a minimum, in line with clause 7.5.1:</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ISMS scope statement (Clause 4.3)</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Information security policy and security objectives (Clauses 5.2 and 6.2)</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Risk assessment process and risk assessment results (Clauses 6.1.2 and 8.2)</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Risk treatment process, risk treatment plan and Statement of Applicability (Clauses 6.1.3 and 8.3)</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Evidence of competence (Clause 7.2)</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Results of monitoring and measurement (Clause 9.1)</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Internal audit programme and audit results (Clause 9.2)</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Results of management review (Clause 9.3)</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Records of nonconformities and corrective actions (Clause 10.2)</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Annex A control policies and any records those policies require</w:t>
      </w:r>
    </w:p>
    <w:p>
      <w:pPr>
        <w:pStyle w:val="Heading1"/>
        <w:spacing w:before="0" w:after="160"/>
        <w:rPr/>
      </w:pPr>
      <w:bookmarkStart w:id="5" w:name="__RefHeading___Toc369_605544599_5"/>
      <w:bookmarkEnd w:id="5"/>
      <w:r>
        <w:rPr>
          <w:rFonts w:eastAsia="Liberation Sans" w:cs="Liberation Sans" w:ascii="Liberation Sans" w:hAnsi="Liberation Sans"/>
          <w:b/>
          <w:bCs/>
          <w:color w:val="2E75B6"/>
          <w:sz w:val="30"/>
          <w:szCs w:val="30"/>
        </w:rPr>
        <w:t xml:space="preserve">Creating and Updating</w:t>
      </w:r>
    </w:p>
    <w:p>
      <w:pPr>
        <w:pStyle w:val="Normal"/>
        <w:spacing w:lineRule="exact" w:line="300" w:before="0" w:after="200"/>
        <w:rPr/>
      </w:pPr>
      <w:r>
        <w:rPr>
          <w:rFonts w:eastAsia="Times New Roman" w:cs="Times New Roman"/>
          <w:b w:val="false"/>
          <w:bCs w:val="false"/>
          <w:color w:val="1F1F1F"/>
          <w:sz w:val="22"/>
          <w:szCs w:val="22"/>
        </w:rPr>
        <w:t xml:space="preserve">When documented information is created or updated, the following attributes are applied, in line with clause 7.5.2:</w:t>
      </w:r>
    </w:p>
    <w:tbl>
      <w:tblPr>
        <w:tblW w:w="9160" w:type="dxa"/>
        <w:jc w:val="left"/>
        <w:tblInd w:w="0" w:type="dxa"/>
        <w:tblLayout w:type="fixed"/>
        <w:tblCellMar>
          <w:top w:w="80" w:type="dxa"/>
          <w:left w:w="100" w:type="dxa"/>
          <w:bottom w:w="80" w:type="dxa"/>
          <w:right w:w="100" w:type="dxa"/>
        </w:tblCellMar>
      </w:tblPr>
      <w:tblGrid>
        <w:gridCol w:w="3199"/>
        <w:gridCol w:w="5960"/>
      </w:tblGrid>
      <w:tr>
        <w:trPr>
          <w:tblHeader w:val="true"/>
        </w:trPr>
        <w:tc>
          <w:tcPr>
            <w:tcW w:w="319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Attribute</w:t>
            </w:r>
          </w:p>
        </w:tc>
        <w:tc>
          <w:tcPr>
            <w:tcW w:w="596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Requirement</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Identification and description</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Each document carries a descriptive title, the organisation name, a version number and an issue date on its title page.</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Format and media</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Word or Excel format, English language, using the standard ISMS document template. Superseded formats are converted before reissue.</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Review</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Reviewed for technical accuracy and consistency with the Statement of Applicability by the Information Security Manager before approval.</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Approval</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Approved by the accountable role recorded in the Change Log. A document is not effective until the Change Log records its approval.</w:t>
            </w:r>
          </w:p>
        </w:tc>
      </w:tr>
    </w:tbl>
    <w:p>
      <w:pPr>
        <w:pStyle w:val="Normal"/>
        <w:spacing w:lineRule="exact" w:line="300" w:before="0" w:after="200"/>
        <w:rPr/>
      </w:pPr>
      <w:r>
        <w:rPr>
          <w:rFonts w:eastAsia="Times New Roman" w:cs="Times New Roman"/>
          <w:b w:val="false"/>
          <w:bCs w:val="false"/>
          <w:color w:val="1F1F1F"/>
          <w:sz w:val="22"/>
          <w:szCs w:val="22"/>
        </w:rPr>
        <w:t xml:space="preserve">Naming and filing follow a fixed convention so that a document can be located from its clause reference alone:</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File name format: Subject_Type_Abionic_Inc with the applicable file extension, for example AccessControl_Policy_Abionic_Inc.docx</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Each document is filed in the subfolder matching its ISO 27001 clause group, never in the folder root</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Every document is registered in the Clause-to-Evidence Map with its full path, the clause it evidences and its status</w:t>
      </w:r>
    </w:p>
    <w:p>
      <w:pPr>
        <w:pStyle w:val="Heading1"/>
        <w:spacing w:before="0" w:after="160"/>
        <w:rPr/>
      </w:pPr>
      <w:bookmarkStart w:id="6" w:name="__RefHeading___Toc369_605544599_6"/>
      <w:bookmarkEnd w:id="6"/>
      <w:r>
        <w:rPr>
          <w:rFonts w:eastAsia="Liberation Sans" w:cs="Liberation Sans" w:ascii="Liberation Sans" w:hAnsi="Liberation Sans"/>
          <w:b/>
          <w:bCs/>
          <w:color w:val="2E75B6"/>
          <w:sz w:val="30"/>
          <w:szCs w:val="30"/>
        </w:rPr>
        <w:t xml:space="preserve">Control of Documented Information</w:t>
      </w:r>
    </w:p>
    <w:p>
      <w:pPr>
        <w:pStyle w:val="Normal"/>
        <w:spacing w:lineRule="exact" w:line="300" w:before="0" w:after="200"/>
        <w:rPr/>
      </w:pPr>
      <w:r>
        <w:rPr>
          <w:rFonts w:eastAsia="Times New Roman" w:cs="Times New Roman"/>
          <w:b w:val="false"/>
          <w:bCs w:val="false"/>
          <w:color w:val="1F1F1F"/>
          <w:sz w:val="22"/>
          <w:szCs w:val="22"/>
        </w:rPr>
        <w:t xml:space="preserve">Documented information is controlled so that it is available where needed and adequately protected, in line with clause 7.5.3:</w:t>
      </w:r>
    </w:p>
    <w:tbl>
      <w:tblPr>
        <w:tblW w:w="9160" w:type="dxa"/>
        <w:jc w:val="left"/>
        <w:tblInd w:w="0" w:type="dxa"/>
        <w:tblLayout w:type="fixed"/>
        <w:tblCellMar>
          <w:top w:w="80" w:type="dxa"/>
          <w:left w:w="100" w:type="dxa"/>
          <w:bottom w:w="80" w:type="dxa"/>
          <w:right w:w="100" w:type="dxa"/>
        </w:tblCellMar>
      </w:tblPr>
      <w:tblGrid>
        <w:gridCol w:w="3199"/>
        <w:gridCol w:w="5960"/>
      </w:tblGrid>
      <w:tr>
        <w:trPr>
          <w:tblHeader w:val="true"/>
        </w:trPr>
        <w:tc>
          <w:tcPr>
            <w:tcW w:w="319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Control</w:t>
            </w:r>
          </w:p>
        </w:tc>
        <w:tc>
          <w:tcPr>
            <w:tcW w:w="596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How it is applied</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Distribution and access</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Access is granted on a least-privilege basis in line with the Access Control Policy. Read access is granted by role; edit access is limited to the document owner and the Information Security Manager.</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Storage and preservation</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Held in the controlled ISMS repository with versioning enabled and backup in line with the Business Continuity and Disaster Recovery Policy.</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Version control</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Whole-number versions for approved releases, decimal versions for drafts. The Change Log is the authoritative version history; the file name carries no version suffix.</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Change control</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Any change to an approved document requires a new Change Log entry recording the date, author, description, approver and next review date.</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Retention</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Retained per the schedule below and per the Data Retention and Disposal Policy, whichever period is longer.</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Disposal</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Superseded versions are retained for the audit trail, not deleted. Disposal at end of retention follows the Data Retention and Disposal Policy.</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Documents of external origin</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Identified as external on receipt, registered in the Clause-to-Evidence Map, and controlled for distribution in the same way as internal documents. External documents are never edited.</w:t>
            </w:r>
          </w:p>
        </w:tc>
      </w:tr>
    </w:tbl>
    <w:p>
      <w:pPr>
        <w:pStyle w:val="Heading1"/>
        <w:spacing w:before="0" w:after="160"/>
        <w:rPr/>
      </w:pPr>
      <w:bookmarkStart w:id="7" w:name="__RefHeading___Toc369_605544599_7"/>
      <w:bookmarkEnd w:id="7"/>
      <w:r>
        <w:rPr>
          <w:rFonts w:eastAsia="Liberation Sans" w:cs="Liberation Sans" w:ascii="Liberation Sans" w:hAnsi="Liberation Sans"/>
          <w:b/>
          <w:bCs/>
          <w:color w:val="2E75B6"/>
          <w:sz w:val="30"/>
          <w:szCs w:val="30"/>
        </w:rPr>
        <w:t xml:space="preserve">Retention and Disposal Schedule</w:t>
      </w:r>
    </w:p>
    <w:tbl>
      <w:tblPr>
        <w:tblW w:w="9360" w:type="dxa"/>
        <w:jc w:val="left"/>
        <w:tblInd w:w="0" w:type="dxa"/>
        <w:tblLayout w:type="fixed"/>
        <w:tblCellMar>
          <w:top w:w="80" w:type="dxa"/>
          <w:left w:w="100" w:type="dxa"/>
          <w:bottom w:w="80" w:type="dxa"/>
          <w:right w:w="100" w:type="dxa"/>
        </w:tblCellMar>
      </w:tblPr>
      <w:tblGrid>
        <w:gridCol w:w="1799"/>
        <w:gridCol w:w="2201"/>
        <w:gridCol w:w="1399"/>
        <w:gridCol w:w="1700"/>
        <w:gridCol w:w="2261"/>
      </w:tblGrid>
      <w:tr>
        <w:trPr>
          <w:tblHeader w:val="true"/>
        </w:trPr>
        <w:tc>
          <w:tcPr>
            <w:tcW w:w="179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Document Type</w:t>
            </w:r>
          </w:p>
        </w:tc>
        <w:tc>
          <w:tcPr>
            <w:tcW w:w="2201"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Owner</w:t>
            </w:r>
          </w:p>
        </w:tc>
        <w:tc>
          <w:tcPr>
            <w:tcW w:w="139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Storage Location</w:t>
            </w:r>
          </w:p>
        </w:tc>
        <w:tc>
          <w:tcPr>
            <w:tcW w:w="17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Retention Period</w:t>
            </w:r>
          </w:p>
        </w:tc>
        <w:tc>
          <w:tcPr>
            <w:tcW w:w="2261"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Disposal Method</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ISMS core documents (scope, policy, objectives)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c>
          <w:tcPr>
            <w:tcW w:w="1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Controlled ISMS repository</w:t>
            </w:r>
          </w:p>
        </w:tc>
        <w:tc>
          <w:tcPr>
            <w:tcW w:w="17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Life of the ISMS plus 3 years</w:t>
            </w:r>
          </w:p>
        </w:tc>
        <w:tc>
          <w:tcPr>
            <w:tcW w:w="226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Secure deletion</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Risk assessment and treatment records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GRC Analyst</w:t>
            </w:r>
          </w:p>
        </w:tc>
        <w:tc>
          <w:tcPr>
            <w:tcW w:w="1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Controlled ISMS repository</w:t>
            </w:r>
          </w:p>
        </w:tc>
        <w:tc>
          <w:tcPr>
            <w:tcW w:w="17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6 years</w:t>
            </w:r>
          </w:p>
        </w:tc>
        <w:tc>
          <w:tcPr>
            <w:tcW w:w="226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Secure deletion</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Statement of Applicability</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c>
          <w:tcPr>
            <w:tcW w:w="1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Controlled ISMS repository</w:t>
            </w:r>
          </w:p>
        </w:tc>
        <w:tc>
          <w:tcPr>
            <w:tcW w:w="17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Life of the ISMS plus 3 years</w:t>
            </w:r>
          </w:p>
        </w:tc>
        <w:tc>
          <w:tcPr>
            <w:tcW w:w="226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Secure deletion</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Internal audit records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GRC Analyst</w:t>
            </w:r>
          </w:p>
        </w:tc>
        <w:tc>
          <w:tcPr>
            <w:tcW w:w="1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Controlled ISMS repository</w:t>
            </w:r>
          </w:p>
        </w:tc>
        <w:tc>
          <w:tcPr>
            <w:tcW w:w="17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3 years</w:t>
            </w:r>
          </w:p>
        </w:tc>
        <w:tc>
          <w:tcPr>
            <w:tcW w:w="226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Secure deletion</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Management review records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c>
          <w:tcPr>
            <w:tcW w:w="1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Controlled ISMS repository</w:t>
            </w:r>
          </w:p>
        </w:tc>
        <w:tc>
          <w:tcPr>
            <w:tcW w:w="17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3 years</w:t>
            </w:r>
          </w:p>
        </w:tc>
        <w:tc>
          <w:tcPr>
            <w:tcW w:w="226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Secure deletion</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Competence and awareness records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c>
          <w:tcPr>
            <w:tcW w:w="1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Controlled ISMS repository</w:t>
            </w:r>
          </w:p>
        </w:tc>
        <w:tc>
          <w:tcPr>
            <w:tcW w:w="17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Duration of employment plus 2 years</w:t>
            </w:r>
          </w:p>
        </w:tc>
        <w:tc>
          <w:tcPr>
            <w:tcW w:w="226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Secure deletion</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Nonconformity and corrective action records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GRC Analyst</w:t>
            </w:r>
          </w:p>
        </w:tc>
        <w:tc>
          <w:tcPr>
            <w:tcW w:w="1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Controlled ISMS repository</w:t>
            </w:r>
          </w:p>
        </w:tc>
        <w:tc>
          <w:tcPr>
            <w:tcW w:w="17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3 years after closure</w:t>
            </w:r>
          </w:p>
        </w:tc>
        <w:tc>
          <w:tcPr>
            <w:tcW w:w="226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Secure deletion</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Annex A control policies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Document owner named in the policy</w:t>
            </w:r>
          </w:p>
        </w:tc>
        <w:tc>
          <w:tcPr>
            <w:tcW w:w="1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Controlled ISMS repository</w:t>
            </w:r>
          </w:p>
        </w:tc>
        <w:tc>
          <w:tcPr>
            <w:tcW w:w="17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Life of the ISMS plus 3 years</w:t>
            </w:r>
          </w:p>
        </w:tc>
        <w:tc>
          <w:tcPr>
            <w:tcW w:w="226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Secure deletion</w:t>
            </w:r>
          </w:p>
        </w:tc>
      </w:tr>
    </w:tbl>
    <w:p>
      <w:pPr>
        <w:pStyle w:val="Heading1"/>
        <w:spacing w:before="0" w:after="160"/>
        <w:rPr/>
      </w:pPr>
      <w:bookmarkStart w:id="8" w:name="__RefHeading___Toc369_605544599_8"/>
      <w:bookmarkEnd w:id="8"/>
      <w:r>
        <w:rPr>
          <w:rFonts w:eastAsia="Liberation Sans" w:cs="Liberation Sans" w:ascii="Liberation Sans" w:hAnsi="Liberation Sans"/>
          <w:b/>
          <w:bCs/>
          <w:color w:val="2E75B6"/>
          <w:sz w:val="30"/>
          <w:szCs w:val="30"/>
        </w:rPr>
        <w:t xml:space="preserve">Records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Change Log entries in each controlled document</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The Clause-to-Evidence Map, which serves as the ISMS document register</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The Control Evidence Tracker, which maps Annex A controls to the policies that implement them</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Repository version history and access logs</w:t>
      </w:r>
    </w:p>
    <w:p>
      <w:pPr>
        <w:pStyle w:val="Heading1"/>
        <w:spacing w:before="0" w:after="160"/>
        <w:rPr/>
      </w:pPr>
      <w:bookmarkStart w:id="9" w:name="__RefHeading___Toc369_605544599_9"/>
      <w:bookmarkEnd w:id="9"/>
      <w:r>
        <w:rPr>
          <w:rFonts w:eastAsia="Liberation Sans" w:cs="Liberation Sans" w:ascii="Liberation Sans" w:hAnsi="Liberation Sans"/>
          <w:b/>
          <w:bCs/>
          <w:color w:val="2E75B6"/>
          <w:sz w:val="30"/>
          <w:szCs w:val="30"/>
        </w:rPr>
        <w:t xml:space="preserve">Roles and Responsibilities</w:t>
      </w:r>
    </w:p>
    <w:tbl>
      <w:tblPr>
        <w:tblW w:w="9160" w:type="dxa"/>
        <w:jc w:val="left"/>
        <w:tblInd w:w="0" w:type="dxa"/>
        <w:tblLayout w:type="fixed"/>
        <w:tblCellMar>
          <w:top w:w="80" w:type="dxa"/>
          <w:left w:w="100" w:type="dxa"/>
          <w:bottom w:w="80" w:type="dxa"/>
          <w:right w:w="100" w:type="dxa"/>
        </w:tblCellMar>
      </w:tblPr>
      <w:tblGrid>
        <w:gridCol w:w="3199"/>
        <w:gridCol w:w="5960"/>
      </w:tblGrid>
      <w:tr>
        <w:trPr>
          <w:tblHeader w:val="true"/>
        </w:trPr>
        <w:tc>
          <w:tcPr>
            <w:tcW w:w="319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Role</w:t>
            </w:r>
          </w:p>
        </w:tc>
        <w:tc>
          <w:tcPr>
            <w:tcW w:w="596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Responsibilities</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Information Security Manager</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Owns this procedure. Reviews and approves ISMS documents, arbitrates conflicts between a policy and the Statement of Applicability, and confirms the document set is complete before an audit.</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GRC Analyst</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Maintains the Clause-to-Evidence Map and the Control Evidence Tracker, applies the naming and filing convention, and monitors review dates.</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Document owners</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Draft and update the documents they own, raise Change Log entries, and submit changes for review and approval.</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All personnel</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Use only the current approved version from the controlled repository. Local or forwarded copies are uncontrolled.</w:t>
            </w:r>
          </w:p>
        </w:tc>
      </w:tr>
    </w:tbl>
    <w:p>
      <w:pPr>
        <w:pStyle w:val="Heading1"/>
        <w:spacing w:before="0" w:after="160"/>
        <w:rPr/>
      </w:pPr>
      <w:bookmarkStart w:id="10" w:name="__RefHeading___Toc369_605544599_10"/>
      <w:bookmarkEnd w:id="10"/>
      <w:r>
        <w:rPr>
          <w:rFonts w:eastAsia="Liberation Sans" w:cs="Liberation Sans" w:ascii="Liberation Sans" w:hAnsi="Liberation Sans"/>
          <w:b/>
          <w:bCs/>
          <w:color w:val="2E75B6"/>
          <w:sz w:val="30"/>
          <w:szCs w:val="30"/>
        </w:rPr>
        <w:t xml:space="preserve">Review and Updates</w:t>
      </w:r>
    </w:p>
    <w:p>
      <w:pPr>
        <w:pStyle w:val="Normal"/>
        <w:spacing w:lineRule="exact" w:line="300" w:before="0" w:after="200"/>
        <w:rPr/>
      </w:pPr>
      <w:r>
        <w:rPr>
          <w:rFonts w:eastAsia="Times New Roman" w:cs="Times New Roman"/>
          <w:b w:val="false"/>
          <w:bCs w:val="false"/>
          <w:color w:val="1F1F1F"/>
          <w:sz w:val="22"/>
          <w:szCs w:val="22"/>
        </w:rPr>
        <w:t xml:space="preserve">This document is reviewed:</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Annually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Following any change to the ISMS scope or the document repository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After an internal or external audit finding relating to documented information</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Georgia">
    <w:charset w:val="01"/>
    <w:family w:val="roman"/>
    <w:pitch w:val="variable"/>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Documented Information Control Procedure - 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Documented Information Control Procedure - Confidential</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2026-08-30T15:44:23Z</dcterms:created>
  <dc:creator>Abionic Inc.</dc:creator>
  <dc:description/>
  <dc:language>en-US</dc:language>
  <cp:lastModifiedBy>Abionic Inc.</cp:lastModifiedBy>
  <dcterms:modified xsi:type="dcterms:W3CDTF">2026-08-30T15:46:32Z</dcterms:modified>
  <cp:revision>2</cp:revision>
  <dc:subject/>
  <dc:title/>
</cp:coreProperties>
</file>