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ISMS Resources Statement</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1.0</w:t>
      </w:r>
    </w:p>
    <w:p>
      <w:pPr>
        <w:pStyle w:val="Normal"/>
        <w:jc w:val="center"/>
        <w:rPr/>
      </w:pPr>
      <w:r>
        <w:rPr>
          <w:rFonts w:eastAsia="Times New Roman" w:cs="Times New Roman"/>
          <w:sz w:val="22"/>
          <w:szCs w:val="22"/>
        </w:rPr>
        <w:t>August 31,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p>
        <w:p>
          <w:pPr>
            <w:pStyle w:val="TOC1"/>
            <w:tabs>
              <w:tab w:val="clear" w:pos="9360"/>
              <w:tab w:val="right" w:pos="9359" w:leader="dot"/>
            </w:tabs>
            <w:rPr/>
          </w:pPr>
          <w:hyperlink w:anchor="__RefHeading___Toc369_605544599">
            <w:r>
              <w:rPr>
                <w:rStyle w:val="IndexLink"/>
              </w:rPr>
              <w:t xml:space="preserve">Change Log</w:t>
              <w:tab/>
              <w:t xml:space="preserve">3</w:t>
            </w:r>
          </w:hyperlink>
        </w:p>
        <w:p>
          <w:pPr>
            <w:pStyle w:val="TOC1"/>
            <w:tabs>
              <w:tab w:val="clear" w:pos="9360"/>
              <w:tab w:val="right" w:pos="9359" w:leader="dot"/>
            </w:tabs>
            <w:rPr/>
          </w:pPr>
          <w:hyperlink w:anchor="__RefHeading___Toc369_605544599">
            <w:r>
              <w:rPr>
                <w:rStyle w:val="IndexLink"/>
              </w:rPr>
              <w:t xml:space="preserve">Purpose</w:t>
              <w:tab/>
              <w:t xml:space="preserve">4</w:t>
            </w:r>
          </w:hyperlink>
        </w:p>
        <w:p>
          <w:pPr>
            <w:pStyle w:val="TOC1"/>
            <w:tabs>
              <w:tab w:val="clear" w:pos="9360"/>
              <w:tab w:val="right" w:pos="9359" w:leader="dot"/>
            </w:tabs>
            <w:rPr/>
          </w:pPr>
          <w:hyperlink w:anchor="__RefHeading___Toc369_605544599">
            <w:r>
              <w:rPr>
                <w:rStyle w:val="IndexLink"/>
              </w:rPr>
              <w:t xml:space="preserve">Scope</w:t>
              <w:tab/>
              <w:t xml:space="preserve">4</w:t>
            </w:r>
          </w:hyperlink>
        </w:p>
        <w:p>
          <w:pPr>
            <w:pStyle w:val="TOC1"/>
            <w:tabs>
              <w:tab w:val="clear" w:pos="9360"/>
              <w:tab w:val="right" w:pos="9359" w:leader="dot"/>
            </w:tabs>
            <w:rPr/>
          </w:pPr>
          <w:hyperlink w:anchor="__RefHeading___Toc369_605544599">
            <w:r>
              <w:rPr>
                <w:rStyle w:val="IndexLink"/>
              </w:rPr>
              <w:t xml:space="preserve">People and Time</w:t>
              <w:tab/>
              <w:t xml:space="preserve">4</w:t>
            </w:r>
          </w:hyperlink>
        </w:p>
        <w:p>
          <w:pPr>
            <w:pStyle w:val="TOC1"/>
            <w:tabs>
              <w:tab w:val="clear" w:pos="9360"/>
              <w:tab w:val="right" w:pos="9359" w:leader="dot"/>
            </w:tabs>
            <w:rPr/>
          </w:pPr>
          <w:hyperlink w:anchor="__RefHeading___Toc369_605544599">
            <w:r>
              <w:rPr>
                <w:rStyle w:val="IndexLink"/>
              </w:rPr>
              <w:t xml:space="preserve">Tooling and Infrastructure</w:t>
              <w:tab/>
              <w:t xml:space="preserve">5</w:t>
            </w:r>
          </w:hyperlink>
        </w:p>
        <w:p>
          <w:pPr>
            <w:pStyle w:val="TOC1"/>
            <w:tabs>
              <w:tab w:val="clear" w:pos="9360"/>
              <w:tab w:val="right" w:pos="9359" w:leader="dot"/>
            </w:tabs>
            <w:rPr/>
          </w:pPr>
          <w:hyperlink w:anchor="__RefHeading___Toc369_605544599">
            <w:r>
              <w:rPr>
                <w:rStyle w:val="IndexLink"/>
              </w:rPr>
              <w:t xml:space="preserve">Budget and External Support</w:t>
              <w:tab/>
              <w:t xml:space="preserve">5</w:t>
            </w:r>
          </w:hyperlink>
        </w:p>
        <w:p>
          <w:pPr>
            <w:pStyle w:val="TOC1"/>
            <w:tabs>
              <w:tab w:val="clear" w:pos="9360"/>
              <w:tab w:val="right" w:pos="9359" w:leader="dot"/>
            </w:tabs>
            <w:rPr/>
          </w:pPr>
          <w:hyperlink w:anchor="__RefHeading___Toc369_605544599">
            <w:r>
              <w:rPr>
                <w:rStyle w:val="IndexLink"/>
              </w:rPr>
              <w:t xml:space="preserve">Adequacy Review</w:t>
              <w:tab/>
              <w:t xml:space="preserve">5</w:t>
            </w:r>
          </w:hyperlink>
        </w:p>
        <w:p>
          <w:pPr>
            <w:pStyle w:val="TOC1"/>
            <w:tabs>
              <w:tab w:val="clear" w:pos="9360"/>
              <w:tab w:val="right" w:pos="9359" w:leader="dot"/>
            </w:tabs>
            <w:rPr/>
          </w:pPr>
          <w:hyperlink w:anchor="__RefHeading___Toc369_605544599">
            <w:r>
              <w:rPr>
                <w:rStyle w:val="IndexLink"/>
              </w:rPr>
              <w:t xml:space="preserve">Review and Updates</w:t>
              <w:tab/>
              <w:t xml:space="preserve">5</w:t>
            </w:r>
          </w:hyperlink>
        </w:p>
      </w:sdtContent>
    </w:sdt>
    <w:p>
      <w:pPr>
        <w:pStyle w:val="Normal"/>
        <w:rPr/>
      </w:pPr>
      <w:r>
        <w:rPr/>
      </w:r>
    </w:p>
    <w:p>
      <w:pPr>
        <w:pStyle w:val="Normal"/>
        <w:rPr/>
      </w:pPr>
      <w:r>
        <w:rPr/>
      </w:r>
      <w:r>
        <w:br w:type="page"/>
      </w:r>
    </w:p>
    <w:p>
      <w:pPr>
        <w:pStyle w:val="Heading1"/>
        <w:spacing w:before="0" w:after="160"/>
        <w:rPr/>
      </w:pPr>
      <w:bookmarkStart w:id="1" w:name="__RefHeading___Toc369_605544599"/>
      <w:bookmarkEnd w:id="1"/>
      <w:r>
        <w:rPr>
          <w:rFonts w:eastAsia="Liberation Sans" w:cs="Liberation Sans" w:ascii="Liberation Sans" w:hAnsi="Liberation Sans"/>
          <w:b/>
          <w:bCs/>
          <w:color w:val="2E75B6"/>
          <w:sz w:val="30"/>
          <w:szCs w:val="30"/>
        </w:rPr>
        <w:t xml:space="preserve">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Next Review</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2026</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1.0</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GRC Analyst</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Initial version</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2026</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Annually</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2027</w:t>
            </w:r>
          </w:p>
        </w:tc>
      </w:tr>
    </w:tbl>
    <w:p>
      <w:pPr>
        <w:pStyle w:val="Normal"/>
        <w:rPr/>
      </w:pPr>
      <w:r>
        <w:rPr/>
      </w:r>
      <w:r>
        <w:br w:type="page"/>
      </w:r>
    </w:p>
    <w:p>
      <w:pPr>
        <w:pStyle w:val="Heading1"/>
        <w:spacing w:before="0" w:after="160"/>
        <w:rPr/>
      </w:pPr>
      <w:bookmarkStart w:id="2" w:name="__RefHeading___Toc369_605544599_2"/>
      <w:bookmarkEnd w:id="2"/>
      <w:r>
        <w:rPr>
          <w:rFonts w:eastAsia="Liberation Sans" w:cs="Liberation Sans" w:ascii="Liberation Sans" w:hAnsi="Liberation Sans"/>
          <w:b/>
          <w:bCs/>
          <w:color w:val="2E75B6"/>
          <w:sz w:val="30"/>
          <w:szCs w:val="30"/>
        </w:rPr>
        <w:t xml:space="preserve">Purpose</w:t>
      </w:r>
    </w:p>
    <w:p>
      <w:pPr>
        <w:pStyle w:val="Normal"/>
        <w:spacing w:lineRule="exact" w:line="300" w:before="0" w:after="200"/>
        <w:rPr/>
      </w:pPr>
      <w:r>
        <w:rPr>
          <w:rFonts w:eastAsia="Times New Roman" w:cs="Times New Roman"/>
          <w:b w:val="false"/>
          <w:bCs w:val="false"/>
          <w:color w:val="1F1F1F"/>
          <w:sz w:val="22"/>
          <w:szCs w:val="22"/>
        </w:rPr>
        <w:t xml:space="preserve">This statement determines and records the resources needed to establish, implement, maintain and continually improve Abionic Inc.'s information security management system. It satisfies ISO/IEC 27001:2022 clause 7.1.</w:t>
      </w:r>
    </w:p>
    <w:p>
      <w:pPr>
        <w:pStyle w:val="Heading1"/>
        <w:spacing w:before="0" w:after="160"/>
        <w:rPr/>
      </w:pPr>
      <w:bookmarkStart w:id="3" w:name="__RefHeading___Toc369_605544599_3"/>
      <w:bookmarkEnd w:id="3"/>
      <w:r>
        <w:rPr>
          <w:rFonts w:eastAsia="Liberation Sans" w:cs="Liberation Sans" w:ascii="Liberation Sans" w:hAnsi="Liberation Sans"/>
          <w:b/>
          <w:bCs/>
          <w:color w:val="2E75B6"/>
          <w:sz w:val="30"/>
          <w:szCs w:val="30"/>
        </w:rPr>
        <w:t xml:space="preserve">Scope</w:t>
      </w:r>
    </w:p>
    <w:p>
      <w:pPr>
        <w:pStyle w:val="Normal"/>
        <w:spacing w:lineRule="exact" w:line="300" w:before="0" w:after="200"/>
        <w:rPr/>
      </w:pPr>
      <w:r>
        <w:rPr>
          <w:rFonts w:eastAsia="Times New Roman" w:cs="Times New Roman"/>
          <w:b w:val="false"/>
          <w:bCs w:val="false"/>
          <w:color w:val="1F1F1F"/>
          <w:sz w:val="22"/>
          <w:szCs w:val="22"/>
        </w:rPr>
        <w:t xml:space="preserve">Covers people, time, tooling, budget and external support allocated to the ISMS. It does not cover competence requirements for individual roles, which are held in the Competence Records.</w:t>
      </w:r>
    </w:p>
    <w:p>
      <w:pPr>
        <w:pStyle w:val="Heading1"/>
        <w:spacing w:before="0" w:after="160"/>
        <w:rPr/>
      </w:pPr>
      <w:bookmarkStart w:id="4" w:name="__RefHeading___Toc369_605544599_4"/>
      <w:bookmarkEnd w:id="4"/>
      <w:r>
        <w:rPr>
          <w:rFonts w:eastAsia="Liberation Sans" w:cs="Liberation Sans" w:ascii="Liberation Sans" w:hAnsi="Liberation Sans"/>
          <w:b/>
          <w:bCs/>
          <w:color w:val="2E75B6"/>
          <w:sz w:val="30"/>
          <w:szCs w:val="30"/>
        </w:rPr>
        <w:t xml:space="preserve">People and Time</w:t>
      </w:r>
    </w:p>
    <w:tbl>
      <w:tblPr>
        <w:tblW w:w="9360" w:type="dxa"/>
        <w:jc w:val="left"/>
        <w:tblInd w:w="0" w:type="dxa"/>
        <w:tblLayout w:type="fixed"/>
        <w:tblCellMar>
          <w:top w:w="80" w:type="dxa"/>
          <w:left w:w="100" w:type="dxa"/>
          <w:bottom w:w="80" w:type="dxa"/>
          <w:right w:w="100" w:type="dxa"/>
        </w:tblCellMar>
      </w:tblPr>
      <w:tblGrid>
        <w:gridCol w:w="3120"/>
        <w:gridCol w:w="3120"/>
        <w:gridCol w:w="3120"/>
      </w:tblGrid>
      <w:tr>
        <w:trPr>
          <w:tblHeader w:val="true"/>
        </w:trPr>
        <w:tc>
          <w:tcPr>
            <w:tcW w:w="312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Role</w:t>
            </w:r>
          </w:p>
        </w:tc>
        <w:tc>
          <w:tcPr>
            <w:tcW w:w="312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ISMS Responsibility</w:t>
            </w:r>
          </w:p>
        </w:tc>
        <w:tc>
          <w:tcPr>
            <w:tcW w:w="312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Time Allocation</w:t>
            </w:r>
          </w:p>
        </w:tc>
      </w:tr>
      <w:tr>
        <w:trPr/>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Information Security Manager</w:t>
            </w:r>
          </w:p>
        </w:tc>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Owns the ISMS, chairs management review, approves documents and Normal changes</w:t>
            </w:r>
          </w:p>
        </w:tc>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Approximately 1 day per week</w:t>
            </w:r>
          </w:p>
        </w:tc>
      </w:tr>
      <w:tr>
        <w:trPr/>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GRC Analyst</w:t>
            </w:r>
          </w:p>
        </w:tc>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Maintains the evidence map, control tracker, risk register and audit records</w:t>
            </w:r>
          </w:p>
        </w:tc>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Approximately 1 day per week</w:t>
            </w:r>
          </w:p>
        </w:tc>
      </w:tr>
      <w:tr>
        <w:trPr/>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Security Analyst</w:t>
            </w:r>
          </w:p>
        </w:tc>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Monitoring, vulnerability tracking, incident triage</w:t>
            </w:r>
          </w:p>
        </w:tc>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Approximately half a day per week, plus incident response as required</w:t>
            </w:r>
          </w:p>
        </w:tc>
      </w:tr>
      <w:tr>
        <w:trPr/>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IT Infrastructure Engineer</w:t>
            </w:r>
          </w:p>
        </w:tc>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Implements and maintains technical controls in AWS and the CI/CD pipeline</w:t>
            </w:r>
          </w:p>
        </w:tc>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Embedded in normal duties</w:t>
            </w:r>
          </w:p>
        </w:tc>
      </w:tr>
      <w:tr>
        <w:trPr/>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Developer</w:t>
            </w:r>
          </w:p>
        </w:tc>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Applies the secure development lifecycle</w:t>
            </w:r>
          </w:p>
        </w:tc>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Embedded in normal duties</w:t>
            </w:r>
          </w:p>
        </w:tc>
      </w:tr>
      <w:tr>
        <w:trPr/>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Chief Executive Officer</w:t>
            </w:r>
          </w:p>
        </w:tc>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Leadership, resourcing decisions, external and regulatory communication</w:t>
            </w:r>
          </w:p>
        </w:tc>
        <w:tc>
          <w:tcPr>
            <w:tcW w:w="312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Attends quarterly management review</w:t>
            </w:r>
          </w:p>
        </w:tc>
      </w:tr>
    </w:tbl>
    <w:p>
      <w:pPr>
        <w:pStyle w:val="Heading1"/>
        <w:spacing w:before="0" w:after="160"/>
        <w:rPr/>
      </w:pPr>
      <w:bookmarkStart w:id="5" w:name="__RefHeading___Toc369_605544599_5"/>
      <w:bookmarkEnd w:id="5"/>
      <w:r>
        <w:rPr>
          <w:rFonts w:eastAsia="Liberation Sans" w:cs="Liberation Sans" w:ascii="Liberation Sans" w:hAnsi="Liberation Sans"/>
          <w:b/>
          <w:bCs/>
          <w:color w:val="2E75B6"/>
          <w:sz w:val="30"/>
          <w:szCs w:val="30"/>
        </w:rPr>
        <w:t xml:space="preserve">Tooling and Infrastructure</w:t>
      </w:r>
    </w:p>
    <w:p>
      <w:pPr>
        <w:pStyle w:val="Normal"/>
        <w:spacing w:lineRule="exact" w:line="300" w:before="0" w:after="200"/>
        <w:rPr/>
      </w:pPr>
      <w:r>
        <w:rPr>
          <w:rFonts w:eastAsia="Times New Roman" w:cs="Times New Roman"/>
          <w:b w:val="false"/>
          <w:bCs w:val="false"/>
          <w:color w:val="1F1F1F"/>
          <w:sz w:val="22"/>
          <w:szCs w:val="22"/>
        </w:rPr>
        <w:t xml:space="preserve">The ISMS relies on capability already present in the delivery estate rather than a separate security toolchain:</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AWS native security and logging services for the production environment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Source control and CI/CD platform controls for pipeline and code integrity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Endpoint protection and device management for laptops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The controlled ISMS document repository with version history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 vulnerability scanning capability covering internet-facing services</w:t>
      </w:r>
    </w:p>
    <w:p>
      <w:pPr>
        <w:pStyle w:val="Heading1"/>
        <w:spacing w:before="0" w:after="160"/>
        <w:rPr/>
      </w:pPr>
      <w:bookmarkStart w:id="6" w:name="__RefHeading___Toc369_605544599_6"/>
      <w:bookmarkEnd w:id="6"/>
      <w:r>
        <w:rPr>
          <w:rFonts w:eastAsia="Liberation Sans" w:cs="Liberation Sans" w:ascii="Liberation Sans" w:hAnsi="Liberation Sans"/>
          <w:b/>
          <w:bCs/>
          <w:color w:val="2E75B6"/>
          <w:sz w:val="30"/>
          <w:szCs w:val="30"/>
        </w:rPr>
        <w:t xml:space="preserve">Budget and External Support</w:t>
      </w:r>
    </w:p>
    <w:p>
      <w:pPr>
        <w:pStyle w:val="Normal"/>
        <w:spacing w:lineRule="exact" w:line="300" w:before="0" w:after="200"/>
        <w:rPr/>
      </w:pPr>
      <w:r>
        <w:rPr>
          <w:rFonts w:eastAsia="Times New Roman" w:cs="Times New Roman"/>
          <w:b w:val="false"/>
          <w:bCs w:val="false"/>
          <w:color w:val="1F1F1F"/>
          <w:sz w:val="22"/>
          <w:szCs w:val="22"/>
        </w:rPr>
        <w:t xml:space="preserve">Budget is approved annually by the Chief Executive Officer and covers tooling subscriptions, awareness material, penetration testing, and external audit fees. External specialist support is engaged for penetration testing and for certification audit, on the basis that these require independence from the team that built the controls.</w:t>
      </w:r>
    </w:p>
    <w:p>
      <w:pPr>
        <w:pStyle w:val="Heading1"/>
        <w:spacing w:before="0" w:after="160"/>
        <w:rPr/>
      </w:pPr>
      <w:bookmarkStart w:id="7" w:name="__RefHeading___Toc369_605544599_7"/>
      <w:bookmarkEnd w:id="7"/>
      <w:r>
        <w:rPr>
          <w:rFonts w:eastAsia="Liberation Sans" w:cs="Liberation Sans" w:ascii="Liberation Sans" w:hAnsi="Liberation Sans"/>
          <w:b/>
          <w:bCs/>
          <w:color w:val="2E75B6"/>
          <w:sz w:val="30"/>
          <w:szCs w:val="30"/>
        </w:rPr>
        <w:t xml:space="preserve">Adequacy Review</w:t>
      </w:r>
    </w:p>
    <w:p>
      <w:pPr>
        <w:pStyle w:val="Normal"/>
        <w:spacing w:lineRule="exact" w:line="300" w:before="0" w:after="200"/>
        <w:rPr/>
      </w:pPr>
      <w:r>
        <w:rPr>
          <w:rFonts w:eastAsia="Times New Roman" w:cs="Times New Roman"/>
          <w:b w:val="false"/>
          <w:bCs w:val="false"/>
          <w:color w:val="1F1F1F"/>
          <w:sz w:val="22"/>
          <w:szCs w:val="22"/>
        </w:rPr>
        <w:t xml:space="preserve">Resource adequacy is a standing input to management review under clause 9.3. Where an objective is missed, an audit finding is raised, or an incident indicates insufficient capacity, the resource allocation above is revisited and the change recorded here.</w:t>
      </w:r>
    </w:p>
    <w:p>
      <w:pPr>
        <w:pStyle w:val="Heading1"/>
        <w:spacing w:before="0" w:after="160"/>
        <w:rPr/>
      </w:pPr>
      <w:bookmarkStart w:id="8" w:name="__RefHeading___Toc369_605544599_8"/>
      <w:bookmarkEnd w:id="8"/>
      <w:r>
        <w:rPr>
          <w:rFonts w:eastAsia="Liberation Sans" w:cs="Liberation Sans" w:ascii="Liberation Sans" w:hAnsi="Liberation Sans"/>
          <w:b/>
          <w:bCs/>
          <w:color w:val="2E75B6"/>
          <w:sz w:val="30"/>
          <w:szCs w:val="30"/>
        </w:rPr>
        <w:t xml:space="preserve">Review and Updates</w:t>
      </w:r>
    </w:p>
    <w:p>
      <w:pPr>
        <w:pStyle w:val="Normal"/>
        <w:spacing w:lineRule="exact" w:line="300" w:before="0" w:after="200"/>
        <w:rPr/>
      </w:pPr>
      <w:r>
        <w:rPr>
          <w:rFonts w:eastAsia="Times New Roman" w:cs="Times New Roman"/>
          <w:b w:val="false"/>
          <w:bCs w:val="false"/>
          <w:color w:val="1F1F1F"/>
          <w:sz w:val="22"/>
          <w:szCs w:val="22"/>
        </w:rPr>
        <w:t xml:space="preserve">This document is reviewed:</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Annually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At each management review where resourcing is raised as an issue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On a material change to headcount, scope or the delivery estate</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ISMS Resources Statement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ISMS Resources Statement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2026-08-30T15:44:23Z</dcterms:created>
  <dc:creator>Abionic Inc.</dc:creator>
  <dc:description/>
  <dc:language>en-US</dc:language>
  <cp:lastModifiedBy>Abionic Inc.</cp:lastModifiedBy>
  <dcterms:modified xsi:type="dcterms:W3CDTF">2026-08-30T15:46:32Z</dcterms:modified>
  <cp:revision>2</cp:revision>
  <dc:subject/>
  <dc:title/>
</cp:coreProperties>
</file>