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Asset Management &amp; Data Classification Policy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18_3269977559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_3269977559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2_3269977559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4_3269977559">
            <w:r>
              <w:rPr>
                <w:rStyle w:val="IndexLink"/>
              </w:rPr>
              <w:t>Objectives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6_3269977559">
            <w:r>
              <w:rPr>
                <w:rStyle w:val="IndexLink"/>
              </w:rPr>
              <w:t>Asset Types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8_3269977559">
            <w:r>
              <w:rPr>
                <w:rStyle w:val="IndexLink"/>
              </w:rPr>
              <w:t>Asset Inventory (Ref: A.5.9)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0_3269977559">
            <w:r>
              <w:rPr>
                <w:rStyle w:val="IndexLink"/>
              </w:rPr>
              <w:t>Asset Ownership (Ref: A.5.10)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2_3269977559">
            <w:r>
              <w:rPr>
                <w:rStyle w:val="IndexLink"/>
              </w:rPr>
              <w:t>Acceptable Use of Assets (Ref: A.5.15)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4_3269977559">
            <w:r>
              <w:rPr>
                <w:rStyle w:val="IndexLink"/>
              </w:rPr>
              <w:t>Asset Classification (Ref: A.5.12 &amp; A.8.2)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6_3269977559">
            <w:r>
              <w:rPr>
                <w:rStyle w:val="IndexLink"/>
              </w:rPr>
              <w:t>Information Labelling (Ref: A.8.3)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8_3269977559">
            <w:r>
              <w:rPr>
                <w:rStyle w:val="IndexLink"/>
              </w:rPr>
              <w:t>Media Handling (Ref: A.8.10 – A.8.12)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0_3269977559">
            <w:r>
              <w:rPr>
                <w:rStyle w:val="IndexLink"/>
              </w:rPr>
              <w:t>Asset Lifecycle Management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2_3269977559">
            <w:r>
              <w:rPr>
                <w:rStyle w:val="IndexLink"/>
              </w:rPr>
              <w:t>Roles and Responsibilities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4_3269977559">
            <w:r>
              <w:rPr>
                <w:rStyle w:val="IndexLink"/>
              </w:rPr>
              <w:t>Policy Review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18_3269977559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220_3269977559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policy establishes the framework for identifying, managing, and classifying information assets throughout their lifecycle to ensure appropriate levels of protection and accountability, in accordance with ISO/IEC 27001:2022.</w:t>
      </w:r>
    </w:p>
    <w:p>
      <w:pPr>
        <w:pStyle w:val="Heading1"/>
        <w:spacing w:before="200" w:after="160"/>
        <w:rPr/>
      </w:pPr>
      <w:bookmarkStart w:id="2" w:name="__RefHeading___Toc222_3269977559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Applies to all information assets within the scope of Abionic Inc.'s Information Security Management System (ISMS), including physical devices, software, cloud environments, data, and personnel with access to systems.</w:t>
      </w:r>
    </w:p>
    <w:p>
      <w:pPr>
        <w:pStyle w:val="Heading1"/>
        <w:spacing w:before="200" w:after="160"/>
        <w:rPr/>
      </w:pPr>
      <w:bookmarkStart w:id="3" w:name="__RefHeading___Toc224_3269977559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Objectives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Ensure all assets are inventoried, classified, and assigned ownership.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Protect assets according to their value, sensitivity, and risk level.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Prevent unauthorised access, disclosure, alteration, or destruction.</w:t>
      </w:r>
    </w:p>
    <w:p>
      <w:pPr>
        <w:pStyle w:val="Heading1"/>
        <w:spacing w:before="200" w:after="160"/>
        <w:rPr/>
      </w:pPr>
      <w:bookmarkStart w:id="4" w:name="__RefHeading___Toc226_3269977559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Asset Types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Assets covered by this policy include: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Information Assets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(e.g. source code, data, documentation)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IT Assets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(e.g. servers, laptops, CI/CD tools, GitHub)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Cloud Services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(e.g. AWS infrastructure)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Applications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(e.g. admin tools, SaaS platform)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Personnel &amp; Roles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(access rights and responsibilities)</w:t>
      </w:r>
    </w:p>
    <w:p>
      <w:pPr>
        <w:pStyle w:val="Heading1"/>
        <w:spacing w:before="200" w:after="160"/>
        <w:rPr/>
      </w:pPr>
      <w:bookmarkStart w:id="5" w:name="__RefHeading___Toc228_3269977559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Asset Inventory (Ref: A.5.9)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All assets must be recorded in an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Asset Inventory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, maintained by the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Cyber Security GRC Analyst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Each entry must include: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Asset ID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Description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Type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Location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Owner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Classification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Associated threats and vulnerabilities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inventory is reviewed at least annually and when significant changes occur.</w:t>
      </w:r>
    </w:p>
    <w:p>
      <w:pPr>
        <w:pStyle w:val="Heading1"/>
        <w:spacing w:before="200" w:after="160"/>
        <w:rPr/>
      </w:pPr>
      <w:bookmarkStart w:id="6" w:name="__RefHeading___Toc230_3269977559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Asset Ownership (Ref: A.5.10)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Each asset must be assigned an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owner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responsible for: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Ensuring the asset is properly protected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Classifying the asset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Managing changes and reporting risks</w:t>
      </w:r>
    </w:p>
    <w:p>
      <w:pPr>
        <w:pStyle w:val="Heading1"/>
        <w:spacing w:before="200" w:after="160"/>
        <w:rPr/>
      </w:pPr>
      <w:bookmarkStart w:id="7" w:name="__RefHeading___Toc232_3269977559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Acceptable Use of Assets (Ref: A.5.15)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Users must follow the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Acceptable Use Policy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when handling company assets.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Misuse, negligence, or unauthorised use will result in disciplinary action.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Employees must report lost or compromised assets immediately.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8" w:name="__RefHeading___Toc234_3269977559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Asset Classification (Ref: A.5.12 &amp; A.8.2)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Assets must be classified based on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confidentiality, integrity, and availability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Abionic uses the following classification levels: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Confidential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: Restricted to authorised personnel only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Restricted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: Limited access, operational use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Internal Use Only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: General employee access, non-public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Public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: Approved for public release</w:t>
      </w:r>
    </w:p>
    <w:p>
      <w:pPr>
        <w:pStyle w:val="Heading1"/>
        <w:spacing w:before="200" w:after="160"/>
        <w:rPr/>
      </w:pPr>
      <w:bookmarkStart w:id="9" w:name="__RefHeading___Toc236_3269977559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Information Labelling (Ref: A.8.3)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Digital and physical information must be labelled according to its classification.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Labelling must be maintained throughout the asset's lifecycle.</w:t>
      </w:r>
    </w:p>
    <w:p>
      <w:pPr>
        <w:pStyle w:val="Heading1"/>
        <w:spacing w:before="200" w:after="160"/>
        <w:rPr/>
      </w:pPr>
      <w:bookmarkStart w:id="10" w:name="__RefHeading___Toc238_3269977559"/>
      <w:bookmarkEnd w:id="1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Media Handling (Ref: A.8.10 – A.8.12)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Storage devices containing sensitive information must be: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Encrypted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Tracked for movement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Wiped before disposal or reuse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Disposal must follow secure erasure standards.</w:t>
      </w:r>
    </w:p>
    <w:p>
      <w:pPr>
        <w:pStyle w:val="Heading1"/>
        <w:spacing w:before="200" w:after="160"/>
        <w:rPr/>
      </w:pPr>
      <w:bookmarkStart w:id="11" w:name="__RefHeading___Toc240_3269977559"/>
      <w:bookmarkEnd w:id="1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Asset Lifecycle Management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Assets must be tracked from acquisition to decommissioning.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Decommissioned assets must be securely disposed of with appropriate records retained.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2" w:name="__RefHeading___Toc242_3269977559"/>
      <w:bookmarkEnd w:id="1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Roles and Responsibilities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Responsibilities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Asset Owners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Ensure asset registration, classification, and protection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Maintain inventory, support audits, track asset risks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Oversee classification policy and coordinate reviews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All Employees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1F1F1F"/>
                <w:sz w:val="20"/>
                <w:szCs w:val="20"/>
              </w:rPr>
              <w:t>Follow policies for handling, reporting, and using assets</w:t>
            </w:r>
          </w:p>
        </w:tc>
      </w:tr>
    </w:tbl>
    <w:p>
      <w:pPr>
        <w:pStyle w:val="Heading1"/>
        <w:spacing w:before="200" w:after="160"/>
        <w:rPr/>
      </w:pPr>
      <w:bookmarkStart w:id="13" w:name="__RefHeading___Toc244_3269977559"/>
      <w:bookmarkEnd w:id="1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Review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policy is reviewed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or upon significant change to the environment or regulatory requirements.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Asset Management &amp; Data Classification Policy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Asset Management &amp; Data Classification Policy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2026-08-23T17:34:05Z</dcterms:created>
  <dc:creator>Abionic Inc.</dc:creator>
  <dc:description/>
  <dc:language>en-US</dc:language>
  <cp:lastModifiedBy>Abionic Inc.</cp:lastModifiedBy>
  <dcterms:modified xsi:type="dcterms:W3CDTF">2026-08-23T17:34:13Z</dcterms:modified>
  <cp:revision>2</cp:revision>
  <dc:subject/>
  <dc:title/>
</cp:coreProperties>
</file>