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Cryptography Policy</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23,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23_1105582354">
            <w:r>
              <w:rPr>
                <w:rStyle w:val="IndexLink"/>
              </w:rPr>
              <w:t>Change Log</w:t>
              <w:tab/>
              <w:t>3</w:t>
            </w:r>
          </w:hyperlink>
        </w:p>
        <w:p>
          <w:pPr>
            <w:pStyle w:val="TOC1"/>
            <w:tabs>
              <w:tab w:val="clear" w:pos="9360"/>
              <w:tab w:val="right" w:pos="9359" w:leader="dot"/>
            </w:tabs>
            <w:rPr/>
          </w:pPr>
          <w:hyperlink w:anchor="__RefHeading___Toc225_1105582354">
            <w:r>
              <w:rPr>
                <w:rStyle w:val="IndexLink"/>
              </w:rPr>
              <w:t>Purpose</w:t>
              <w:tab/>
              <w:t>4</w:t>
            </w:r>
          </w:hyperlink>
        </w:p>
        <w:p>
          <w:pPr>
            <w:pStyle w:val="TOC1"/>
            <w:tabs>
              <w:tab w:val="clear" w:pos="9360"/>
              <w:tab w:val="right" w:pos="9359" w:leader="dot"/>
            </w:tabs>
            <w:rPr/>
          </w:pPr>
          <w:hyperlink w:anchor="__RefHeading___Toc227_1105582354">
            <w:r>
              <w:rPr>
                <w:rStyle w:val="IndexLink"/>
              </w:rPr>
              <w:t>Scope</w:t>
              <w:tab/>
              <w:t>4</w:t>
            </w:r>
          </w:hyperlink>
        </w:p>
        <w:p>
          <w:pPr>
            <w:pStyle w:val="TOC1"/>
            <w:tabs>
              <w:tab w:val="clear" w:pos="9360"/>
              <w:tab w:val="right" w:pos="9359" w:leader="dot"/>
            </w:tabs>
            <w:rPr/>
          </w:pPr>
          <w:hyperlink w:anchor="__RefHeading___Toc229_1105582354">
            <w:r>
              <w:rPr>
                <w:rStyle w:val="IndexLink"/>
              </w:rPr>
              <w:t>Objectives</w:t>
              <w:tab/>
              <w:t>4</w:t>
            </w:r>
          </w:hyperlink>
        </w:p>
        <w:p>
          <w:pPr>
            <w:pStyle w:val="TOC1"/>
            <w:tabs>
              <w:tab w:val="clear" w:pos="9360"/>
              <w:tab w:val="right" w:pos="9359" w:leader="dot"/>
            </w:tabs>
            <w:rPr/>
          </w:pPr>
          <w:hyperlink w:anchor="__RefHeading___Toc231_1105582354">
            <w:r>
              <w:rPr>
                <w:rStyle w:val="IndexLink"/>
              </w:rPr>
              <w:t>Cryptographic Use Cases (A.8.24)</w:t>
              <w:tab/>
              <w:t>4</w:t>
            </w:r>
          </w:hyperlink>
        </w:p>
        <w:p>
          <w:pPr>
            <w:pStyle w:val="TOC1"/>
            <w:tabs>
              <w:tab w:val="clear" w:pos="9360"/>
              <w:tab w:val="right" w:pos="9359" w:leader="dot"/>
            </w:tabs>
            <w:rPr/>
          </w:pPr>
          <w:hyperlink w:anchor="__RefHeading___Toc233_1105582354">
            <w:r>
              <w:rPr>
                <w:rStyle w:val="IndexLink"/>
              </w:rPr>
              <w:t>Key Management (A.8.25)</w:t>
              <w:tab/>
              <w:t>4</w:t>
            </w:r>
          </w:hyperlink>
        </w:p>
        <w:p>
          <w:pPr>
            <w:pStyle w:val="TOC1"/>
            <w:tabs>
              <w:tab w:val="clear" w:pos="9360"/>
              <w:tab w:val="right" w:pos="9359" w:leader="dot"/>
            </w:tabs>
            <w:rPr/>
          </w:pPr>
          <w:hyperlink w:anchor="__RefHeading___Toc235_1105582354">
            <w:r>
              <w:rPr>
                <w:rStyle w:val="IndexLink"/>
              </w:rPr>
              <w:t>Acceptable Cryptographic Standards</w:t>
              <w:tab/>
              <w:t>5</w:t>
            </w:r>
          </w:hyperlink>
        </w:p>
        <w:p>
          <w:pPr>
            <w:pStyle w:val="TOC1"/>
            <w:tabs>
              <w:tab w:val="clear" w:pos="9360"/>
              <w:tab w:val="right" w:pos="9359" w:leader="dot"/>
            </w:tabs>
            <w:rPr/>
          </w:pPr>
          <w:hyperlink w:anchor="__RefHeading___Toc237_1105582354">
            <w:r>
              <w:rPr>
                <w:rStyle w:val="IndexLink"/>
              </w:rPr>
              <w:t>Monitoring and Review</w:t>
              <w:tab/>
              <w:t>5</w:t>
            </w:r>
          </w:hyperlink>
        </w:p>
        <w:p>
          <w:pPr>
            <w:pStyle w:val="TOC1"/>
            <w:tabs>
              <w:tab w:val="clear" w:pos="9360"/>
              <w:tab w:val="right" w:pos="9359" w:leader="dot"/>
            </w:tabs>
            <w:rPr/>
          </w:pPr>
          <w:hyperlink w:anchor="__RefHeading___Toc239_1105582354">
            <w:r>
              <w:rPr>
                <w:rStyle w:val="IndexLink"/>
              </w:rPr>
              <w:t>Exceptions</w:t>
              <w:tab/>
              <w:t>5</w:t>
            </w:r>
          </w:hyperlink>
        </w:p>
        <w:p>
          <w:pPr>
            <w:pStyle w:val="TOC1"/>
            <w:tabs>
              <w:tab w:val="clear" w:pos="9360"/>
              <w:tab w:val="right" w:pos="9359" w:leader="dot"/>
            </w:tabs>
            <w:rPr/>
          </w:pPr>
          <w:hyperlink w:anchor="__RefHeading___Toc241_1105582354">
            <w:r>
              <w:rPr>
                <w:rStyle w:val="IndexLink"/>
              </w:rPr>
              <w:t>Roles and Responsibilities</w:t>
              <w:tab/>
              <w:t>5</w:t>
            </w:r>
          </w:hyperlink>
        </w:p>
        <w:p>
          <w:pPr>
            <w:pStyle w:val="TOC1"/>
            <w:tabs>
              <w:tab w:val="clear" w:pos="9360"/>
              <w:tab w:val="right" w:pos="9359" w:leader="dot"/>
            </w:tabs>
            <w:rPr/>
          </w:pPr>
          <w:hyperlink w:anchor="__RefHeading___Toc243_1105582354">
            <w:r>
              <w:rPr>
                <w:rStyle w:val="IndexLink"/>
              </w:rPr>
              <w:t>Policy Review</w:t>
              <w:tab/>
              <w:t>6</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23_1105582354"/>
      <w:bookmarkEnd w:id="0"/>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1" w:name="__RefHeading___Toc225_1105582354"/>
      <w:bookmarkEnd w:id="1"/>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This policy establishes the principles and requirements for the use of cryptographic controls to protect the confidentiality, integrity, and authenticity of information across Abionic Inc.'s SaaS platform and supporting systems. This policy is aligned with ISO/IEC 27001:2022 (A.8.24 – A.8.26).</w:t>
      </w:r>
    </w:p>
    <w:p>
      <w:pPr>
        <w:pStyle w:val="Heading1"/>
        <w:spacing w:before="200" w:after="160"/>
        <w:rPr/>
      </w:pPr>
      <w:bookmarkStart w:id="2" w:name="__RefHeading___Toc227_1105582354"/>
      <w:bookmarkEnd w:id="2"/>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Applies to all systems, services, employees, contractors, and third-party vendors who handle or transmit classified or sensitive information within the scope of the Information Security Management System (ISMS).</w:t>
      </w:r>
    </w:p>
    <w:p>
      <w:pPr>
        <w:pStyle w:val="Heading1"/>
        <w:spacing w:before="200" w:after="160"/>
        <w:rPr/>
      </w:pPr>
      <w:bookmarkStart w:id="3" w:name="__RefHeading___Toc229_1105582354"/>
      <w:bookmarkEnd w:id="3"/>
      <w:r>
        <w:rPr>
          <w:rFonts w:eastAsia="Liberation Sans" w:cs="Liberation Sans" w:ascii="Liberation Sans" w:hAnsi="Liberation Sans"/>
          <w:b/>
          <w:bCs/>
          <w:color w:val="2E75B6"/>
          <w:sz w:val="30"/>
          <w:szCs w:val="30"/>
        </w:rPr>
        <w:t>Objectives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Ensure appropriate use of encryption for data protection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Define standards for key generation, storage, and management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Comply with applicable industry best practices and regulatory requirements</w:t>
      </w:r>
    </w:p>
    <w:p>
      <w:pPr>
        <w:pStyle w:val="Heading1"/>
        <w:spacing w:before="200" w:after="160"/>
        <w:rPr/>
      </w:pPr>
      <w:bookmarkStart w:id="4" w:name="__RefHeading___Toc231_1105582354"/>
      <w:bookmarkEnd w:id="4"/>
      <w:r>
        <w:rPr>
          <w:rFonts w:eastAsia="Liberation Sans" w:cs="Liberation Sans" w:ascii="Liberation Sans" w:hAnsi="Liberation Sans"/>
          <w:b/>
          <w:bCs/>
          <w:color w:val="2E75B6"/>
          <w:sz w:val="30"/>
          <w:szCs w:val="30"/>
        </w:rPr>
        <w:t>Cryptographic Use Cases (A.8.24)</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Cryptography shall be used in the following scenarios:</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Data in Transit:</w:t>
      </w:r>
      <w:r>
        <w:rPr>
          <w:rFonts w:eastAsia="Times New Roman" w:cs="Times New Roman"/>
          <w:b w:val="false"/>
          <w:bCs w:val="false"/>
          <w:color w:val="1F1F1F"/>
          <w:sz w:val="22"/>
          <w:szCs w:val="22"/>
        </w:rPr>
        <w:t xml:space="preserve"> All sensitive data transmitted over public or untrusted networks (e.g. HTTP, email, APIs) must be encrypted using TLS 1.2 or higher.</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Data at Rest:</w:t>
      </w:r>
      <w:r>
        <w:rPr>
          <w:rFonts w:eastAsia="Times New Roman" w:cs="Times New Roman"/>
          <w:b w:val="false"/>
          <w:bCs w:val="false"/>
          <w:color w:val="1F1F1F"/>
          <w:sz w:val="22"/>
          <w:szCs w:val="22"/>
        </w:rPr>
        <w:t xml:space="preserve"> Data stored in databases, backups, and cloud storage (e.g. AWS S3, EBS volumes) must be encrypted using AES-256 or equivalent.</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Authentication:</w:t>
      </w:r>
      <w:r>
        <w:rPr>
          <w:rFonts w:eastAsia="Times New Roman" w:cs="Times New Roman"/>
          <w:b w:val="false"/>
          <w:bCs w:val="false"/>
          <w:color w:val="1F1F1F"/>
          <w:sz w:val="22"/>
          <w:szCs w:val="22"/>
        </w:rPr>
        <w:t xml:space="preserve"> Passwords must be stored using secure hashing algorithms (e.g. bcrypt, Argon2).</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Code Signing and Integrity:</w:t>
      </w:r>
      <w:r>
        <w:rPr>
          <w:rFonts w:eastAsia="Times New Roman" w:cs="Times New Roman"/>
          <w:b w:val="false"/>
          <w:bCs w:val="false"/>
          <w:color w:val="1F1F1F"/>
          <w:sz w:val="22"/>
          <w:szCs w:val="22"/>
        </w:rPr>
        <w:t xml:space="preserve"> Hashes and digital signatures are used to verify the integrity of software builds or updates.</w:t>
      </w:r>
    </w:p>
    <w:p>
      <w:pPr>
        <w:pStyle w:val="Heading1"/>
        <w:spacing w:before="200" w:after="160"/>
        <w:rPr/>
      </w:pPr>
      <w:bookmarkStart w:id="5" w:name="__RefHeading___Toc233_1105582354"/>
      <w:bookmarkEnd w:id="5"/>
      <w:r>
        <w:rPr>
          <w:rFonts w:eastAsia="Liberation Sans" w:cs="Liberation Sans" w:ascii="Liberation Sans" w:hAnsi="Liberation Sans"/>
          <w:b/>
          <w:bCs/>
          <w:color w:val="2E75B6"/>
          <w:sz w:val="30"/>
          <w:szCs w:val="30"/>
        </w:rPr>
        <w:t>Key Management (A.8.25)</w:t>
      </w:r>
    </w:p>
    <w:p>
      <w:pPr>
        <w:pStyle w:val="Normal"/>
        <w:spacing w:lineRule="exact" w:line="300" w:before="0" w:after="200"/>
        <w:rPr/>
      </w:pPr>
      <w:r>
        <w:rPr>
          <w:rFonts w:eastAsia="Times New Roman" w:cs="Times New Roman"/>
          <w:b/>
          <w:bCs/>
          <w:color w:val="1F1F1F"/>
          <w:sz w:val="22"/>
          <w:szCs w:val="22"/>
        </w:rPr>
        <w:t>Key Generation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Keys must be generated using approved, strong algorithms and secure libraries.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Random number generators must be cryptographically secure.</w:t>
      </w:r>
    </w:p>
    <w:p>
      <w:pPr>
        <w:pStyle w:val="Normal"/>
        <w:spacing w:lineRule="exact" w:line="300" w:before="0" w:after="200"/>
        <w:rPr/>
      </w:pPr>
      <w:r>
        <w:rPr>
          <w:rFonts w:eastAsia="Times New Roman" w:cs="Times New Roman"/>
          <w:b/>
          <w:bCs/>
          <w:color w:val="1F1F1F"/>
          <w:sz w:val="22"/>
          <w:szCs w:val="22"/>
        </w:rPr>
        <w:t>Key Storage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Private keys and encryption keys must be stored securely using hardware security modules (HSMs) or managed key services (e.g. AWS KMS).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Keys must not be stored in source code or CI/CD pipelines.</w:t>
      </w:r>
    </w:p>
    <w:p>
      <w:pPr>
        <w:pStyle w:val="Normal"/>
        <w:spacing w:lineRule="exact" w:line="300" w:before="0" w:after="200"/>
        <w:rPr/>
      </w:pPr>
      <w:r>
        <w:rPr>
          <w:rFonts w:eastAsia="Times New Roman" w:cs="Times New Roman"/>
          <w:b/>
          <w:bCs/>
          <w:color w:val="1F1F1F"/>
          <w:sz w:val="22"/>
          <w:szCs w:val="22"/>
        </w:rPr>
        <w:t>Key Distribution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Keys must be exchanged using secure, authenticated channels only.</w:t>
      </w:r>
    </w:p>
    <w:p>
      <w:pPr>
        <w:pStyle w:val="Normal"/>
        <w:spacing w:lineRule="exact" w:line="300" w:before="0" w:after="200"/>
        <w:rPr/>
      </w:pPr>
      <w:r>
        <w:rPr>
          <w:rFonts w:eastAsia="Times New Roman" w:cs="Times New Roman"/>
          <w:b/>
          <w:bCs/>
          <w:color w:val="1F1F1F"/>
          <w:sz w:val="22"/>
          <w:szCs w:val="22"/>
        </w:rPr>
        <w:t>Key Rotation and Expiry</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Keys must be rotated regularly (e.g. annually or upon suspicion of compromise).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Expired or unused keys must be securely deleted or archived.</w:t>
      </w:r>
    </w:p>
    <w:p>
      <w:pPr>
        <w:pStyle w:val="Heading1"/>
        <w:spacing w:before="200" w:after="160"/>
        <w:rPr/>
      </w:pPr>
      <w:bookmarkStart w:id="6" w:name="__RefHeading___Toc235_1105582354"/>
      <w:bookmarkEnd w:id="6"/>
      <w:r>
        <w:rPr>
          <w:rFonts w:eastAsia="Liberation Sans" w:cs="Liberation Sans" w:ascii="Liberation Sans" w:hAnsi="Liberation Sans"/>
          <w:b/>
          <w:bCs/>
          <w:color w:val="2E75B6"/>
          <w:sz w:val="30"/>
          <w:szCs w:val="30"/>
        </w:rPr>
        <w:t>Acceptable Cryptographic Standards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Purpose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Minimum Requirement</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TLS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TLS 1.2 or above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Data at Rest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AES-256</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Password Hashing</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bcrypt or Argon2</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Key Exchange</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ECDHE or RSA ≥ 2048 bits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Signature Algorithms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RSA ≥ 2048 bits, ECDSA</w:t>
            </w:r>
          </w:p>
        </w:tc>
      </w:tr>
    </w:tbl>
    <w:p>
      <w:pPr>
        <w:pStyle w:val="Heading1"/>
        <w:spacing w:before="200" w:after="160"/>
        <w:rPr/>
      </w:pPr>
      <w:bookmarkStart w:id="7" w:name="__RefHeading___Toc237_1105582354"/>
      <w:bookmarkEnd w:id="7"/>
      <w:r>
        <w:rPr>
          <w:rFonts w:eastAsia="Liberation Sans" w:cs="Liberation Sans" w:ascii="Liberation Sans" w:hAnsi="Liberation Sans"/>
          <w:b/>
          <w:bCs/>
          <w:color w:val="2E75B6"/>
          <w:sz w:val="30"/>
          <w:szCs w:val="30"/>
        </w:rPr>
        <w:t>Monitoring and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All cryptographic usage is reviewed 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Logs of key usage and rotation are retained and auditable.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Policy violations may result in revocation of system access and disciplinary action.</w:t>
      </w:r>
    </w:p>
    <w:p>
      <w:pPr>
        <w:pStyle w:val="Heading1"/>
        <w:spacing w:before="200" w:after="160"/>
        <w:rPr/>
      </w:pPr>
      <w:bookmarkStart w:id="8" w:name="__RefHeading___Toc239_1105582354"/>
      <w:bookmarkEnd w:id="8"/>
      <w:r>
        <w:rPr>
          <w:rFonts w:eastAsia="Liberation Sans" w:cs="Liberation Sans" w:ascii="Liberation Sans" w:hAnsi="Liberation Sans"/>
          <w:b/>
          <w:bCs/>
          <w:color w:val="2E75B6"/>
          <w:sz w:val="30"/>
          <w:szCs w:val="30"/>
        </w:rPr>
        <w:t>Exceptions</w:t>
      </w:r>
    </w:p>
    <w:p>
      <w:pPr>
        <w:pStyle w:val="Normal"/>
        <w:spacing w:lineRule="exact" w:line="300" w:before="0" w:after="200"/>
        <w:rPr/>
      </w:pPr>
      <w:r>
        <w:rPr>
          <w:rFonts w:eastAsia="Times New Roman" w:cs="Times New Roman"/>
          <w:b w:val="false"/>
          <w:bCs w:val="false"/>
          <w:color w:val="1F1F1F"/>
          <w:sz w:val="22"/>
          <w:szCs w:val="22"/>
        </w:rPr>
        <w:t>Any exceptions to this policy must be: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assessed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Approved by the Information Security Manager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Documented with a mitigation plan</w:t>
      </w:r>
    </w:p>
    <w:p>
      <w:pPr>
        <w:pStyle w:val="Heading1"/>
        <w:spacing w:before="200" w:after="160"/>
        <w:rPr/>
      </w:pPr>
      <w:bookmarkStart w:id="9" w:name="__RefHeading___Toc241_1105582354"/>
      <w:bookmarkEnd w:id="9"/>
      <w:r>
        <w:rPr>
          <w:rFonts w:eastAsia="Liberation Sans" w:cs="Liberation Sans" w:ascii="Liberation Sans" w:hAnsi="Liberation Sans"/>
          <w:b/>
          <w:bCs/>
          <w:color w:val="2E75B6"/>
          <w:sz w:val="30"/>
          <w:szCs w:val="30"/>
        </w:rPr>
        <w:t>Roles and Responsibilities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Role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Responsibilities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Manager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Enforces cryptographic standards and policy compliance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GRC Analyst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Maintains documentation of cryptographic controls for audits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Developers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Implement secure cryptographic functions and avoid custom crypto</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Cloud/Infra Engineer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Ensure encryption is properly configured at the infrastructure level</w:t>
            </w:r>
          </w:p>
        </w:tc>
      </w:tr>
    </w:tbl>
    <w:p>
      <w:pPr>
        <w:pStyle w:val="Heading1"/>
        <w:spacing w:before="200" w:after="160"/>
        <w:rPr/>
      </w:pPr>
      <w:bookmarkStart w:id="10" w:name="__RefHeading___Toc243_1105582354"/>
      <w:bookmarkEnd w:id="10"/>
      <w:r>
        <w:rPr>
          <w:rFonts w:eastAsia="Liberation Sans" w:cs="Liberation Sans" w:ascii="Liberation Sans" w:hAnsi="Liberation Sans"/>
          <w:b/>
          <w:bCs/>
          <w:color w:val="2E75B6"/>
          <w:sz w:val="30"/>
          <w:szCs w:val="30"/>
        </w:rPr>
        <w:t>Policy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This policy is reviewed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or upon significant change to the environment or regulatory requirements.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Cryptography Policy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Cryptography Policy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2026-08-25T02:07:14Z</dcterms:created>
  <dc:creator>Abionic Inc.</dc:creator>
  <dc:description/>
  <dc:language>en-US</dc:language>
  <cp:lastModifiedBy>Abionic Inc.</cp:lastModifiedBy>
  <dcterms:modified xsi:type="dcterms:W3CDTF">2026-08-25T02:07:38Z</dcterms:modified>
  <cp:revision>2</cp:revision>
  <dc:subject/>
  <dc:title/>
</cp:coreProperties>
</file>