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00"/>
        <w:jc w:val="center"/>
        <w:rPr/>
      </w:pPr>
      <w:r>
        <w:rPr>
          <w:rFonts w:eastAsia="Liberation Sans" w:cs="Liberation Sans" w:ascii="Liberation Sans" w:hAnsi="Liberation Sans"/>
          <w:color w:val="000000"/>
          <w:sz w:val="56"/>
          <w:szCs w:val="56"/>
        </w:rPr>
        <w:t>Data Retention &amp; Disposal Policy</w:t>
      </w:r>
    </w:p>
    <w:p>
      <w:pPr>
        <w:pStyle w:val="Normal"/>
        <w:jc w:val="center"/>
        <w:rPr/>
      </w:pPr>
      <w:r>
        <w:rPr/>
      </w:r>
    </w:p>
    <w:p>
      <w:pPr>
        <w:pStyle w:val="Normal"/>
        <w:jc w:val="center"/>
        <w:rPr/>
      </w:pPr>
      <w:r>
        <w:rPr/>
      </w:r>
    </w:p>
    <w:p>
      <w:pPr>
        <w:pStyle w:val="Normal"/>
        <w:spacing w:before="360" w:after="80"/>
        <w:jc w:val="center"/>
        <w:rPr/>
      </w:pPr>
      <w:r>
        <w:rPr>
          <w:rFonts w:eastAsia="Georgia" w:cs="Georgia" w:ascii="Georgia" w:hAnsi="Georgia"/>
          <w:i/>
          <w:iCs/>
          <w:color w:val="666666"/>
          <w:sz w:val="48"/>
          <w:szCs w:val="48"/>
        </w:rPr>
        <w:t>Abionic Inc.</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eastAsia="Times New Roman" w:cs="Times New Roman"/>
          <w:sz w:val="22"/>
          <w:szCs w:val="22"/>
        </w:rPr>
        <w:t>Version 1.0</w:t>
      </w:r>
    </w:p>
    <w:p>
      <w:pPr>
        <w:pStyle w:val="Normal"/>
        <w:jc w:val="center"/>
        <w:rPr/>
      </w:pPr>
      <w:r>
        <w:rPr>
          <w:rFonts w:eastAsia="Times New Roman" w:cs="Times New Roman"/>
          <w:sz w:val="22"/>
          <w:szCs w:val="22"/>
        </w:rPr>
        <w:t>August 23, 2026</w:t>
      </w:r>
    </w:p>
    <w:p>
      <w:pPr>
        <w:pStyle w:val="Normal"/>
        <w:rPr/>
      </w:pPr>
      <w:r>
        <w:rPr/>
      </w:r>
      <w:r>
        <w:br w:type="page"/>
      </w:r>
    </w:p>
    <w:p>
      <w:pPr>
        <w:pStyle w:val="Normal"/>
        <w:spacing w:before="0" w:after="200"/>
        <w:rPr/>
      </w:pPr>
      <w:r>
        <w:rPr>
          <w:rFonts w:eastAsia="Liberation Sans" w:cs="Liberation Sans" w:ascii="Liberation Sans" w:hAnsi="Liberation Sans"/>
          <w:b/>
          <w:bCs/>
          <w:color w:val="2E75B6"/>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57_625877532">
            <w:r>
              <w:rPr>
                <w:rStyle w:val="IndexLink"/>
              </w:rPr>
              <w:t>Change Log</w:t>
              <w:tab/>
              <w:t>3</w:t>
            </w:r>
          </w:hyperlink>
        </w:p>
        <w:p>
          <w:pPr>
            <w:pStyle w:val="TOC1"/>
            <w:tabs>
              <w:tab w:val="clear" w:pos="9360"/>
              <w:tab w:val="right" w:pos="9359" w:leader="dot"/>
            </w:tabs>
            <w:rPr/>
          </w:pPr>
          <w:hyperlink w:anchor="__RefHeading___Toc259_625877532">
            <w:r>
              <w:rPr>
                <w:rStyle w:val="IndexLink"/>
              </w:rPr>
              <w:t>Purpose</w:t>
              <w:tab/>
              <w:t>4</w:t>
            </w:r>
          </w:hyperlink>
        </w:p>
        <w:p>
          <w:pPr>
            <w:pStyle w:val="TOC1"/>
            <w:tabs>
              <w:tab w:val="clear" w:pos="9360"/>
              <w:tab w:val="right" w:pos="9359" w:leader="dot"/>
            </w:tabs>
            <w:rPr/>
          </w:pPr>
          <w:hyperlink w:anchor="__RefHeading___Toc261_625877532">
            <w:r>
              <w:rPr>
                <w:rStyle w:val="IndexLink"/>
              </w:rPr>
              <w:t>Scope</w:t>
              <w:tab/>
              <w:t>4</w:t>
            </w:r>
          </w:hyperlink>
        </w:p>
        <w:p>
          <w:pPr>
            <w:pStyle w:val="TOC1"/>
            <w:tabs>
              <w:tab w:val="clear" w:pos="9360"/>
              <w:tab w:val="right" w:pos="9359" w:leader="dot"/>
            </w:tabs>
            <w:rPr/>
          </w:pPr>
          <w:hyperlink w:anchor="__RefHeading___Toc263_625877532">
            <w:r>
              <w:rPr>
                <w:rStyle w:val="IndexLink"/>
              </w:rPr>
              <w:t>Policy Objectives</w:t>
              <w:tab/>
              <w:t>4</w:t>
            </w:r>
          </w:hyperlink>
        </w:p>
        <w:p>
          <w:pPr>
            <w:pStyle w:val="TOC1"/>
            <w:tabs>
              <w:tab w:val="clear" w:pos="9360"/>
              <w:tab w:val="right" w:pos="9359" w:leader="dot"/>
            </w:tabs>
            <w:rPr/>
          </w:pPr>
          <w:hyperlink w:anchor="__RefHeading___Toc265_625877532">
            <w:r>
              <w:rPr>
                <w:rStyle w:val="IndexLink"/>
              </w:rPr>
              <w:t>Data Retention Policy (A.8.11)</w:t>
              <w:tab/>
              <w:t>4</w:t>
            </w:r>
          </w:hyperlink>
        </w:p>
        <w:p>
          <w:pPr>
            <w:pStyle w:val="TOC1"/>
            <w:tabs>
              <w:tab w:val="clear" w:pos="9360"/>
              <w:tab w:val="right" w:pos="9359" w:leader="dot"/>
            </w:tabs>
            <w:rPr/>
          </w:pPr>
          <w:hyperlink w:anchor="__RefHeading___Toc267_625877532">
            <w:r>
              <w:rPr>
                <w:rStyle w:val="IndexLink"/>
              </w:rPr>
              <w:t>Data Disposal &amp; Deletion (A.8.10, A.8.12)</w:t>
              <w:tab/>
              <w:t>5</w:t>
            </w:r>
          </w:hyperlink>
        </w:p>
        <w:p>
          <w:pPr>
            <w:pStyle w:val="TOC1"/>
            <w:tabs>
              <w:tab w:val="clear" w:pos="9360"/>
              <w:tab w:val="right" w:pos="9359" w:leader="dot"/>
            </w:tabs>
            <w:rPr/>
          </w:pPr>
          <w:hyperlink w:anchor="__RefHeading___Toc269_625877532">
            <w:r>
              <w:rPr>
                <w:rStyle w:val="IndexLink"/>
              </w:rPr>
              <w:t>Roles and Responsibilities</w:t>
              <w:tab/>
              <w:t>5</w:t>
            </w:r>
          </w:hyperlink>
        </w:p>
        <w:p>
          <w:pPr>
            <w:pStyle w:val="TOC1"/>
            <w:tabs>
              <w:tab w:val="clear" w:pos="9360"/>
              <w:tab w:val="right" w:pos="9359" w:leader="dot"/>
            </w:tabs>
            <w:rPr/>
          </w:pPr>
          <w:hyperlink w:anchor="__RefHeading___Toc271_625877532">
            <w:r>
              <w:rPr>
                <w:rStyle w:val="IndexLink"/>
              </w:rPr>
              <w:t>Exceptions</w:t>
              <w:tab/>
              <w:t>5</w:t>
            </w:r>
          </w:hyperlink>
        </w:p>
        <w:p>
          <w:pPr>
            <w:pStyle w:val="TOC1"/>
            <w:tabs>
              <w:tab w:val="clear" w:pos="9360"/>
              <w:tab w:val="right" w:pos="9359" w:leader="dot"/>
            </w:tabs>
            <w:rPr/>
          </w:pPr>
          <w:hyperlink w:anchor="__RefHeading___Toc273_625877532">
            <w:r>
              <w:rPr>
                <w:rStyle w:val="IndexLink"/>
              </w:rPr>
              <w:t>Policy Review</w:t>
              <w:tab/>
              <w:t>5</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257_625877532"/>
      <w:bookmarkEnd w:id="0"/>
      <w:r>
        <w:rPr>
          <w:rFonts w:eastAsia="Liberation Sans" w:cs="Liberation Sans" w:ascii="Liberation Sans" w:hAnsi="Liberation Sans"/>
          <w:b/>
          <w:bCs/>
          <w:color w:val="2E75B6"/>
          <w:sz w:val="30"/>
          <w:szCs w:val="30"/>
        </w:rPr>
        <w:t>Change Log</w:t>
      </w:r>
    </w:p>
    <w:tbl>
      <w:tblPr>
        <w:tblW w:w="9440" w:type="dxa"/>
        <w:jc w:val="left"/>
        <w:tblInd w:w="0" w:type="dxa"/>
        <w:tblLayout w:type="fixed"/>
        <w:tblCellMar>
          <w:top w:w="80" w:type="dxa"/>
          <w:left w:w="100" w:type="dxa"/>
          <w:bottom w:w="80" w:type="dxa"/>
          <w:right w:w="100" w:type="dxa"/>
        </w:tblCellMar>
      </w:tblPr>
      <w:tblGrid>
        <w:gridCol w:w="1180"/>
        <w:gridCol w:w="1180"/>
        <w:gridCol w:w="1180"/>
        <w:gridCol w:w="1180"/>
        <w:gridCol w:w="1180"/>
        <w:gridCol w:w="1180"/>
        <w:gridCol w:w="1180"/>
        <w:gridCol w:w="1178"/>
      </w:tblGrid>
      <w:tr>
        <w:trPr>
          <w:tblHeader w:val="true"/>
        </w:trPr>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Date</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Version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Author</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Description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Approved By</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Last Updated</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Review Frequency</w:t>
            </w:r>
          </w:p>
        </w:tc>
        <w:tc>
          <w:tcPr>
            <w:tcW w:w="1178"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Next Review</w:t>
            </w:r>
          </w:p>
        </w:tc>
      </w:tr>
      <w:tr>
        <w:trPr/>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1.0</w:t>
            </w:r>
          </w:p>
        </w:tc>
        <w:tc>
          <w:tcPr>
            <w:tcW w:w="1180" w:type="dxa"/>
            <w:tcBorders>
              <w:top w:val="single" w:sz="4" w:space="0" w:color="BFBFBF"/>
              <w:left w:val="single" w:sz="4" w:space="0" w:color="BFBFBF"/>
              <w:bottom w:val="single" w:sz="4" w:space="0" w:color="BFBFBF"/>
              <w:right w:val="single" w:sz="4" w:space="0" w:color="BFBFBF"/>
            </w:tcBorders>
          </w:tcPr>
          <w:p>
            <w:r>
              <w:t>GRC Analyst</w:t>
            </w:r>
          </w:p>
        </w:tc>
        <w:tc>
          <w:tcPr>
            <w:tcW w:w="1180" w:type="dxa"/>
            <w:tcBorders>
              <w:top w:val="single" w:sz="4" w:space="0" w:color="BFBFBF"/>
              <w:left w:val="single" w:sz="4" w:space="0" w:color="BFBFBF"/>
              <w:bottom w:val="single" w:sz="4" w:space="0" w:color="BFBFBF"/>
              <w:right w:val="single" w:sz="4" w:space="0" w:color="BFBFBF"/>
            </w:tcBorders>
          </w:tcPr>
          <w:p>
            <w:r>
              <w:t>Initial version</w:t>
            </w:r>
          </w:p>
        </w:tc>
        <w:tc>
          <w:tcPr>
            <w:tcW w:w="1180" w:type="dxa"/>
            <w:tcBorders>
              <w:top w:val="single" w:sz="4" w:space="0" w:color="BFBFBF"/>
              <w:left w:val="single" w:sz="4" w:space="0" w:color="BFBFBF"/>
              <w:bottom w:val="single" w:sz="4" w:space="0" w:color="BFBFBF"/>
              <w:right w:val="single" w:sz="4" w:space="0" w:color="BFBFBF"/>
            </w:tcBorders>
          </w:tcPr>
          <w:p>
            <w:r>
              <w:t>Information Security Manager</w:t>
            </w:r>
          </w:p>
        </w:tc>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Annually</w:t>
            </w:r>
          </w:p>
        </w:tc>
        <w:tc>
          <w:tcPr>
            <w:tcW w:w="1178" w:type="dxa"/>
            <w:tcBorders>
              <w:top w:val="single" w:sz="4" w:space="0" w:color="BFBFBF"/>
              <w:left w:val="single" w:sz="4" w:space="0" w:color="BFBFBF"/>
              <w:bottom w:val="single" w:sz="4" w:space="0" w:color="BFBFBF"/>
              <w:right w:val="single" w:sz="4" w:space="0" w:color="BFBFBF"/>
            </w:tcBorders>
          </w:tcPr>
          <w:p>
            <w:r>
              <w:t>August 23, 2027</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r>
    </w:tbl>
    <w:p>
      <w:pPr>
        <w:pStyle w:val="Normal"/>
        <w:rPr/>
      </w:pPr>
      <w:r>
        <w:rPr/>
      </w:r>
      <w:r>
        <w:br w:type="page"/>
      </w:r>
    </w:p>
    <w:p>
      <w:pPr>
        <w:pStyle w:val="Heading1"/>
        <w:spacing w:before="0" w:after="160"/>
        <w:rPr/>
      </w:pPr>
      <w:bookmarkStart w:id="1" w:name="__RefHeading___Toc259_625877532"/>
      <w:bookmarkEnd w:id="1"/>
      <w:r>
        <w:rPr>
          <w:rFonts w:eastAsia="Liberation Sans" w:cs="Liberation Sans" w:ascii="Liberation Sans" w:hAnsi="Liberation Sans"/>
          <w:b/>
          <w:bCs/>
          <w:color w:val="2E75B6"/>
          <w:sz w:val="30"/>
          <w:szCs w:val="30"/>
        </w:rPr>
        <w:t>Purpose</w:t>
      </w:r>
    </w:p>
    <w:p>
      <w:pPr>
        <w:pStyle w:val="Normal"/>
        <w:spacing w:lineRule="exact" w:line="300" w:before="0" w:after="200"/>
        <w:rPr/>
      </w:pPr>
      <w:r>
        <w:rPr>
          <w:rFonts w:eastAsia="Times New Roman" w:cs="Times New Roman"/>
          <w:b w:val="false"/>
          <w:bCs w:val="false"/>
          <w:color w:val="1F1F1F"/>
          <w:sz w:val="22"/>
          <w:szCs w:val="22"/>
        </w:rPr>
        <w:t>This policy ensures that Abionic Inc. retains information only as long as necessary for business, legal, or contractual purposes and that all data is securely and permanently disposed of at the end of its lifecycle. This policy is aligned with ISO/IEC 27001:2022 (A.8.10 - A.8.12).</w:t>
      </w:r>
    </w:p>
    <w:p>
      <w:pPr>
        <w:pStyle w:val="Heading1"/>
        <w:spacing w:before="200" w:after="160"/>
        <w:rPr/>
      </w:pPr>
      <w:bookmarkStart w:id="2" w:name="__RefHeading___Toc261_625877532"/>
      <w:bookmarkEnd w:id="2"/>
      <w:r>
        <w:rPr>
          <w:rFonts w:eastAsia="Liberation Sans" w:cs="Liberation Sans" w:ascii="Liberation Sans" w:hAnsi="Liberation Sans"/>
          <w:b/>
          <w:bCs/>
          <w:color w:val="2E75B6"/>
          <w:sz w:val="30"/>
          <w:szCs w:val="30"/>
        </w:rPr>
        <w:t>Scope</w:t>
      </w:r>
    </w:p>
    <w:p>
      <w:pPr>
        <w:pStyle w:val="Normal"/>
        <w:spacing w:lineRule="exact" w:line="300" w:before="0" w:after="200"/>
        <w:rPr/>
      </w:pPr>
      <w:r>
        <w:rPr>
          <w:rFonts w:eastAsia="Times New Roman" w:cs="Times New Roman"/>
          <w:b w:val="false"/>
          <w:bCs w:val="false"/>
          <w:color w:val="1F1F1F"/>
          <w:sz w:val="22"/>
          <w:szCs w:val="22"/>
        </w:rPr>
        <w:t>Applies to all forms of data (digital and physical) handled by Abionic Inc. across systems, cloud environments (AWS), developer tools, backups, and employee devices. It includes operational data, logs, code, and any sensitive information processed by or for the company.</w:t>
      </w:r>
    </w:p>
    <w:p>
      <w:pPr>
        <w:pStyle w:val="Heading1"/>
        <w:spacing w:before="200" w:after="160"/>
        <w:rPr/>
      </w:pPr>
      <w:bookmarkStart w:id="3" w:name="__RefHeading___Toc263_625877532"/>
      <w:bookmarkEnd w:id="3"/>
      <w:r>
        <w:rPr>
          <w:rFonts w:eastAsia="Liberation Sans" w:cs="Liberation Sans" w:ascii="Liberation Sans" w:hAnsi="Liberation Sans"/>
          <w:b/>
          <w:bCs/>
          <w:color w:val="2E75B6"/>
          <w:sz w:val="30"/>
          <w:szCs w:val="30"/>
        </w:rPr>
        <w:t>Policy Objectives</w:t>
      </w:r>
    </w:p>
    <w:p>
      <w:pPr>
        <w:pStyle w:val="ListParagraph"/>
        <w:numPr>
          <w:ilvl w:val="0"/>
          <w:numId w:val="3"/>
        </w:numPr>
        <w:spacing w:lineRule="exact" w:line="300" w:before="0" w:after="120"/>
        <w:ind w:hanging="360" w:left="720"/>
        <w:rPr/>
      </w:pPr>
      <w:r>
        <w:rPr>
          <w:rFonts w:eastAsia="Times New Roman" w:cs="Times New Roman"/>
          <w:b w:val="false"/>
          <w:bCs w:val="false"/>
          <w:color w:val="1F1F1F"/>
          <w:sz w:val="22"/>
          <w:szCs w:val="22"/>
        </w:rPr>
        <w:t>Ensure data is retained in line with legal and business requirements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Prevent unauthorised access to obsolete or unused data</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Ensure secure deletion and disposal of all data and media</w:t>
      </w:r>
    </w:p>
    <w:p>
      <w:pPr>
        <w:pStyle w:val="Heading1"/>
        <w:spacing w:before="200" w:after="160"/>
        <w:rPr/>
      </w:pPr>
      <w:bookmarkStart w:id="4" w:name="__RefHeading___Toc265_625877532"/>
      <w:bookmarkEnd w:id="4"/>
      <w:r>
        <w:rPr>
          <w:rFonts w:eastAsia="Liberation Sans" w:cs="Liberation Sans" w:ascii="Liberation Sans" w:hAnsi="Liberation Sans"/>
          <w:b/>
          <w:bCs/>
          <w:color w:val="2E75B6"/>
          <w:sz w:val="30"/>
          <w:szCs w:val="30"/>
        </w:rPr>
        <w:t>Data Retention Policy (A.8.11)</w:t>
      </w:r>
    </w:p>
    <w:tbl>
      <w:tblPr>
        <w:tblW w:w="9360" w:type="dxa"/>
        <w:jc w:val="left"/>
        <w:tblInd w:w="0" w:type="dxa"/>
        <w:tblLayout w:type="fixed"/>
        <w:tblCellMar>
          <w:top w:w="80" w:type="dxa"/>
          <w:left w:w="100" w:type="dxa"/>
          <w:bottom w:w="80" w:type="dxa"/>
          <w:right w:w="100" w:type="dxa"/>
        </w:tblCellMar>
      </w:tblPr>
      <w:tblGrid>
        <w:gridCol w:w="2399"/>
        <w:gridCol w:w="2201"/>
        <w:gridCol w:w="4760"/>
      </w:tblGrid>
      <w:tr>
        <w:trPr>
          <w:tblHeader w:val="true"/>
        </w:trPr>
        <w:tc>
          <w:tcPr>
            <w:tcW w:w="23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Data Type</w:t>
            </w:r>
          </w:p>
        </w:tc>
        <w:tc>
          <w:tcPr>
            <w:tcW w:w="2201"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Retention Period</w:t>
            </w:r>
          </w:p>
        </w:tc>
        <w:tc>
          <w:tcPr>
            <w:tcW w:w="476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Rationale</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Source Code</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Indefinite</w:t>
            </w:r>
          </w:p>
        </w:tc>
        <w:tc>
          <w:tcPr>
            <w:tcW w:w="47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Business continuity and development history</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Logs (application, access)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12 months</w:t>
            </w:r>
          </w:p>
        </w:tc>
        <w:tc>
          <w:tcPr>
            <w:tcW w:w="47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Incident investigation and compliance</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CI/CD Deployment Records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12 months</w:t>
            </w:r>
          </w:p>
        </w:tc>
        <w:tc>
          <w:tcPr>
            <w:tcW w:w="47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Audit trails and troubleshooting</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Employee Records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7 years</w:t>
            </w:r>
          </w:p>
        </w:tc>
        <w:tc>
          <w:tcPr>
            <w:tcW w:w="47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Legal retention requirement (HR)</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Vendor Contracts &amp; NDAs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7 years post-expiry</w:t>
            </w:r>
          </w:p>
        </w:tc>
        <w:tc>
          <w:tcPr>
            <w:tcW w:w="47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Legal and business continuity</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Backup Data</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90 days rolling</w:t>
            </w:r>
          </w:p>
        </w:tc>
        <w:tc>
          <w:tcPr>
            <w:tcW w:w="47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Recovery from system failure or corruption</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Security Incident Records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3 years</w:t>
            </w:r>
          </w:p>
        </w:tc>
        <w:tc>
          <w:tcPr>
            <w:tcW w:w="47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Compliance and audit readiness</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Customer Support Data</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24 months</w:t>
            </w:r>
          </w:p>
        </w:tc>
        <w:tc>
          <w:tcPr>
            <w:tcW w:w="47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Service quality assurance</w:t>
            </w:r>
          </w:p>
        </w:tc>
      </w:tr>
    </w:tbl>
    <w:p>
      <w:pPr>
        <w:pStyle w:val="Normal"/>
        <w:rPr/>
      </w:pPr>
      <w:r>
        <w:rPr/>
      </w:r>
      <w:r>
        <w:br w:type="page"/>
      </w:r>
    </w:p>
    <w:p>
      <w:pPr>
        <w:pStyle w:val="Heading1"/>
        <w:spacing w:before="0" w:after="160"/>
        <w:rPr/>
      </w:pPr>
      <w:bookmarkStart w:id="5" w:name="__RefHeading___Toc267_625877532"/>
      <w:bookmarkEnd w:id="5"/>
      <w:r>
        <w:rPr>
          <w:rFonts w:eastAsia="Liberation Sans" w:cs="Liberation Sans" w:ascii="Liberation Sans" w:hAnsi="Liberation Sans"/>
          <w:b/>
          <w:bCs/>
          <w:color w:val="2E75B6"/>
          <w:sz w:val="30"/>
          <w:szCs w:val="30"/>
        </w:rPr>
        <w:t>Data Disposal &amp; Deletion (A.8.10, A.8.12)</w:t>
      </w:r>
    </w:p>
    <w:p>
      <w:pPr>
        <w:pStyle w:val="Normal"/>
        <w:spacing w:lineRule="exact" w:line="300" w:before="0" w:after="200"/>
        <w:rPr/>
      </w:pPr>
      <w:r>
        <w:rPr>
          <w:rFonts w:eastAsia="Times New Roman" w:cs="Times New Roman"/>
          <w:b/>
          <w:bCs/>
          <w:color w:val="1F1F1F"/>
          <w:sz w:val="22"/>
          <w:szCs w:val="22"/>
        </w:rPr>
        <w:t>1) Digital Media</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Data must be deleted using </w:t>
      </w:r>
      <w:r>
        <w:rPr>
          <w:rFonts w:eastAsia="Times New Roman" w:cs="Times New Roman"/>
          <w:b/>
          <w:bCs/>
          <w:color w:val="1F1F1F"/>
          <w:sz w:val="22"/>
          <w:szCs w:val="22"/>
        </w:rPr>
        <w:t>secure deletion methods</w:t>
      </w:r>
      <w:r>
        <w:rPr>
          <w:rFonts w:eastAsia="Times New Roman" w:cs="Times New Roman"/>
          <w:b w:val="false"/>
          <w:bCs w:val="false"/>
          <w:color w:val="1F1F1F"/>
          <w:sz w:val="22"/>
          <w:szCs w:val="22"/>
        </w:rPr>
        <w:t xml:space="preserve"> (e.g. cryptographic wipe, overwrite) before reuse or disposal.</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All cloud storage (e.g. S3, EBS, RDS) must be purged using </w:t>
      </w:r>
      <w:r>
        <w:rPr>
          <w:rFonts w:eastAsia="Times New Roman" w:cs="Times New Roman"/>
          <w:b/>
          <w:bCs/>
          <w:color w:val="1F1F1F"/>
          <w:sz w:val="22"/>
          <w:szCs w:val="22"/>
        </w:rPr>
        <w:t>provider-supported secure delete options</w:t>
      </w:r>
      <w:r>
        <w:rPr>
          <w:rFonts w:eastAsia="Times New Roman" w:cs="Times New Roman"/>
          <w:b w:val="false"/>
          <w:bCs w:val="false"/>
          <w:color w:val="1F1F1F"/>
          <w:sz w:val="22"/>
          <w:szCs w:val="22"/>
        </w:rPr>
        <w: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Backup snapshots are deleted automatically after 90 days via retention policy.</w:t>
      </w:r>
    </w:p>
    <w:p>
      <w:pPr>
        <w:pStyle w:val="Normal"/>
        <w:spacing w:lineRule="exact" w:line="300" w:before="0" w:after="200"/>
        <w:rPr/>
      </w:pPr>
      <w:r>
        <w:rPr>
          <w:rFonts w:eastAsia="Times New Roman" w:cs="Times New Roman"/>
          <w:b/>
          <w:bCs/>
          <w:color w:val="1F1F1F"/>
          <w:sz w:val="22"/>
          <w:szCs w:val="22"/>
        </w:rPr>
        <w:t>2) Physical Media</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Any physical media (e.g. external drives, printed reports) must be:</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Shredded or destroyed before disposal</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Logged if containing sensitive or confidential information</w:t>
      </w:r>
    </w:p>
    <w:p>
      <w:pPr>
        <w:pStyle w:val="Normal"/>
        <w:spacing w:lineRule="exact" w:line="300" w:before="0" w:after="200"/>
        <w:rPr/>
      </w:pPr>
      <w:r>
        <w:rPr>
          <w:rFonts w:eastAsia="Times New Roman" w:cs="Times New Roman"/>
          <w:b/>
          <w:bCs/>
          <w:color w:val="1F1F1F"/>
          <w:sz w:val="22"/>
          <w:szCs w:val="22"/>
        </w:rPr>
        <w:t>3) Cloud-based Systems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Ensure data remnants are not left in decommissioned environments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Revoke associated IAM permissions before termination of systems or instances</w:t>
      </w:r>
    </w:p>
    <w:p>
      <w:pPr>
        <w:pStyle w:val="Heading1"/>
        <w:spacing w:before="200" w:after="160"/>
        <w:rPr/>
      </w:pPr>
      <w:bookmarkStart w:id="6" w:name="__RefHeading___Toc269_625877532"/>
      <w:bookmarkEnd w:id="6"/>
      <w:r>
        <w:rPr>
          <w:rFonts w:eastAsia="Liberation Sans" w:cs="Liberation Sans" w:ascii="Liberation Sans" w:hAnsi="Liberation Sans"/>
          <w:b/>
          <w:bCs/>
          <w:color w:val="2E75B6"/>
          <w:sz w:val="30"/>
          <w:szCs w:val="30"/>
        </w:rPr>
        <w:t>Roles and Responsibilities</w:t>
      </w:r>
    </w:p>
    <w:tbl>
      <w:tblPr>
        <w:tblW w:w="9360" w:type="dxa"/>
        <w:jc w:val="left"/>
        <w:tblInd w:w="0" w:type="dxa"/>
        <w:tblLayout w:type="fixed"/>
        <w:tblCellMar>
          <w:top w:w="80" w:type="dxa"/>
          <w:left w:w="100" w:type="dxa"/>
          <w:bottom w:w="80" w:type="dxa"/>
          <w:right w:w="100" w:type="dxa"/>
        </w:tblCellMar>
      </w:tblPr>
      <w:tblGrid>
        <w:gridCol w:w="3200"/>
        <w:gridCol w:w="6159"/>
      </w:tblGrid>
      <w:tr>
        <w:trPr>
          <w:tblHeader w:val="true"/>
        </w:trPr>
        <w:tc>
          <w:tcPr>
            <w:tcW w:w="32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Role</w:t>
            </w:r>
          </w:p>
        </w:tc>
        <w:tc>
          <w:tcPr>
            <w:tcW w:w="615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Responsibility</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Data Owners</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Define appropriate retention periods and approve deletion</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IT/Infrastructure Engineer</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Execute secure data disposal and cloud purge procedures</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Information Security Manager</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Ensure disposal logs and reviews are maintained</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GRC Analyst</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Verify compliance with policies and audits retention schedules</w:t>
            </w:r>
          </w:p>
        </w:tc>
      </w:tr>
    </w:tbl>
    <w:p>
      <w:pPr>
        <w:pStyle w:val="Heading1"/>
        <w:spacing w:before="200" w:after="160"/>
        <w:rPr/>
      </w:pPr>
      <w:bookmarkStart w:id="7" w:name="__RefHeading___Toc271_625877532"/>
      <w:bookmarkEnd w:id="7"/>
      <w:r>
        <w:rPr>
          <w:rFonts w:eastAsia="Liberation Sans" w:cs="Liberation Sans" w:ascii="Liberation Sans" w:hAnsi="Liberation Sans"/>
          <w:b/>
          <w:bCs/>
          <w:color w:val="2E75B6"/>
          <w:sz w:val="30"/>
          <w:szCs w:val="30"/>
        </w:rPr>
        <w:t>Exceptions</w:t>
      </w:r>
    </w:p>
    <w:p>
      <w:pPr>
        <w:pStyle w:val="Normal"/>
        <w:spacing w:lineRule="exact" w:line="300" w:before="0" w:after="200"/>
        <w:rPr/>
      </w:pPr>
      <w:r>
        <w:rPr>
          <w:rFonts w:eastAsia="Times New Roman" w:cs="Times New Roman"/>
          <w:b w:val="false"/>
          <w:bCs w:val="false"/>
          <w:color w:val="1F1F1F"/>
          <w:sz w:val="22"/>
          <w:szCs w:val="22"/>
        </w:rPr>
        <w:t>Any exceptions to this policy must be: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Documented with a valid justification</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Reviewed and approved by the Information Security Manager</w:t>
      </w:r>
    </w:p>
    <w:p>
      <w:pPr>
        <w:pStyle w:val="Heading1"/>
        <w:spacing w:before="200" w:after="160"/>
        <w:rPr/>
      </w:pPr>
      <w:bookmarkStart w:id="8" w:name="__RefHeading___Toc273_625877532"/>
      <w:bookmarkEnd w:id="8"/>
      <w:r>
        <w:rPr>
          <w:rFonts w:eastAsia="Liberation Sans" w:cs="Liberation Sans" w:ascii="Liberation Sans" w:hAnsi="Liberation Sans"/>
          <w:b/>
          <w:bCs/>
          <w:color w:val="2E75B6"/>
          <w:sz w:val="30"/>
          <w:szCs w:val="30"/>
        </w:rPr>
        <w:t>Policy Review</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This policy is reviewed </w:t>
      </w:r>
      <w:r>
        <w:rPr>
          <w:rFonts w:eastAsia="Times New Roman" w:cs="Times New Roman"/>
          <w:b/>
          <w:bCs/>
          <w:color w:val="1F1F1F"/>
          <w:sz w:val="22"/>
          <w:szCs w:val="22"/>
        </w:rPr>
        <w:t>annually</w:t>
      </w:r>
      <w:r>
        <w:rPr>
          <w:rFonts w:eastAsia="Times New Roman" w:cs="Times New Roman"/>
          <w:b w:val="false"/>
          <w:bCs w:val="false"/>
          <w:color w:val="1F1F1F"/>
          <w:sz w:val="22"/>
          <w:szCs w:val="22"/>
        </w:rPr>
        <w:t xml:space="preserve"> or upon significant change to the environment or regulatory requirements.</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Data Retention &amp; Disposal Policy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Data Retention &amp; Disposal Policy - Confidential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2026-08-25T02:07:14Z</dcterms:created>
  <dc:creator>Abionic Inc.</dc:creator>
  <dc:description/>
  <dc:language>en-US</dc:language>
  <cp:lastModifiedBy>Abionic Inc.</cp:lastModifiedBy>
  <dcterms:modified xsi:type="dcterms:W3CDTF">2026-08-25T02:07:40Z</dcterms:modified>
  <cp:revision>2</cp:revision>
  <dc:subject/>
  <dc:title/>
</cp:coreProperties>
</file>