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100"/>
        <w:jc w:val="center"/>
        <w:rPr/>
      </w:pPr>
      <w:r>
        <w:rPr>
          <w:rFonts w:eastAsia="Liberation Sans" w:cs="Liberation Sans" w:ascii="Liberation Sans" w:hAnsi="Liberation Sans"/>
          <w:color w:val="000000"/>
          <w:sz w:val="56"/>
          <w:szCs w:val="56"/>
        </w:rPr>
        <w:t>Incident Management Policy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before="360" w:after="80"/>
        <w:jc w:val="center"/>
        <w:rPr/>
      </w:pPr>
      <w:r>
        <w:rPr>
          <w:rFonts w:eastAsia="Georgia" w:cs="Georgia" w:ascii="Georgia" w:hAnsi="Georgia"/>
          <w:i/>
          <w:iCs/>
          <w:color w:val="666666"/>
          <w:sz w:val="48"/>
          <w:szCs w:val="48"/>
        </w:rPr>
        <w:t>Abionic Inc.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 w:cs="Times New Roman"/>
          <w:sz w:val="22"/>
          <w:szCs w:val="22"/>
        </w:rPr>
        <w:t>Version 1.0</w:t>
      </w:r>
    </w:p>
    <w:p>
      <w:pPr>
        <w:pStyle w:val="Normal"/>
        <w:jc w:val="center"/>
        <w:rPr/>
      </w:pPr>
      <w:r>
        <w:rPr>
          <w:rFonts w:eastAsia="Times New Roman" w:cs="Times New Roman"/>
          <w:sz w:val="22"/>
          <w:szCs w:val="22"/>
        </w:rPr>
        <w:t>August 23,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296_54341253">
            <w:r>
              <w:rPr>
                <w:rStyle w:val="IndexLink"/>
              </w:rPr>
              <w:t>Change Log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98_54341253">
            <w:r>
              <w:rPr>
                <w:rStyle w:val="IndexLink"/>
              </w:rPr>
              <w:t>Purpose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00_54341253">
            <w:r>
              <w:rPr>
                <w:rStyle w:val="IndexLink"/>
              </w:rPr>
              <w:t>Scope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02_54341253">
            <w:r>
              <w:rPr>
                <w:rStyle w:val="IndexLink"/>
              </w:rPr>
              <w:t>Definitions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04_54341253">
            <w:r>
              <w:rPr>
                <w:rStyle w:val="IndexLink"/>
              </w:rPr>
              <w:t>Policy Objectives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06_54341253">
            <w:r>
              <w:rPr>
                <w:rStyle w:val="IndexLink"/>
              </w:rPr>
              <w:t>Incident Reporting (A.5.29)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08_54341253">
            <w:r>
              <w:rPr>
                <w:rStyle w:val="IndexLink"/>
              </w:rPr>
              <w:t>Incident Response Process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10_54341253">
            <w:r>
              <w:rPr>
                <w:rStyle w:val="IndexLink"/>
              </w:rPr>
              <w:t>Classification Guidelines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12_54341253">
            <w:r>
              <w:rPr>
                <w:rStyle w:val="IndexLink"/>
              </w:rPr>
              <w:t>Communication and Escalation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14_54341253">
            <w:r>
              <w:rPr>
                <w:rStyle w:val="IndexLink"/>
              </w:rPr>
              <w:t>Evidence Handling and Logging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16_54341253">
            <w:r>
              <w:rPr>
                <w:rStyle w:val="IndexLink"/>
              </w:rPr>
              <w:t>Training and Awareness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18_54341253">
            <w:r>
              <w:rPr>
                <w:rStyle w:val="IndexLink"/>
              </w:rPr>
              <w:t>Testing and Continuous Improvement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20_54341253">
            <w:r>
              <w:rPr>
                <w:rStyle w:val="IndexLink"/>
              </w:rPr>
              <w:t>Roles and Responsibilities (A.5.28)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22_54341253">
            <w:r>
              <w:rPr>
                <w:rStyle w:val="IndexLink"/>
              </w:rPr>
              <w:t>Exceptions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24_54341253">
            <w:r>
              <w:rPr>
                <w:rStyle w:val="IndexLink"/>
              </w:rPr>
              <w:t>Policy Review</w:t>
              <w:tab/>
              <w:t>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296_54341253"/>
      <w:bookmarkEnd w:id="0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Change Log</w:t>
      </w:r>
    </w:p>
    <w:tbl>
      <w:tblPr>
        <w:tblW w:w="944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78"/>
      </w:tblGrid>
      <w:tr>
        <w:trPr>
          <w:tblHeader w:val="true"/>
        </w:trPr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Date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Version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Author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Approved By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Last Updated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Review Frequency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Next Review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1.0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GRC Analyst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Initial version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Information Security Manager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Annually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2027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1" w:name="__RefHeading___Toc298_54341253"/>
      <w:bookmarkEnd w:id="1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Purpose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This policy ensures that Abionic Inc. can detect, report, assess, respond to, and recover from information security incidents in a timely, coordinated, and consistent manner. This policy is aligned with ISO/IEC 27001:2022 (A.5.28 - A.5.31).</w:t>
      </w:r>
    </w:p>
    <w:p>
      <w:pPr>
        <w:pStyle w:val="Heading1"/>
        <w:spacing w:before="200" w:after="160"/>
        <w:rPr/>
      </w:pPr>
      <w:bookmarkStart w:id="2" w:name="__RefHeading___Toc300_54341253"/>
      <w:bookmarkEnd w:id="2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Scope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Applies to all employees, contractors, third-party vendors, and systems under the ISMS scope of Abionic Inc., including production environments, cloud infrastructure (AWS), developer tools, and endpoint devices.</w:t>
      </w:r>
    </w:p>
    <w:p>
      <w:pPr>
        <w:pStyle w:val="Heading1"/>
        <w:spacing w:before="200" w:after="160"/>
        <w:rPr/>
      </w:pPr>
      <w:bookmarkStart w:id="3" w:name="__RefHeading___Toc302_54341253"/>
      <w:bookmarkEnd w:id="3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Definitions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399"/>
        <w:gridCol w:w="6960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Term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Definition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Incident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An event that has or may compromise the confidentiality, integrity, or availability of information or systems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Major Incident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Any incident that significantly disrupts business operations, affects multiple users, or could result in legal/regulatory consequences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Security Event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Observable occurrence (e.g. alert, log entry) that may indicate a security incident</w:t>
            </w:r>
          </w:p>
        </w:tc>
      </w:tr>
    </w:tbl>
    <w:p>
      <w:pPr>
        <w:pStyle w:val="Heading1"/>
        <w:spacing w:before="200" w:after="160"/>
        <w:rPr/>
      </w:pPr>
      <w:bookmarkStart w:id="4" w:name="__RefHeading___Toc304_54341253"/>
      <w:bookmarkEnd w:id="4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Policy Objectives</w:t>
      </w:r>
    </w:p>
    <w:p>
      <w:pPr>
        <w:pStyle w:val="ListParagraph"/>
        <w:numPr>
          <w:ilvl w:val="0"/>
          <w:numId w:val="3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Detect and respond to incidents quickly and effectively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Minimise business disruption and data loss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Fulfil legal, regulatory, and contractual obligations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Maintain accurate incident records for accountability and continuous improvement</w:t>
      </w:r>
    </w:p>
    <w:p>
      <w:pPr>
        <w:pStyle w:val="Heading1"/>
        <w:spacing w:before="200" w:after="160"/>
        <w:rPr/>
      </w:pPr>
      <w:bookmarkStart w:id="5" w:name="__RefHeading___Toc306_54341253"/>
      <w:bookmarkEnd w:id="5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Incident Reporting (A.5.29)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All incidents must be reported via: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Email to security@abionicinc.com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Internal Slack channel #security-incidents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Reports must include: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Description of the issue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Time and location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Systems and users affected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Any known actions taken</w:t>
      </w:r>
    </w:p>
    <w:p>
      <w:pPr>
        <w:pStyle w:val="Heading1"/>
        <w:spacing w:before="200" w:after="160"/>
        <w:rPr/>
      </w:pPr>
      <w:bookmarkStart w:id="6" w:name="__RefHeading___Toc308_54341253"/>
      <w:bookmarkEnd w:id="6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Incident Response Process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99"/>
        <w:gridCol w:w="7160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Stage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Action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Detection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Monitor logs, alerts, and user reports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Assessment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Validate and classify the incident (Low, Medium, High, Critical)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Containment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Isolate affected systems, accounts, or services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Eradication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Remove root cause (e.g. patching, access revocation)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Recovery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Restore systems to a secure operational state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Notification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Inform internal stakeholders, customers, or regulators as required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Lessons Learned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Conduct post-incident review and update controls (A.5.31)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7" w:name="__RefHeading___Toc310_54341253"/>
      <w:bookmarkEnd w:id="7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Classification Guidelines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99"/>
        <w:gridCol w:w="7560"/>
      </w:tblGrid>
      <w:tr>
        <w:trPr>
          <w:tblHeader w:val="true"/>
        </w:trPr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Level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Low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Minimal impact, handled by IT with no customer effect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Medium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Limited disruption, some user accounts or internal systems affected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High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Customer-facing impact, potential breach of confidential data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Critical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Severe system compromise, legal or regulatory implications, widespread outage</w:t>
            </w:r>
          </w:p>
        </w:tc>
      </w:tr>
    </w:tbl>
    <w:p>
      <w:pPr>
        <w:pStyle w:val="Heading1"/>
        <w:spacing w:before="200" w:after="160"/>
        <w:rPr/>
      </w:pPr>
      <w:bookmarkStart w:id="8" w:name="__RefHeading___Toc312_54341253"/>
      <w:bookmarkEnd w:id="8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Communication and Escalation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Internal escalation follows the ISMS contact chain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Legal or PR teams must be informed for incidents involving data breaches or media risk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Customers must be informed if their data is affected, following contractual or regulatory timelines.</w:t>
      </w:r>
    </w:p>
    <w:p>
      <w:pPr>
        <w:pStyle w:val="Heading1"/>
        <w:spacing w:before="200" w:after="160"/>
        <w:rPr/>
      </w:pPr>
      <w:bookmarkStart w:id="9" w:name="__RefHeading___Toc314_54341253"/>
      <w:bookmarkEnd w:id="9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Evidence Handling and Logging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Incident-related logs must be preserved and secured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Screenshots, network captures, and audit trails are stored in a restricted-access incident evidence folder</w:t>
      </w:r>
    </w:p>
    <w:p>
      <w:pPr>
        <w:pStyle w:val="Heading1"/>
        <w:spacing w:before="200" w:after="160"/>
        <w:rPr/>
      </w:pPr>
      <w:bookmarkStart w:id="10" w:name="__RefHeading___Toc316_54341253"/>
      <w:bookmarkEnd w:id="10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Training and Awareness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All staff must complete incident reporting awareness training </w:t>
      </w:r>
      <w:r>
        <w:rPr>
          <w:rFonts w:eastAsia="Times New Roman" w:cs="Times New Roman"/>
          <w:b/>
          <w:bCs/>
          <w:color w:val="1F1F1F"/>
          <w:sz w:val="22"/>
          <w:szCs w:val="22"/>
        </w:rPr>
        <w:t>annually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Technical teams participate in tabletop exercises or incident simulations every 12 months</w:t>
      </w:r>
    </w:p>
    <w:p>
      <w:pPr>
        <w:pStyle w:val="Heading1"/>
        <w:spacing w:before="200" w:after="160"/>
        <w:rPr/>
      </w:pPr>
      <w:bookmarkStart w:id="11" w:name="__RefHeading___Toc318_54341253"/>
      <w:bookmarkEnd w:id="11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Testing and Continuous Improvement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Incident response procedures must be tested </w:t>
      </w:r>
      <w:r>
        <w:rPr>
          <w:rFonts w:eastAsia="Times New Roman" w:cs="Times New Roman"/>
          <w:b/>
          <w:bCs/>
          <w:color w:val="1F1F1F"/>
          <w:sz w:val="22"/>
          <w:szCs w:val="22"/>
        </w:rPr>
        <w:t>at least annually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Every major incident must result in a formal </w:t>
      </w:r>
      <w:r>
        <w:rPr>
          <w:rFonts w:eastAsia="Times New Roman" w:cs="Times New Roman"/>
          <w:b/>
          <w:bCs/>
          <w:color w:val="1F1F1F"/>
          <w:sz w:val="22"/>
          <w:szCs w:val="22"/>
        </w:rPr>
        <w:t>post-incident report</w:t>
      </w: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, including root cause, corrective actions, and ISMS control updates</w:t>
      </w:r>
    </w:p>
    <w:p>
      <w:pPr>
        <w:pStyle w:val="Heading1"/>
        <w:spacing w:before="200" w:after="160"/>
        <w:rPr/>
      </w:pPr>
      <w:bookmarkStart w:id="12" w:name="__RefHeading___Toc320_54341253"/>
      <w:bookmarkEnd w:id="12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Roles and Responsibilities (A.5.28)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00"/>
        <w:gridCol w:w="6159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Role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Responsibilities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All Users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Report suspected incidents immediately via the designated channel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Incident Handler (InfoSec Analyst)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Lead technical response and evidence collection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Information Security Manager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Approve severity classification, coordinate escalation, ensure response plans are tested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GRC Analyst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Maintain incident register and support post-incident reviews</w:t>
            </w:r>
          </w:p>
        </w:tc>
      </w:tr>
    </w:tbl>
    <w:p>
      <w:pPr>
        <w:pStyle w:val="Heading1"/>
        <w:spacing w:before="200" w:after="160"/>
        <w:rPr/>
      </w:pPr>
      <w:bookmarkStart w:id="13" w:name="__RefHeading___Toc322_54341253"/>
      <w:bookmarkEnd w:id="13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Exceptions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Exceptions must be: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Documented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Approved by the Information Security Manager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Mitigated with alternative controls where feasible</w:t>
      </w:r>
    </w:p>
    <w:p>
      <w:pPr>
        <w:pStyle w:val="Heading1"/>
        <w:spacing w:before="200" w:after="160"/>
        <w:rPr/>
      </w:pPr>
      <w:bookmarkStart w:id="14" w:name="__RefHeading___Toc324_54341253"/>
      <w:bookmarkEnd w:id="14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Policy Review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This policy is reviewed </w:t>
      </w:r>
      <w:r>
        <w:rPr>
          <w:rFonts w:eastAsia="Times New Roman" w:cs="Times New Roman"/>
          <w:b/>
          <w:bCs/>
          <w:color w:val="1F1F1F"/>
          <w:sz w:val="22"/>
          <w:szCs w:val="22"/>
        </w:rPr>
        <w:t>annually</w:t>
      </w: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 or upon significant change to the environment or regulatory requirements.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6"/>
        <w:szCs w:val="16"/>
      </w:rPr>
      <w:t>Abionic Inc. - Incident Management Policy - Confidential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6"/>
        <w:szCs w:val="16"/>
      </w:rPr>
      <w:t>Abionic Inc. - Incident Management Policy - Confidential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pPr>
      <w:outlineLvl w:val="4"/>
    </w:pPr>
    <w:rPr>
      <w:color w:val="2E74B5"/>
    </w:rPr>
  </w:style>
  <w:style w:type="paragraph" w:styleId="Heading6">
    <w:name w:val="Heading 6"/>
    <w:basedOn w:val="Heading"/>
    <w:qFormat/>
    <w:pPr>
      <w:outlineLvl w:val="5"/>
    </w:pPr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2026-08-25T02:07:14Z</dcterms:created>
  <dc:creator>Abionic Inc.</dc:creator>
  <dc:description/>
  <dc:language>en-US</dc:language>
  <cp:lastModifiedBy>Abionic Inc.</cp:lastModifiedBy>
  <dcterms:modified xsi:type="dcterms:W3CDTF">2026-08-25T02:07:42Z</dcterms:modified>
  <cp:revision>2</cp:revision>
  <dc:subject/>
  <dc:title/>
</cp:coreProperties>
</file>