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100"/>
        <w:jc w:val="center"/>
        <w:rPr/>
      </w:pPr>
      <w:r>
        <w:rPr>
          <w:rFonts w:eastAsia="Liberation Sans" w:cs="Liberation Sans" w:ascii="Liberation Sans" w:hAnsi="Liberation Sans"/>
          <w:color w:val="000000"/>
          <w:sz w:val="56"/>
          <w:szCs w:val="56"/>
        </w:rPr>
        <w:t>Monitoring &amp; Logging Policy</w:t>
      </w:r>
    </w:p>
    <w:p>
      <w:pPr>
        <w:pStyle w:val="Normal"/>
        <w:jc w:val="center"/>
        <w:rPr/>
      </w:pPr>
      <w:r>
        <w:rPr/>
      </w:r>
    </w:p>
    <w:p>
      <w:pPr>
        <w:pStyle w:val="Normal"/>
        <w:jc w:val="center"/>
        <w:rPr/>
      </w:pPr>
      <w:r>
        <w:rPr/>
      </w:r>
    </w:p>
    <w:p>
      <w:pPr>
        <w:pStyle w:val="Normal"/>
        <w:spacing w:before="360" w:after="80"/>
        <w:jc w:val="center"/>
        <w:rPr/>
      </w:pPr>
      <w:r>
        <w:rPr>
          <w:rFonts w:eastAsia="Georgia" w:cs="Georgia" w:ascii="Georgia" w:hAnsi="Georgia"/>
          <w:i/>
          <w:iCs/>
          <w:color w:val="666666"/>
          <w:sz w:val="48"/>
          <w:szCs w:val="48"/>
        </w:rPr>
        <w:t>Abionic Inc.</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Fonts w:eastAsia="Times New Roman" w:cs="Times New Roman"/>
          <w:sz w:val="22"/>
          <w:szCs w:val="22"/>
        </w:rPr>
        <w:t>Version 1.1</w:t>
      </w:r>
    </w:p>
    <w:p>
      <w:pPr>
        <w:pStyle w:val="Normal"/>
        <w:jc w:val="center"/>
        <w:rPr/>
      </w:pPr>
      <w:r>
        <w:rPr>
          <w:rFonts w:eastAsia="Times New Roman" w:cs="Times New Roman"/>
          <w:sz w:val="22"/>
          <w:szCs w:val="22"/>
        </w:rPr>
        <w:t>August 31, 2026</w:t>
      </w:r>
    </w:p>
    <w:p>
      <w:pPr>
        <w:pStyle w:val="Normal"/>
        <w:rPr/>
      </w:pPr>
      <w:r>
        <w:rPr/>
      </w:r>
      <w:r>
        <w:br w:type="page"/>
      </w:r>
    </w:p>
    <w:p>
      <w:pPr>
        <w:pStyle w:val="Normal"/>
        <w:spacing w:before="0" w:after="200"/>
        <w:rPr/>
      </w:pPr>
      <w:r>
        <w:rPr>
          <w:rFonts w:eastAsia="Liberation Sans" w:cs="Liberation Sans" w:ascii="Liberation Sans" w:hAnsi="Liberation Sans"/>
          <w:b/>
          <w:bCs/>
          <w:color w:val="2E75B6"/>
          <w:sz w:val="30"/>
          <w:szCs w:val="30"/>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238_224061569">
            <w:r>
              <w:rPr>
                <w:rStyle w:val="IndexLink"/>
              </w:rPr>
              <w:t>Change Log</w:t>
              <w:tab/>
              <w:t>3</w:t>
            </w:r>
          </w:hyperlink>
        </w:p>
        <w:p>
          <w:pPr>
            <w:pStyle w:val="TOC1"/>
            <w:tabs>
              <w:tab w:val="clear" w:pos="9360"/>
              <w:tab w:val="right" w:pos="9359" w:leader="dot"/>
            </w:tabs>
            <w:rPr/>
          </w:pPr>
          <w:hyperlink w:anchor="__RefHeading___Toc240_224061569">
            <w:r>
              <w:rPr>
                <w:rStyle w:val="IndexLink"/>
              </w:rPr>
              <w:t>Purpose</w:t>
              <w:tab/>
              <w:t>4</w:t>
            </w:r>
          </w:hyperlink>
        </w:p>
        <w:p>
          <w:pPr>
            <w:pStyle w:val="TOC1"/>
            <w:tabs>
              <w:tab w:val="clear" w:pos="9360"/>
              <w:tab w:val="right" w:pos="9359" w:leader="dot"/>
            </w:tabs>
            <w:rPr/>
          </w:pPr>
          <w:hyperlink w:anchor="__RefHeading___Toc242_224061569">
            <w:r>
              <w:rPr>
                <w:rStyle w:val="IndexLink"/>
              </w:rPr>
              <w:t>Scope</w:t>
              <w:tab/>
              <w:t>4</w:t>
            </w:r>
          </w:hyperlink>
        </w:p>
        <w:p>
          <w:pPr>
            <w:pStyle w:val="TOC1"/>
            <w:tabs>
              <w:tab w:val="clear" w:pos="9360"/>
              <w:tab w:val="right" w:pos="9359" w:leader="dot"/>
            </w:tabs>
            <w:rPr/>
          </w:pPr>
          <w:hyperlink w:anchor="__RefHeading___Toc244_224061569">
            <w:r>
              <w:rPr>
                <w:rStyle w:val="IndexLink"/>
              </w:rPr>
              <w:t>Objectives</w:t>
              <w:tab/>
              <w:t>4</w:t>
            </w:r>
          </w:hyperlink>
        </w:p>
        <w:p>
          <w:pPr>
            <w:pStyle w:val="TOC1"/>
            <w:tabs>
              <w:tab w:val="clear" w:pos="9360"/>
              <w:tab w:val="right" w:pos="9359" w:leader="dot"/>
            </w:tabs>
            <w:rPr/>
          </w:pPr>
          <w:hyperlink w:anchor="__RefHeading___Toc246_224061569">
            <w:r>
              <w:rPr>
                <w:rStyle w:val="IndexLink"/>
              </w:rPr>
              <w:t>Logging Requirements (A.8.15)</w:t>
              <w:tab/>
              <w:t>4</w:t>
            </w:r>
          </w:hyperlink>
        </w:p>
        <w:p>
          <w:pPr>
            <w:pStyle w:val="TOC1"/>
            <w:tabs>
              <w:tab w:val="clear" w:pos="9360"/>
              <w:tab w:val="right" w:pos="9359" w:leader="dot"/>
            </w:tabs>
            <w:rPr/>
          </w:pPr>
          <w:hyperlink w:anchor="__RefHeading___Toc248_224061569">
            <w:r>
              <w:rPr>
                <w:rStyle w:val="IndexLink"/>
              </w:rPr>
              <w:t>Retention and Storage (A.8.15)</w:t>
              <w:tab/>
              <w:t>4</w:t>
            </w:r>
          </w:hyperlink>
        </w:p>
        <w:p>
          <w:pPr>
            <w:pStyle w:val="TOC1"/>
            <w:tabs>
              <w:tab w:val="clear" w:pos="9360"/>
              <w:tab w:val="right" w:pos="9359" w:leader="dot"/>
            </w:tabs>
            <w:rPr/>
          </w:pPr>
          <w:hyperlink w:anchor="__RefHeading___Toc250_224061569">
            <w:r>
              <w:rPr>
                <w:rStyle w:val="IndexLink"/>
              </w:rPr>
              <w:t>Protection and Integrity</w:t>
              <w:tab/>
              <w:t>4</w:t>
            </w:r>
          </w:hyperlink>
        </w:p>
        <w:p>
          <w:pPr>
            <w:pStyle w:val="TOC1"/>
            <w:tabs>
              <w:tab w:val="clear" w:pos="9360"/>
              <w:tab w:val="right" w:pos="9359" w:leader="dot"/>
            </w:tabs>
            <w:rPr/>
          </w:pPr>
          <w:hyperlink w:anchor="__RefHeading___Toc252_224061569">
            <w:r>
              <w:rPr>
                <w:rStyle w:val="IndexLink"/>
              </w:rPr>
              <w:t>Review and Monitoring</w:t>
              <w:tab/>
              <w:t>6</w:t>
            </w:r>
          </w:hyperlink>
        </w:p>
        <w:p>
          <w:pPr>
            <w:pStyle w:val="TOC1"/>
            <w:tabs>
              <w:tab w:val="clear" w:pos="9360"/>
              <w:tab w:val="right" w:pos="9359" w:leader="dot"/>
            </w:tabs>
            <w:rPr/>
          </w:pPr>
          <w:hyperlink w:anchor="__RefHeading___Toc254_224061569">
            <w:r>
              <w:rPr>
                <w:rStyle w:val="IndexLink"/>
              </w:rPr>
              <w:t>Real-Time Monitoring (A.8.16)</w:t>
              <w:tab/>
              <w:t>6</w:t>
            </w:r>
          </w:hyperlink>
        </w:p>
        <w:p>
          <w:pPr>
            <w:pStyle w:val="TOC1"/>
            <w:tabs>
              <w:tab w:val="clear" w:pos="9360"/>
              <w:tab w:val="right" w:pos="9359" w:leader="dot"/>
            </w:tabs>
            <w:rPr/>
          </w:pPr>
          <w:hyperlink w:anchor="__RefHeading___Toc256_224061569">
            <w:r>
              <w:rPr>
                <w:rStyle w:val="IndexLink"/>
              </w:rPr>
              <w:t>Integration with Incident Management</w:t>
              <w:tab/>
              <w:t>6</w:t>
            </w:r>
          </w:hyperlink>
        </w:p>
        <w:p>
          <w:pPr>
            <w:pStyle w:val="TOC1"/>
            <w:tabs>
              <w:tab w:val="clear" w:pos="9360"/>
              <w:tab w:val="right" w:pos="9359" w:leader="dot"/>
            </w:tabs>
            <w:rPr/>
          </w:pPr>
          <w:hyperlink w:anchor="__RefHeading___Toc258_224061569">
            <w:r>
              <w:rPr>
                <w:rStyle w:val="IndexLink"/>
              </w:rPr>
              <w:t>Roles and Responsibilities</w:t>
              <w:tab/>
              <w:t>6</w:t>
            </w:r>
          </w:hyperlink>
        </w:p>
        <w:p>
          <w:pPr>
            <w:pStyle w:val="TOC1"/>
            <w:tabs>
              <w:tab w:val="clear" w:pos="9360"/>
              <w:tab w:val="right" w:pos="9359" w:leader="dot"/>
            </w:tabs>
            <w:rPr/>
          </w:pPr>
          <w:hyperlink w:anchor="__RefHeading___Toc260_224061569">
            <w:r>
              <w:rPr>
                <w:rStyle w:val="IndexLink"/>
              </w:rPr>
              <w:t>Compliance and Auditing</w:t>
              <w:tab/>
              <w:t>6</w:t>
            </w:r>
          </w:hyperlink>
        </w:p>
        <w:p>
          <w:pPr>
            <w:pStyle w:val="TOC1"/>
            <w:tabs>
              <w:tab w:val="clear" w:pos="9360"/>
              <w:tab w:val="right" w:pos="9359" w:leader="dot"/>
            </w:tabs>
            <w:rPr/>
          </w:pPr>
          <w:hyperlink w:anchor="__RefHeading___Toc262_224061569">
            <w:r>
              <w:rPr>
                <w:rStyle w:val="IndexLink"/>
              </w:rPr>
              <w:t>Exceptions</w:t>
              <w:tab/>
              <w:t>7</w:t>
            </w:r>
          </w:hyperlink>
        </w:p>
        <w:p>
          <w:pPr>
            <w:pStyle w:val="TOC1"/>
            <w:tabs>
              <w:tab w:val="clear" w:pos="9360"/>
              <w:tab w:val="right" w:pos="9359" w:leader="dot"/>
            </w:tabs>
            <w:rPr/>
          </w:pPr>
          <w:hyperlink w:anchor="__RefHeading___Toc264_224061569">
            <w:r>
              <w:rPr>
                <w:rStyle w:val="IndexLink"/>
              </w:rPr>
              <w:t>Policy Review</w:t>
              <w:tab/>
              <w:t>7</w:t>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1" w:name="__RefHeading___Toc238_224061569"/>
      <w:bookmarkEnd w:id="1"/>
      <w:r>
        <w:rPr>
          <w:rFonts w:eastAsia="Liberation Sans" w:cs="Liberation Sans" w:ascii="Liberation Sans" w:hAnsi="Liberation Sans"/>
          <w:b/>
          <w:bCs/>
          <w:color w:val="2E75B6"/>
          <w:sz w:val="30"/>
          <w:szCs w:val="30"/>
        </w:rPr>
        <w:t>Change Log</w:t>
      </w:r>
    </w:p>
    <w:tbl>
      <w:tblPr>
        <w:tblW w:w="9440" w:type="dxa"/>
        <w:jc w:val="left"/>
        <w:tblInd w:w="0" w:type="dxa"/>
        <w:tblLayout w:type="fixed"/>
        <w:tblCellMar>
          <w:top w:w="80" w:type="dxa"/>
          <w:left w:w="100" w:type="dxa"/>
          <w:bottom w:w="80" w:type="dxa"/>
          <w:right w:w="100" w:type="dxa"/>
        </w:tblCellMar>
      </w:tblPr>
      <w:tblGrid>
        <w:gridCol w:w="1180"/>
        <w:gridCol w:w="1180"/>
        <w:gridCol w:w="1180"/>
        <w:gridCol w:w="1180"/>
        <w:gridCol w:w="1180"/>
        <w:gridCol w:w="1180"/>
        <w:gridCol w:w="1180"/>
        <w:gridCol w:w="1178"/>
      </w:tblGrid>
      <w:tr>
        <w:trPr>
          <w:tblHeader w:val="true"/>
        </w:trPr>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Date</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Version</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Author</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Description</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Approved By</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Last Updated</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Review Frequency</w:t>
            </w:r>
          </w:p>
        </w:tc>
        <w:tc>
          <w:tcPr>
            <w:tcW w:w="1178"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Next Review</w:t>
            </w:r>
          </w:p>
        </w:tc>
      </w:tr>
      <w:tr>
        <w:trPr/>
        <w:tc>
          <w:tcPr>
            <w:tcW w:w="1180" w:type="dxa"/>
            <w:tcBorders>
              <w:top w:val="single" w:sz="4" w:space="0" w:color="BFBFBF"/>
              <w:left w:val="single" w:sz="4" w:space="0" w:color="BFBFBF"/>
              <w:bottom w:val="single" w:sz="4" w:space="0" w:color="BFBFBF"/>
              <w:right w:val="single" w:sz="4" w:space="0" w:color="BFBFBF"/>
            </w:tcBorders>
          </w:tcPr>
          <w:p>
            <w:r>
              <w:t>August 23, 2026</w:t>
            </w:r>
          </w:p>
        </w:tc>
        <w:tc>
          <w:tcPr>
            <w:tcW w:w="1180" w:type="dxa"/>
            <w:tcBorders>
              <w:top w:val="single" w:sz="4" w:space="0" w:color="BFBFBF"/>
              <w:left w:val="single" w:sz="4" w:space="0" w:color="BFBFBF"/>
              <w:bottom w:val="single" w:sz="4" w:space="0" w:color="BFBFBF"/>
              <w:right w:val="single" w:sz="4" w:space="0" w:color="BFBFBF"/>
            </w:tcBorders>
          </w:tcPr>
          <w:p>
            <w:r>
              <w:t>1.0</w:t>
            </w:r>
          </w:p>
        </w:tc>
        <w:tc>
          <w:tcPr>
            <w:tcW w:w="1180" w:type="dxa"/>
            <w:tcBorders>
              <w:top w:val="single" w:sz="4" w:space="0" w:color="BFBFBF"/>
              <w:left w:val="single" w:sz="4" w:space="0" w:color="BFBFBF"/>
              <w:bottom w:val="single" w:sz="4" w:space="0" w:color="BFBFBF"/>
              <w:right w:val="single" w:sz="4" w:space="0" w:color="BFBFBF"/>
            </w:tcBorders>
          </w:tcPr>
          <w:p>
            <w:r>
              <w:t>GRC Analyst</w:t>
            </w:r>
          </w:p>
        </w:tc>
        <w:tc>
          <w:tcPr>
            <w:tcW w:w="1180" w:type="dxa"/>
            <w:tcBorders>
              <w:top w:val="single" w:sz="4" w:space="0" w:color="BFBFBF"/>
              <w:left w:val="single" w:sz="4" w:space="0" w:color="BFBFBF"/>
              <w:bottom w:val="single" w:sz="4" w:space="0" w:color="BFBFBF"/>
              <w:right w:val="single" w:sz="4" w:space="0" w:color="BFBFBF"/>
            </w:tcBorders>
          </w:tcPr>
          <w:p>
            <w:r>
              <w:t>Initial version</w:t>
            </w:r>
          </w:p>
        </w:tc>
        <w:tc>
          <w:tcPr>
            <w:tcW w:w="1180" w:type="dxa"/>
            <w:tcBorders>
              <w:top w:val="single" w:sz="4" w:space="0" w:color="BFBFBF"/>
              <w:left w:val="single" w:sz="4" w:space="0" w:color="BFBFBF"/>
              <w:bottom w:val="single" w:sz="4" w:space="0" w:color="BFBFBF"/>
              <w:right w:val="single" w:sz="4" w:space="0" w:color="BFBFBF"/>
            </w:tcBorders>
          </w:tcPr>
          <w:p>
            <w:r>
              <w:t>Information Security Manager</w:t>
            </w:r>
          </w:p>
        </w:tc>
        <w:tc>
          <w:tcPr>
            <w:tcW w:w="1180" w:type="dxa"/>
            <w:tcBorders>
              <w:top w:val="single" w:sz="4" w:space="0" w:color="BFBFBF"/>
              <w:left w:val="single" w:sz="4" w:space="0" w:color="BFBFBF"/>
              <w:bottom w:val="single" w:sz="4" w:space="0" w:color="BFBFBF"/>
              <w:right w:val="single" w:sz="4" w:space="0" w:color="BFBFBF"/>
            </w:tcBorders>
          </w:tcPr>
          <w:p>
            <w:r>
              <w:t>August 23, 2026</w:t>
            </w:r>
          </w:p>
        </w:tc>
        <w:tc>
          <w:tcPr>
            <w:tcW w:w="1180" w:type="dxa"/>
            <w:tcBorders>
              <w:top w:val="single" w:sz="4" w:space="0" w:color="BFBFBF"/>
              <w:left w:val="single" w:sz="4" w:space="0" w:color="BFBFBF"/>
              <w:bottom w:val="single" w:sz="4" w:space="0" w:color="BFBFBF"/>
              <w:right w:val="single" w:sz="4" w:space="0" w:color="BFBFBF"/>
            </w:tcBorders>
          </w:tcPr>
          <w:p>
            <w:r>
              <w:t>Annually</w:t>
            </w:r>
          </w:p>
        </w:tc>
        <w:tc>
          <w:tcPr>
            <w:tcW w:w="1178" w:type="dxa"/>
            <w:tcBorders>
              <w:top w:val="single" w:sz="4" w:space="0" w:color="BFBFBF"/>
              <w:left w:val="single" w:sz="4" w:space="0" w:color="BFBFBF"/>
              <w:bottom w:val="single" w:sz="4" w:space="0" w:color="BFBFBF"/>
              <w:right w:val="single" w:sz="4" w:space="0" w:color="BFBFBF"/>
            </w:tcBorders>
          </w:tcPr>
          <w:p>
            <w:r>
              <w:t>August 23, 2027</w:t>
            </w:r>
          </w:p>
        </w:tc>
      </w:tr>
      <w:tr>
        <w:trPr/>
        <w:tc>
          <w:tcPr>
            <w:tcW w:w="1180" w:type="dxa"/>
            <w:tcBorders>
              <w:top w:val="single" w:sz="4" w:space="0" w:color="BFBFBF"/>
              <w:left w:val="single" w:sz="4" w:space="0" w:color="BFBFBF"/>
              <w:bottom w:val="single" w:sz="4" w:space="0" w:color="BFBFBF"/>
              <w:right w:val="single" w:sz="4" w:space="0" w:color="BFBFBF"/>
            </w:tcBorders>
          </w:tcPr>
          <w:p>
            <w:r>
              <w:t>August 31, 2026</w:t>
            </w:r>
          </w:p>
        </w:tc>
        <w:tc>
          <w:tcPr>
            <w:tcW w:w="1180" w:type="dxa"/>
            <w:tcBorders>
              <w:top w:val="single" w:sz="4" w:space="0" w:color="BFBFBF"/>
              <w:left w:val="single" w:sz="4" w:space="0" w:color="BFBFBF"/>
              <w:bottom w:val="single" w:sz="4" w:space="0" w:color="BFBFBF"/>
              <w:right w:val="single" w:sz="4" w:space="0" w:color="BFBFBF"/>
            </w:tcBorders>
          </w:tcPr>
          <w:p>
            <w:r>
              <w:t>1.1</w:t>
            </w:r>
          </w:p>
        </w:tc>
        <w:tc>
          <w:tcPr>
            <w:tcW w:w="1180" w:type="dxa"/>
            <w:tcBorders>
              <w:top w:val="single" w:sz="4" w:space="0" w:color="BFBFBF"/>
              <w:left w:val="single" w:sz="4" w:space="0" w:color="BFBFBF"/>
              <w:bottom w:val="single" w:sz="4" w:space="0" w:color="BFBFBF"/>
              <w:right w:val="single" w:sz="4" w:space="0" w:color="BFBFBF"/>
            </w:tcBorders>
          </w:tcPr>
          <w:p>
            <w:r>
              <w:t>GRC Analyst</w:t>
            </w:r>
          </w:p>
        </w:tc>
        <w:tc>
          <w:tcPr>
            <w:tcW w:w="1180" w:type="dxa"/>
            <w:tcBorders>
              <w:top w:val="single" w:sz="4" w:space="0" w:color="BFBFBF"/>
              <w:left w:val="single" w:sz="4" w:space="0" w:color="BFBFBF"/>
              <w:bottom w:val="single" w:sz="4" w:space="0" w:color="BFBFBF"/>
              <w:right w:val="single" w:sz="4" w:space="0" w:color="BFBFBF"/>
            </w:tcBorders>
          </w:tcPr>
          <w:p>
            <w:r>
              <w:t>Added Clock Synchronisation section (A.8.17)</w:t>
            </w:r>
          </w:p>
        </w:tc>
        <w:tc>
          <w:tcPr>
            <w:tcW w:w="1180" w:type="dxa"/>
            <w:tcBorders>
              <w:top w:val="single" w:sz="4" w:space="0" w:color="BFBFBF"/>
              <w:left w:val="single" w:sz="4" w:space="0" w:color="BFBFBF"/>
              <w:bottom w:val="single" w:sz="4" w:space="0" w:color="BFBFBF"/>
              <w:right w:val="single" w:sz="4" w:space="0" w:color="BFBFBF"/>
            </w:tcBorders>
          </w:tcPr>
          <w:p>
            <w:r>
              <w:t>Information Security Manager</w:t>
            </w:r>
          </w:p>
        </w:tc>
        <w:tc>
          <w:tcPr>
            <w:tcW w:w="1180" w:type="dxa"/>
            <w:tcBorders>
              <w:top w:val="single" w:sz="4" w:space="0" w:color="BFBFBF"/>
              <w:left w:val="single" w:sz="4" w:space="0" w:color="BFBFBF"/>
              <w:bottom w:val="single" w:sz="4" w:space="0" w:color="BFBFBF"/>
              <w:right w:val="single" w:sz="4" w:space="0" w:color="BFBFBF"/>
            </w:tcBorders>
          </w:tcPr>
          <w:p>
            <w:r>
              <w:t>August 31, 2026</w:t>
            </w:r>
          </w:p>
        </w:tc>
        <w:tc>
          <w:tcPr>
            <w:tcW w:w="1180" w:type="dxa"/>
            <w:tcBorders>
              <w:top w:val="single" w:sz="4" w:space="0" w:color="BFBFBF"/>
              <w:left w:val="single" w:sz="4" w:space="0" w:color="BFBFBF"/>
              <w:bottom w:val="single" w:sz="4" w:space="0" w:color="BFBFBF"/>
              <w:right w:val="single" w:sz="4" w:space="0" w:color="BFBFBF"/>
            </w:tcBorders>
          </w:tcPr>
          <w:p>
            <w:r>
              <w:t>Annually</w:t>
            </w:r>
          </w:p>
        </w:tc>
        <w:tc>
          <w:tcPr>
            <w:tcW w:w="1178" w:type="dxa"/>
            <w:tcBorders>
              <w:top w:val="single" w:sz="4" w:space="0" w:color="BFBFBF"/>
              <w:left w:val="single" w:sz="4" w:space="0" w:color="BFBFBF"/>
              <w:bottom w:val="single" w:sz="4" w:space="0" w:color="BFBFBF"/>
              <w:right w:val="single" w:sz="4" w:space="0" w:color="BFBFBF"/>
            </w:tcBorders>
          </w:tcPr>
          <w:p>
            <w:r>
              <w:t>August 31, 2027</w:t>
            </w:r>
          </w:p>
        </w:tc>
      </w:tr>
      <w:tr>
        <w:trPr/>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78"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r>
    </w:tbl>
    <w:p>
      <w:pPr>
        <w:pStyle w:val="Normal"/>
        <w:rPr/>
      </w:pPr>
      <w:r>
        <w:rPr/>
      </w:r>
      <w:r>
        <w:br w:type="page"/>
      </w:r>
    </w:p>
    <w:p>
      <w:pPr>
        <w:pStyle w:val="Heading1"/>
        <w:spacing w:before="0" w:after="160"/>
        <w:rPr/>
      </w:pPr>
      <w:bookmarkStart w:id="2" w:name="__RefHeading___Toc240_224061569"/>
      <w:bookmarkEnd w:id="2"/>
      <w:r>
        <w:rPr>
          <w:rFonts w:eastAsia="Liberation Sans" w:cs="Liberation Sans" w:ascii="Liberation Sans" w:hAnsi="Liberation Sans"/>
          <w:b/>
          <w:bCs/>
          <w:color w:val="2E75B6"/>
          <w:sz w:val="30"/>
          <w:szCs w:val="30"/>
        </w:rPr>
        <w:t>Purpose</w:t>
      </w:r>
    </w:p>
    <w:p>
      <w:pPr>
        <w:pStyle w:val="Normal"/>
        <w:spacing w:lineRule="exact" w:line="300" w:before="0" w:after="200"/>
        <w:rPr/>
      </w:pPr>
      <w:r>
        <w:rPr>
          <w:rFonts w:eastAsia="Times New Roman" w:cs="Times New Roman"/>
          <w:b w:val="false"/>
          <w:bCs w:val="false"/>
          <w:color w:val="1F1F1F"/>
          <w:sz w:val="22"/>
          <w:szCs w:val="22"/>
        </w:rPr>
        <w:t>This policy ensures that Abionic Inc. effectively monitors its information systems to detect, investigate, and respond to unauthorised or abnormal activities while maintaining the integrity and confidentiality of logs. This policy is aligned with ISO/IEC 27001:2022 (A.8.15 - A.8.17).</w:t>
      </w:r>
    </w:p>
    <w:p>
      <w:pPr>
        <w:pStyle w:val="Heading1"/>
        <w:spacing w:before="200" w:after="160"/>
        <w:rPr/>
      </w:pPr>
      <w:bookmarkStart w:id="3" w:name="__RefHeading___Toc242_224061569"/>
      <w:bookmarkEnd w:id="3"/>
      <w:r>
        <w:rPr>
          <w:rFonts w:eastAsia="Liberation Sans" w:cs="Liberation Sans" w:ascii="Liberation Sans" w:hAnsi="Liberation Sans"/>
          <w:b/>
          <w:bCs/>
          <w:color w:val="2E75B6"/>
          <w:sz w:val="30"/>
          <w:szCs w:val="30"/>
        </w:rPr>
        <w:t>Scope</w:t>
      </w:r>
    </w:p>
    <w:p>
      <w:pPr>
        <w:pStyle w:val="Normal"/>
        <w:spacing w:lineRule="exact" w:line="300" w:before="0" w:after="200"/>
        <w:rPr/>
      </w:pPr>
      <w:r>
        <w:rPr>
          <w:rFonts w:eastAsia="Times New Roman" w:cs="Times New Roman"/>
          <w:b w:val="false"/>
          <w:bCs w:val="false"/>
          <w:color w:val="1F1F1F"/>
          <w:sz w:val="22"/>
          <w:szCs w:val="22"/>
        </w:rPr>
        <w:t>Applies to all cloud environments (e.g. AWS), internal systems, endpoints, applications (e.g. SaaS platform, admin tools), and development infrastructure (e.g. GitHub Actions, CI/CD pipelines) under Abionic Inc.'s ISMS scope.</w:t>
      </w:r>
    </w:p>
    <w:p>
      <w:pPr>
        <w:pStyle w:val="Heading1"/>
        <w:spacing w:before="200" w:after="160"/>
        <w:rPr/>
      </w:pPr>
      <w:bookmarkStart w:id="4" w:name="__RefHeading___Toc244_224061569"/>
      <w:bookmarkEnd w:id="4"/>
      <w:r>
        <w:rPr>
          <w:rFonts w:eastAsia="Liberation Sans" w:cs="Liberation Sans" w:ascii="Liberation Sans" w:hAnsi="Liberation Sans"/>
          <w:b/>
          <w:bCs/>
          <w:color w:val="2E75B6"/>
          <w:sz w:val="30"/>
          <w:szCs w:val="30"/>
        </w:rPr>
        <w:t>Objectives</w:t>
      </w:r>
    </w:p>
    <w:p>
      <w:pPr>
        <w:pStyle w:val="ListParagraph"/>
        <w:numPr>
          <w:ilvl w:val="0"/>
          <w:numId w:val="3"/>
        </w:numPr>
        <w:spacing w:lineRule="exact" w:line="300" w:before="0" w:after="120"/>
        <w:ind w:hanging="360" w:left="720"/>
        <w:rPr/>
      </w:pPr>
      <w:r>
        <w:rPr>
          <w:rFonts w:eastAsia="Times New Roman" w:cs="Times New Roman"/>
          <w:b w:val="false"/>
          <w:bCs w:val="false"/>
          <w:color w:val="1F1F1F"/>
          <w:sz w:val="22"/>
          <w:szCs w:val="22"/>
        </w:rPr>
        <w:t>Detect security incidents and policy violations in real time</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Preserve forensic evidence through log retention and protection</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Meet audit, regulatory, and contractual logging requirements</w:t>
      </w:r>
    </w:p>
    <w:p>
      <w:pPr>
        <w:pStyle w:val="Heading1"/>
        <w:spacing w:before="200" w:after="160"/>
        <w:rPr/>
      </w:pPr>
      <w:bookmarkStart w:id="5" w:name="__RefHeading___Toc246_224061569"/>
      <w:bookmarkEnd w:id="5"/>
      <w:r>
        <w:rPr>
          <w:rFonts w:eastAsia="Liberation Sans" w:cs="Liberation Sans" w:ascii="Liberation Sans" w:hAnsi="Liberation Sans"/>
          <w:b/>
          <w:bCs/>
          <w:color w:val="2E75B6"/>
          <w:sz w:val="30"/>
          <w:szCs w:val="30"/>
        </w:rPr>
        <w:t>Logging Requirements (A.8.15)</w:t>
      </w:r>
    </w:p>
    <w:p>
      <w:pPr>
        <w:pStyle w:val="Normal"/>
        <w:spacing w:lineRule="exact" w:line="300" w:before="0" w:after="200"/>
        <w:rPr/>
      </w:pPr>
      <w:r>
        <w:rPr>
          <w:rFonts w:eastAsia="Times New Roman" w:cs="Times New Roman"/>
          <w:b w:val="false"/>
          <w:bCs w:val="false"/>
          <w:color w:val="1F1F1F"/>
          <w:sz w:val="22"/>
          <w:szCs w:val="22"/>
        </w:rPr>
        <w:t>Abionic Inc. must log the following events:</w:t>
      </w:r>
    </w:p>
    <w:tbl>
      <w:tblPr>
        <w:tblW w:w="9360" w:type="dxa"/>
        <w:jc w:val="left"/>
        <w:tblInd w:w="0" w:type="dxa"/>
        <w:tblLayout w:type="fixed"/>
        <w:tblCellMar>
          <w:top w:w="80" w:type="dxa"/>
          <w:left w:w="100" w:type="dxa"/>
          <w:bottom w:w="80" w:type="dxa"/>
          <w:right w:w="100" w:type="dxa"/>
        </w:tblCellMar>
      </w:tblPr>
      <w:tblGrid>
        <w:gridCol w:w="2399"/>
        <w:gridCol w:w="6960"/>
      </w:tblGrid>
      <w:tr>
        <w:trPr>
          <w:tblHeader w:val="true"/>
        </w:trPr>
        <w:tc>
          <w:tcPr>
            <w:tcW w:w="2399"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Event Type</w:t>
            </w:r>
          </w:p>
        </w:tc>
        <w:tc>
          <w:tcPr>
            <w:tcW w:w="696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Examples</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Authentication events</w:t>
            </w:r>
          </w:p>
        </w:tc>
        <w:tc>
          <w:tcPr>
            <w:tcW w:w="6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Successful and failed login attempts, MFA bypass</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System changes</w:t>
            </w:r>
          </w:p>
        </w:tc>
        <w:tc>
          <w:tcPr>
            <w:tcW w:w="6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User provisioning, permissions changes, deployments</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Network activity</w:t>
            </w:r>
          </w:p>
        </w:tc>
        <w:tc>
          <w:tcPr>
            <w:tcW w:w="6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Firewall changes, VPN connections, AWS Security Group changes</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Application events</w:t>
            </w:r>
          </w:p>
        </w:tc>
        <w:tc>
          <w:tcPr>
            <w:tcW w:w="6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Code pushes, build failures, admin access to production</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Incident indicators</w:t>
            </w:r>
          </w:p>
        </w:tc>
        <w:tc>
          <w:tcPr>
            <w:tcW w:w="6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Anomalous behaviour, alerts from IDS/WAF, brute force attempts</w:t>
            </w:r>
          </w:p>
        </w:tc>
      </w:tr>
    </w:tbl>
    <w:p>
      <w:pPr>
        <w:pStyle w:val="Heading1"/>
        <w:spacing w:before="200" w:after="160"/>
        <w:rPr/>
      </w:pPr>
      <w:bookmarkStart w:id="6" w:name="__RefHeading___Toc248_224061569"/>
      <w:bookmarkEnd w:id="6"/>
      <w:r>
        <w:rPr>
          <w:rFonts w:eastAsia="Liberation Sans" w:cs="Liberation Sans" w:ascii="Liberation Sans" w:hAnsi="Liberation Sans"/>
          <w:b/>
          <w:bCs/>
          <w:color w:val="2E75B6"/>
          <w:sz w:val="30"/>
          <w:szCs w:val="30"/>
        </w:rPr>
        <w:t>Retention and Storage (A.8.15)</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Logs are retained for a </w:t>
      </w:r>
      <w:r>
        <w:rPr>
          <w:rFonts w:eastAsia="Times New Roman" w:cs="Times New Roman"/>
          <w:b/>
          <w:bCs/>
          <w:color w:val="1F1F1F"/>
          <w:sz w:val="22"/>
          <w:szCs w:val="22"/>
        </w:rPr>
        <w:t>minimum of 12 months</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Stored in a secure, centralised log management system (e.g. AWS CloudWatch, SIEM)</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Backups of critical logs are encrypted and stored separately</w:t>
      </w:r>
    </w:p>
    <w:p>
      <w:pPr>
        <w:pStyle w:val="Heading1"/>
        <w:spacing w:before="200" w:after="160"/>
        <w:rPr/>
      </w:pPr>
      <w:bookmarkStart w:id="7" w:name="__RefHeading___Toc250_224061569"/>
      <w:bookmarkEnd w:id="7"/>
      <w:r>
        <w:rPr>
          <w:rFonts w:eastAsia="Liberation Sans" w:cs="Liberation Sans" w:ascii="Liberation Sans" w:hAnsi="Liberation Sans"/>
          <w:b/>
          <w:bCs/>
          <w:color w:val="2E75B6"/>
          <w:sz w:val="30"/>
          <w:szCs w:val="30"/>
        </w:rPr>
        <w:t>Protection and Integrity</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Logs are protected against tampering using:</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Role-based access control (RBAC)</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Immutable storage features (e.g. AWS S3 object lock)</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Only authorised personnel may access logs</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Logs must not be modified or deleted without documented approval</w:t>
      </w:r>
    </w:p>
    <w:p>
      <w:pPr>
        <w:pStyle w:val="Normal"/>
        <w:rPr/>
      </w:pPr>
      <w:r>
        <w:rPr/>
      </w:r>
      <w:r>
        <w:br w:type="page"/>
      </w:r>
    </w:p>
    <w:p>
      <w:pPr>
        <w:pStyle w:val="Heading1"/>
        <w:spacing w:before="0" w:after="160"/>
        <w:rPr/>
      </w:pPr>
      <w:bookmarkStart w:id="8" w:name="__RefHeading___Toc252_224061569"/>
      <w:bookmarkEnd w:id="8"/>
      <w:r>
        <w:rPr>
          <w:rFonts w:eastAsia="Liberation Sans" w:cs="Liberation Sans" w:ascii="Liberation Sans" w:hAnsi="Liberation Sans"/>
          <w:b/>
          <w:bCs/>
          <w:color w:val="2E75B6"/>
          <w:sz w:val="30"/>
          <w:szCs w:val="30"/>
        </w:rPr>
        <w:t>Review and Monitoring</w:t>
      </w:r>
    </w:p>
    <w:p>
      <w:pPr>
        <w:pStyle w:val="ListParagraph"/>
        <w:numPr>
          <w:ilvl w:val="0"/>
          <w:numId w:val="1"/>
        </w:numPr>
        <w:spacing w:lineRule="exact" w:line="300" w:before="0" w:after="120"/>
        <w:ind w:hanging="360" w:left="720"/>
        <w:rPr/>
      </w:pPr>
      <w:r>
        <w:rPr>
          <w:rFonts w:eastAsia="Times New Roman" w:cs="Times New Roman"/>
          <w:b/>
          <w:bCs/>
          <w:color w:val="1F1F1F"/>
          <w:sz w:val="22"/>
          <w:szCs w:val="22"/>
        </w:rPr>
        <w:t>Daily automated log reviews</w:t>
      </w:r>
      <w:r>
        <w:rPr>
          <w:rFonts w:eastAsia="Times New Roman" w:cs="Times New Roman"/>
          <w:b w:val="false"/>
          <w:bCs w:val="false"/>
          <w:color w:val="1F1F1F"/>
          <w:sz w:val="22"/>
          <w:szCs w:val="22"/>
        </w:rPr>
        <w:t xml:space="preserve"> for key systems and security events</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Alerts are generated for:</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Failed login attempts</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Access to sensitive data</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Unusual network traffic</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Deployment outside approved hours</w:t>
      </w:r>
    </w:p>
    <w:p>
      <w:pPr>
        <w:pStyle w:val="Heading1"/>
        <w:spacing w:before="200" w:after="160"/>
        <w:rPr/>
      </w:pPr>
      <w:bookmarkStart w:id="9" w:name="__RefHeading___Toc254_224061569"/>
      <w:bookmarkEnd w:id="9"/>
      <w:r>
        <w:rPr>
          <w:rFonts w:eastAsia="Liberation Sans" w:cs="Liberation Sans" w:ascii="Liberation Sans" w:hAnsi="Liberation Sans"/>
          <w:b/>
          <w:bCs/>
          <w:color w:val="2E75B6"/>
          <w:sz w:val="30"/>
          <w:szCs w:val="30"/>
        </w:rPr>
        <w:t>Real-Time Monitoring (A.8.16)</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Continuous monitoring is performed for:</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SaaS application health</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Cloud infrastructure changes</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IAM role misuse or privilege escalation</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Alerts are triaged by the </w:t>
      </w:r>
      <w:r>
        <w:rPr>
          <w:rFonts w:eastAsia="Times New Roman" w:cs="Times New Roman"/>
          <w:b/>
          <w:bCs/>
          <w:color w:val="1F1F1F"/>
          <w:sz w:val="22"/>
          <w:szCs w:val="22"/>
        </w:rPr>
        <w:t>Information Security Analyst</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Critical alerts are escalated to the </w:t>
      </w:r>
      <w:r>
        <w:rPr>
          <w:rFonts w:eastAsia="Times New Roman" w:cs="Times New Roman"/>
          <w:b/>
          <w:bCs/>
          <w:color w:val="1F1F1F"/>
          <w:sz w:val="22"/>
          <w:szCs w:val="22"/>
        </w:rPr>
        <w:t>Information Security Manager</w:t>
      </w:r>
      <w:r>
        <w:rPr>
          <w:rFonts w:eastAsia="Times New Roman" w:cs="Times New Roman"/>
          <w:b w:val="false"/>
          <w:bCs w:val="false"/>
          <w:color w:val="1F1F1F"/>
          <w:sz w:val="22"/>
          <w:szCs w:val="22"/>
        </w:rPr>
        <w:t xml:space="preserve"> within 1 hour</w:t>
      </w:r>
    </w:p>
    <w:p>
      <w:pPr>
        <w:pStyle w:val="Heading1"/>
        <w:spacing w:before="200" w:after="160"/>
        <w:rPr/>
      </w:pPr>
      <w:bookmarkStart w:id="10" w:name="__RefHeading___Toc256_224061569"/>
      <w:bookmarkEnd w:id="10"/>
      <w:r>
        <w:rPr>
          <w:rFonts w:eastAsia="Liberation Sans" w:cs="Liberation Sans" w:ascii="Liberation Sans" w:hAnsi="Liberation Sans"/>
          <w:b/>
          <w:bCs/>
          <w:color w:val="2E75B6"/>
          <w:sz w:val="30"/>
          <w:szCs w:val="30"/>
        </w:rPr>
        <w:t>Integration with Incident Management</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All log events that indicate suspicious activity are escalated per the </w:t>
      </w:r>
      <w:r>
        <w:rPr>
          <w:rFonts w:eastAsia="Times New Roman" w:cs="Times New Roman"/>
          <w:b/>
          <w:bCs/>
          <w:color w:val="1F1F1F"/>
          <w:sz w:val="22"/>
          <w:szCs w:val="22"/>
        </w:rPr>
        <w:t>Incident Management Policy</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Logs serve as evidence for internal investigation and post-incident review</w:t>
      </w:r>
    </w:p>
    <w:p>
      <w:pPr>
        <w:pStyle w:val="Heading1"/>
        <w:spacing w:before="0" w:after="160"/>
        <w:rPr/>
      </w:pPr>
      <w:bookmarkStart w:id="11" w:name="__RefHeading___Toc238_224061569_2"/>
      <w:bookmarkEnd w:id="11"/>
      <w:r>
        <w:rPr>
          <w:rFonts w:eastAsia="Liberation Sans" w:cs="Liberation Sans" w:ascii="Liberation Sans" w:hAnsi="Liberation Sans"/>
          <w:b/>
          <w:bCs/>
          <w:color w:val="2E75B6"/>
          <w:sz w:val="30"/>
          <w:szCs w:val="30"/>
        </w:rPr>
        <w:t xml:space="preserve">Clock Synchronisation (A.8.17)</w:t>
      </w:r>
    </w:p>
    <w:p>
      <w:pPr>
        <w:pStyle w:val="Normal"/>
        <w:spacing w:lineRule="exact" w:line="300" w:before="0" w:after="200"/>
        <w:rPr/>
      </w:pPr>
      <w:r>
        <w:rPr>
          <w:rFonts w:eastAsia="Times New Roman" w:cs="Times New Roman"/>
          <w:b w:val="false"/>
          <w:bCs w:val="false"/>
          <w:color w:val="1F1F1F"/>
          <w:sz w:val="22"/>
          <w:szCs w:val="22"/>
        </w:rPr>
        <w:t xml:space="preserve">Log entries are only useful for correlation and investigation if the systems producing them agree on the time. All systems within the ISMS scope synchronise their clocks to a single approved reference time source.</w:t>
      </w:r>
    </w:p>
    <w:p>
      <w:pPr>
        <w:pStyle w:val="ListParagraph"/>
        <w:numPr>
          <w:ilvl w:val="0"/>
          <w:numId w:val="3"/>
        </w:numPr>
        <w:spacing w:lineRule="exact" w:line="300" w:before="0" w:after="120"/>
        <w:ind w:hanging="360" w:left="720"/>
        <w:rPr/>
      </w:pPr>
      <w:r>
        <w:rPr>
          <w:rFonts w:eastAsia="Times New Roman" w:cs="Times New Roman"/>
          <w:b w:val="false"/>
          <w:bCs w:val="false"/>
          <w:color w:val="1F1F1F"/>
          <w:sz w:val="22"/>
          <w:szCs w:val="22"/>
        </w:rPr>
        <w:t xml:space="preserve">Coordinated Universal Time (UTC) is the standard for all logging and timestamping. Local time is not used in logs.</w:t>
      </w:r>
    </w:p>
    <w:p>
      <w:pPr>
        <w:pStyle w:val="ListParagraph"/>
        <w:numPr>
          <w:ilvl w:val="0"/>
          <w:numId w:val="3"/>
        </w:numPr>
        <w:spacing w:lineRule="exact" w:line="300" w:before="0" w:after="120"/>
        <w:ind w:hanging="360" w:left="720"/>
        <w:rPr/>
      </w:pPr>
      <w:r>
        <w:rPr>
          <w:rFonts w:eastAsia="Times New Roman" w:cs="Times New Roman"/>
          <w:b w:val="false"/>
          <w:bCs w:val="false"/>
          <w:color w:val="1F1F1F"/>
          <w:sz w:val="22"/>
          <w:szCs w:val="22"/>
        </w:rPr>
        <w:t xml:space="preserve">AWS compute instances synchronise to the Amazon Time Sync Service. Endpoints and any system outside AWS synchronise to a reputable public NTP pool over an approved configuration.</w:t>
      </w:r>
    </w:p>
    <w:p>
      <w:pPr>
        <w:pStyle w:val="ListParagraph"/>
        <w:numPr>
          <w:ilvl w:val="0"/>
          <w:numId w:val="3"/>
        </w:numPr>
        <w:spacing w:lineRule="exact" w:line="300" w:before="0" w:after="120"/>
        <w:ind w:hanging="360" w:left="720"/>
        <w:rPr/>
      </w:pPr>
      <w:r>
        <w:rPr>
          <w:rFonts w:eastAsia="Times New Roman" w:cs="Times New Roman"/>
          <w:b w:val="false"/>
          <w:bCs w:val="false"/>
          <w:color w:val="1F1F1F"/>
          <w:sz w:val="22"/>
          <w:szCs w:val="22"/>
        </w:rPr>
        <w:t xml:space="preserve">The CI/CD pipeline, production servers, developer endpoints and any appliance generating security-relevant logs are all in scope for synchronisation.</w:t>
      </w:r>
    </w:p>
    <w:p>
      <w:pPr>
        <w:pStyle w:val="ListParagraph"/>
        <w:numPr>
          <w:ilvl w:val="0"/>
          <w:numId w:val="3"/>
        </w:numPr>
        <w:spacing w:lineRule="exact" w:line="300" w:before="0" w:after="120"/>
        <w:ind w:hanging="360" w:left="720"/>
        <w:rPr/>
      </w:pPr>
      <w:r>
        <w:rPr>
          <w:rFonts w:eastAsia="Times New Roman" w:cs="Times New Roman"/>
          <w:b w:val="false"/>
          <w:bCs w:val="false"/>
          <w:color w:val="1F1F1F"/>
          <w:sz w:val="22"/>
          <w:szCs w:val="22"/>
        </w:rPr>
        <w:t xml:space="preserve">Clock drift beyond 5 seconds from the reference source is treated as a fault, investigated, and corrected.</w:t>
      </w:r>
    </w:p>
    <w:p>
      <w:pPr>
        <w:pStyle w:val="ListParagraph"/>
        <w:numPr>
          <w:ilvl w:val="0"/>
          <w:numId w:val="3"/>
        </w:numPr>
        <w:spacing w:lineRule="exact" w:line="300" w:before="0" w:after="120"/>
        <w:ind w:hanging="360" w:left="720"/>
        <w:rPr/>
      </w:pPr>
      <w:r>
        <w:rPr>
          <w:rFonts w:eastAsia="Times New Roman" w:cs="Times New Roman"/>
          <w:b w:val="false"/>
          <w:bCs w:val="false"/>
          <w:color w:val="1F1F1F"/>
          <w:sz w:val="22"/>
          <w:szCs w:val="22"/>
        </w:rPr>
        <w:t xml:space="preserve">Where a SaaS provider controls its own time source, the provider's timestamps are accepted, and the difference is accounted for during any cross-source investigation.</w:t>
      </w:r>
    </w:p>
    <w:p>
      <w:pPr>
        <w:pStyle w:val="ListParagraph"/>
        <w:numPr>
          <w:ilvl w:val="0"/>
          <w:numId w:val="3"/>
        </w:numPr>
        <w:spacing w:lineRule="exact" w:line="300" w:before="0" w:after="120"/>
        <w:ind w:hanging="360" w:left="720"/>
        <w:rPr/>
      </w:pPr>
      <w:r>
        <w:rPr>
          <w:rFonts w:eastAsia="Times New Roman" w:cs="Times New Roman"/>
          <w:b w:val="false"/>
          <w:bCs w:val="false"/>
          <w:color w:val="1F1F1F"/>
          <w:sz w:val="22"/>
          <w:szCs w:val="22"/>
        </w:rPr>
        <w:t xml:space="preserve">Changes to the time source configuration follow the Change Management Procedure.</w:t>
      </w:r>
    </w:p>
    <w:p>
      <w:pPr>
        <w:pStyle w:val="Heading1"/>
        <w:spacing w:before="200" w:after="160"/>
        <w:rPr/>
      </w:pPr>
      <w:bookmarkStart w:id="12" w:name="__RefHeading___Toc258_224061569"/>
      <w:bookmarkEnd w:id="12"/>
      <w:r>
        <w:rPr>
          <w:rFonts w:eastAsia="Liberation Sans" w:cs="Liberation Sans" w:ascii="Liberation Sans" w:hAnsi="Liberation Sans"/>
          <w:b/>
          <w:bCs/>
          <w:color w:val="2E75B6"/>
          <w:sz w:val="30"/>
          <w:szCs w:val="30"/>
        </w:rPr>
        <w:t>Roles and Responsibilities</w:t>
      </w:r>
    </w:p>
    <w:tbl>
      <w:tblPr>
        <w:tblW w:w="9360" w:type="dxa"/>
        <w:jc w:val="left"/>
        <w:tblInd w:w="0" w:type="dxa"/>
        <w:tblLayout w:type="fixed"/>
        <w:tblCellMar>
          <w:top w:w="80" w:type="dxa"/>
          <w:left w:w="100" w:type="dxa"/>
          <w:bottom w:w="80" w:type="dxa"/>
          <w:right w:w="100" w:type="dxa"/>
        </w:tblCellMar>
      </w:tblPr>
      <w:tblGrid>
        <w:gridCol w:w="3200"/>
        <w:gridCol w:w="6159"/>
      </w:tblGrid>
      <w:tr>
        <w:trPr>
          <w:tblHeader w:val="true"/>
        </w:trPr>
        <w:tc>
          <w:tcPr>
            <w:tcW w:w="320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Role</w:t>
            </w:r>
          </w:p>
        </w:tc>
        <w:tc>
          <w:tcPr>
            <w:tcW w:w="6159"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Responsibility</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Information Security Analyst</w:t>
            </w:r>
          </w:p>
        </w:tc>
        <w:tc>
          <w:tcPr>
            <w:tcW w:w="61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Triage alerts, conduct regular log reviews</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Infrastructure Engineer</w:t>
            </w:r>
          </w:p>
        </w:tc>
        <w:tc>
          <w:tcPr>
            <w:tcW w:w="61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Ensure logging agents are deployed and functioning</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GRC Analyst</w:t>
            </w:r>
          </w:p>
        </w:tc>
        <w:tc>
          <w:tcPr>
            <w:tcW w:w="61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Verify log retention and review compliance</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IS Manager</w:t>
            </w:r>
          </w:p>
        </w:tc>
        <w:tc>
          <w:tcPr>
            <w:tcW w:w="61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Oversee monitoring policy, update procedures, and approve exceptions</w:t>
            </w:r>
          </w:p>
        </w:tc>
      </w:tr>
    </w:tbl>
    <w:p>
      <w:pPr>
        <w:pStyle w:val="Heading1"/>
        <w:spacing w:before="200" w:after="160"/>
        <w:rPr/>
      </w:pPr>
      <w:bookmarkStart w:id="13" w:name="__RefHeading___Toc260_224061569"/>
      <w:bookmarkEnd w:id="13"/>
      <w:r>
        <w:rPr>
          <w:rFonts w:eastAsia="Liberation Sans" w:cs="Liberation Sans" w:ascii="Liberation Sans" w:hAnsi="Liberation Sans"/>
          <w:b/>
          <w:bCs/>
          <w:color w:val="2E75B6"/>
          <w:sz w:val="30"/>
          <w:szCs w:val="30"/>
        </w:rPr>
        <w:t>Compliance and Auditing</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Logging is auditable and aligned with:</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ISO 27001</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Customer SLAs and due diligence requirements</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Quarterly internal audits are conducted on:</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Log integrity</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Review completeness</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Alerting thresholds</w:t>
      </w:r>
    </w:p>
    <w:p>
      <w:pPr>
        <w:pStyle w:val="Heading1"/>
        <w:spacing w:before="200" w:after="160"/>
        <w:rPr/>
      </w:pPr>
      <w:bookmarkStart w:id="14" w:name="__RefHeading___Toc262_224061569"/>
      <w:bookmarkEnd w:id="14"/>
      <w:r>
        <w:rPr>
          <w:rFonts w:eastAsia="Liberation Sans" w:cs="Liberation Sans" w:ascii="Liberation Sans" w:hAnsi="Liberation Sans"/>
          <w:b/>
          <w:bCs/>
          <w:color w:val="2E75B6"/>
          <w:sz w:val="30"/>
          <w:szCs w:val="30"/>
        </w:rPr>
        <w:t>Exceptions</w:t>
      </w:r>
    </w:p>
    <w:p>
      <w:pPr>
        <w:pStyle w:val="Normal"/>
        <w:spacing w:lineRule="exact" w:line="300" w:before="0" w:after="200"/>
        <w:rPr/>
      </w:pPr>
      <w:r>
        <w:rPr>
          <w:rFonts w:eastAsia="Times New Roman" w:cs="Times New Roman"/>
          <w:b w:val="false"/>
          <w:bCs w:val="false"/>
          <w:color w:val="1F1F1F"/>
          <w:sz w:val="22"/>
          <w:szCs w:val="22"/>
        </w:rPr>
        <w:t>Any exceptions to this policy must be:</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Documented with a valid justification</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Reviewed and approved by the Information Security Manager</w:t>
      </w:r>
    </w:p>
    <w:p>
      <w:pPr>
        <w:pStyle w:val="Heading1"/>
        <w:spacing w:before="200" w:after="160"/>
        <w:rPr/>
      </w:pPr>
      <w:bookmarkStart w:id="15" w:name="__RefHeading___Toc264_224061569"/>
      <w:bookmarkEnd w:id="15"/>
      <w:r>
        <w:rPr>
          <w:rFonts w:eastAsia="Liberation Sans" w:cs="Liberation Sans" w:ascii="Liberation Sans" w:hAnsi="Liberation Sans"/>
          <w:b/>
          <w:bCs/>
          <w:color w:val="2E75B6"/>
          <w:sz w:val="30"/>
          <w:szCs w:val="30"/>
        </w:rPr>
        <w:t>Policy Review</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This policy is reviewed </w:t>
      </w:r>
      <w:r>
        <w:rPr>
          <w:rFonts w:eastAsia="Times New Roman" w:cs="Times New Roman"/>
          <w:b/>
          <w:bCs/>
          <w:color w:val="1F1F1F"/>
          <w:sz w:val="22"/>
          <w:szCs w:val="22"/>
        </w:rPr>
        <w:t>annually</w:t>
      </w:r>
      <w:r>
        <w:rPr>
          <w:rFonts w:eastAsia="Times New Roman" w:cs="Times New Roman"/>
          <w:b w:val="false"/>
          <w:bCs w:val="false"/>
          <w:color w:val="1F1F1F"/>
          <w:sz w:val="22"/>
          <w:szCs w:val="22"/>
        </w:rPr>
        <w:t xml:space="preserve"> or upon significant change to the environment or regulatory requirements.</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Georgia">
    <w:charset w:val="01"/>
    <w:family w:val="roman"/>
    <w:pitch w:val="variable"/>
  </w:font>
  <w:font w:name="Wingdings">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Abionic Inc. - Monitoring &amp; Logging Policy - Confidential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Abionic Inc. - Monitoring &amp; Logging Policy - Confidential</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outlineLvl w:val="0"/>
    </w:pPr>
    <w:rPr>
      <w:color w:val="2E74B5"/>
      <w:sz w:val="32"/>
      <w:szCs w:val="32"/>
    </w:rPr>
  </w:style>
  <w:style w:type="paragraph" w:styleId="Heading2">
    <w:name w:val="Heading 2"/>
    <w:basedOn w:val="Heading"/>
    <w:qFormat/>
    <w:pPr>
      <w:outlineLvl w:val="1"/>
    </w:pPr>
    <w:rPr>
      <w:color w:val="2E74B5"/>
      <w:sz w:val="26"/>
      <w:szCs w:val="26"/>
    </w:rPr>
  </w:style>
  <w:style w:type="paragraph" w:styleId="Heading3">
    <w:name w:val="Heading 3"/>
    <w:basedOn w:val="Heading"/>
    <w:qFormat/>
    <w:pPr>
      <w:outlineLvl w:val="2"/>
    </w:pPr>
    <w:rPr>
      <w:color w:val="1F4D78"/>
      <w:sz w:val="24"/>
      <w:szCs w:val="24"/>
    </w:rPr>
  </w:style>
  <w:style w:type="paragraph" w:styleId="Heading4">
    <w:name w:val="Heading 4"/>
    <w:basedOn w:val="Heading"/>
    <w:qFormat/>
    <w:pPr>
      <w:outlineLvl w:val="3"/>
    </w:pPr>
    <w:rPr>
      <w:i/>
      <w:iCs/>
      <w:color w:val="2E74B5"/>
    </w:rPr>
  </w:style>
  <w:style w:type="paragraph" w:styleId="Heading5">
    <w:name w:val="Heading 5"/>
    <w:basedOn w:val="Heading"/>
    <w:qFormat/>
    <w:pPr>
      <w:outlineLvl w:val="4"/>
    </w:pPr>
    <w:rPr>
      <w:color w:val="2E74B5"/>
    </w:rPr>
  </w:style>
  <w:style w:type="paragraph" w:styleId="Heading6">
    <w:name w:val="Heading 6"/>
    <w:basedOn w:val="Heading"/>
    <w:qFormat/>
    <w:pPr>
      <w:outlineLvl w:val="5"/>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2026-08-25T02:07:14Z</dcterms:created>
  <dc:creator>Abionic Inc.</dc:creator>
  <dc:description/>
  <dc:language>en-US</dc:language>
  <cp:lastModifiedBy>Abionic Inc.</cp:lastModifiedBy>
  <dcterms:modified xsi:type="dcterms:W3CDTF">2026-08-25T02:07:49Z</dcterms:modified>
  <cp:revision>2</cp:revision>
  <dc:subject/>
  <dc:title/>
</cp:coreProperties>
</file>