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 w:after="100"/>
        <w:jc w:val="center"/>
        <w:rPr/>
      </w:pPr>
      <w:r>
        <w:rPr>
          <w:rFonts w:eastAsia="Liberation Sans" w:cs="Liberation Sans" w:ascii="Liberation Sans" w:hAnsi="Liberation Sans"/>
          <w:color w:val="000000"/>
          <w:sz w:val="56"/>
          <w:szCs w:val="56"/>
        </w:rPr>
        <w:t>Secure Development Policy (SDLC)</w:t>
      </w:r>
    </w:p>
    <w:p>
      <w:pPr>
        <w:pStyle w:val="Normal"/>
        <w:jc w:val="center"/>
        <w:rPr/>
      </w:pPr>
      <w:r>
        <w:rPr/>
      </w:r>
    </w:p>
    <w:p>
      <w:pPr>
        <w:pStyle w:val="Normal"/>
        <w:jc w:val="center"/>
        <w:rPr/>
      </w:pPr>
      <w:r>
        <w:rPr/>
      </w:r>
    </w:p>
    <w:p>
      <w:pPr>
        <w:pStyle w:val="Normal"/>
        <w:spacing w:before="360" w:after="80"/>
        <w:jc w:val="center"/>
        <w:rPr/>
      </w:pPr>
      <w:r>
        <w:rPr>
          <w:rFonts w:eastAsia="Georgia" w:cs="Georgia" w:ascii="Georgia" w:hAnsi="Georgia"/>
          <w:i/>
          <w:iCs/>
          <w:color w:val="666666"/>
          <w:sz w:val="48"/>
          <w:szCs w:val="48"/>
        </w:rPr>
        <w:t>Abionic Inc.</w:t>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Fonts w:eastAsia="Times New Roman" w:cs="Times New Roman"/>
          <w:sz w:val="22"/>
          <w:szCs w:val="22"/>
        </w:rPr>
        <w:t>Version 1.0</w:t>
      </w:r>
    </w:p>
    <w:p>
      <w:pPr>
        <w:pStyle w:val="Normal"/>
        <w:jc w:val="center"/>
        <w:rPr/>
      </w:pPr>
      <w:r>
        <w:rPr>
          <w:rFonts w:eastAsia="Times New Roman" w:cs="Times New Roman"/>
          <w:sz w:val="22"/>
          <w:szCs w:val="22"/>
        </w:rPr>
        <w:t>August 23, 2026</w:t>
      </w:r>
    </w:p>
    <w:p>
      <w:pPr>
        <w:pStyle w:val="Normal"/>
        <w:rPr/>
      </w:pPr>
      <w:r>
        <w:rPr/>
      </w:r>
      <w:r>
        <w:br w:type="page"/>
      </w:r>
    </w:p>
    <w:p>
      <w:pPr>
        <w:pStyle w:val="Normal"/>
        <w:spacing w:before="0" w:after="200"/>
        <w:rPr/>
      </w:pPr>
      <w:r>
        <w:rPr>
          <w:rFonts w:eastAsia="Liberation Sans" w:cs="Liberation Sans" w:ascii="Liberation Sans" w:hAnsi="Liberation Sans"/>
          <w:b/>
          <w:bCs/>
          <w:color w:val="2E75B6"/>
          <w:sz w:val="30"/>
          <w:szCs w:val="30"/>
        </w:rPr>
        <w:t>Table of Contents</w:t>
      </w:r>
    </w:p>
    <w:sdt>
      <w:sdtPr>
        <w:docPartObj>
          <w:docPartGallery w:val="Table of Contents"/>
          <w:docPartUnique w:val="true"/>
        </w:docPartObj>
      </w:sdtPr>
      <w:sdtContent>
        <w:p>
          <w:pPr>
            <w:pStyle w:val="TOC1"/>
            <w:tabs>
              <w:tab w:val="clear" w:pos="9360"/>
              <w:tab w:val="right" w:pos="9359" w:leader="dot"/>
            </w:tabs>
            <w:rPr/>
          </w:pPr>
          <w:r>
            <w:fldChar w:fldCharType="begin"/>
          </w:r>
          <w:r>
            <w:rPr>
              <w:rStyle w:val="IndexLink"/>
            </w:rPr>
            <w:instrText xml:space="preserve"> TOC \o "1-2" \h</w:instrText>
          </w:r>
          <w:r>
            <w:rPr>
              <w:rStyle w:val="IndexLink"/>
            </w:rPr>
            <w:fldChar w:fldCharType="separate"/>
          </w:r>
          <w:hyperlink w:anchor="__RefHeading___Toc197_2173537825">
            <w:r>
              <w:rPr>
                <w:rStyle w:val="IndexLink"/>
              </w:rPr>
              <w:t>Change Log</w:t>
              <w:tab/>
              <w:t>3</w:t>
            </w:r>
          </w:hyperlink>
        </w:p>
        <w:p>
          <w:pPr>
            <w:pStyle w:val="TOC1"/>
            <w:tabs>
              <w:tab w:val="clear" w:pos="9360"/>
              <w:tab w:val="right" w:pos="9359" w:leader="dot"/>
            </w:tabs>
            <w:rPr/>
          </w:pPr>
          <w:hyperlink w:anchor="__RefHeading___Toc199_2173537825">
            <w:r>
              <w:rPr>
                <w:rStyle w:val="IndexLink"/>
              </w:rPr>
              <w:t>Purpose</w:t>
              <w:tab/>
              <w:t>4</w:t>
            </w:r>
          </w:hyperlink>
        </w:p>
        <w:p>
          <w:pPr>
            <w:pStyle w:val="TOC1"/>
            <w:tabs>
              <w:tab w:val="clear" w:pos="9360"/>
              <w:tab w:val="right" w:pos="9359" w:leader="dot"/>
            </w:tabs>
            <w:rPr/>
          </w:pPr>
          <w:hyperlink w:anchor="__RefHeading___Toc201_2173537825">
            <w:r>
              <w:rPr>
                <w:rStyle w:val="IndexLink"/>
              </w:rPr>
              <w:t>Scope</w:t>
              <w:tab/>
              <w:t>4</w:t>
            </w:r>
          </w:hyperlink>
        </w:p>
        <w:p>
          <w:pPr>
            <w:pStyle w:val="TOC1"/>
            <w:tabs>
              <w:tab w:val="clear" w:pos="9360"/>
              <w:tab w:val="right" w:pos="9359" w:leader="dot"/>
            </w:tabs>
            <w:rPr/>
          </w:pPr>
          <w:hyperlink w:anchor="__RefHeading___Toc203_2173537825">
            <w:r>
              <w:rPr>
                <w:rStyle w:val="IndexLink"/>
              </w:rPr>
              <w:t>Policy Objectives</w:t>
              <w:tab/>
              <w:t>4</w:t>
            </w:r>
          </w:hyperlink>
        </w:p>
        <w:p>
          <w:pPr>
            <w:pStyle w:val="TOC1"/>
            <w:tabs>
              <w:tab w:val="clear" w:pos="9360"/>
              <w:tab w:val="right" w:pos="9359" w:leader="dot"/>
            </w:tabs>
            <w:rPr/>
          </w:pPr>
          <w:hyperlink w:anchor="__RefHeading___Toc205_2173537825">
            <w:r>
              <w:rPr>
                <w:rStyle w:val="IndexLink"/>
              </w:rPr>
              <w:t>Secure Development Requirements</w:t>
              <w:tab/>
              <w:t>4</w:t>
            </w:r>
          </w:hyperlink>
        </w:p>
        <w:p>
          <w:pPr>
            <w:pStyle w:val="TOC1"/>
            <w:tabs>
              <w:tab w:val="clear" w:pos="9360"/>
              <w:tab w:val="right" w:pos="9359" w:leader="dot"/>
            </w:tabs>
            <w:rPr/>
          </w:pPr>
          <w:hyperlink w:anchor="__RefHeading___Toc207_2173537825">
            <w:r>
              <w:rPr>
                <w:rStyle w:val="IndexLink"/>
              </w:rPr>
              <w:t>Secure Coding Training (A.6.3 &amp; A.8.27)</w:t>
              <w:tab/>
              <w:t>5</w:t>
            </w:r>
          </w:hyperlink>
        </w:p>
        <w:p>
          <w:pPr>
            <w:pStyle w:val="TOC1"/>
            <w:tabs>
              <w:tab w:val="clear" w:pos="9360"/>
              <w:tab w:val="right" w:pos="9359" w:leader="dot"/>
            </w:tabs>
            <w:rPr/>
          </w:pPr>
          <w:hyperlink w:anchor="__RefHeading___Toc209_2173537825">
            <w:r>
              <w:rPr>
                <w:rStyle w:val="IndexLink"/>
              </w:rPr>
              <w:t>Management of Open-Source Software (A.8.28)</w:t>
              <w:tab/>
              <w:t>5</w:t>
            </w:r>
          </w:hyperlink>
        </w:p>
        <w:p>
          <w:pPr>
            <w:pStyle w:val="TOC1"/>
            <w:tabs>
              <w:tab w:val="clear" w:pos="9360"/>
              <w:tab w:val="right" w:pos="9359" w:leader="dot"/>
            </w:tabs>
            <w:rPr/>
          </w:pPr>
          <w:hyperlink w:anchor="__RefHeading___Toc211_2173537825">
            <w:r>
              <w:rPr>
                <w:rStyle w:val="IndexLink"/>
              </w:rPr>
              <w:t>DevOps and CI/CD Pipeline Controls</w:t>
              <w:tab/>
              <w:t>5</w:t>
            </w:r>
          </w:hyperlink>
        </w:p>
        <w:p>
          <w:pPr>
            <w:pStyle w:val="TOC1"/>
            <w:tabs>
              <w:tab w:val="clear" w:pos="9360"/>
              <w:tab w:val="right" w:pos="9359" w:leader="dot"/>
            </w:tabs>
            <w:rPr/>
          </w:pPr>
          <w:hyperlink w:anchor="__RefHeading___Toc213_2173537825">
            <w:r>
              <w:rPr>
                <w:rStyle w:val="IndexLink"/>
              </w:rPr>
              <w:t>Vulnerability Management</w:t>
              <w:tab/>
              <w:t>5</w:t>
            </w:r>
          </w:hyperlink>
        </w:p>
        <w:p>
          <w:pPr>
            <w:pStyle w:val="TOC1"/>
            <w:tabs>
              <w:tab w:val="clear" w:pos="9360"/>
              <w:tab w:val="right" w:pos="9359" w:leader="dot"/>
            </w:tabs>
            <w:rPr/>
          </w:pPr>
          <w:hyperlink w:anchor="__RefHeading___Toc215_2173537825">
            <w:r>
              <w:rPr>
                <w:rStyle w:val="IndexLink"/>
              </w:rPr>
              <w:t>Roles and Responsibilities</w:t>
              <w:tab/>
              <w:t>5</w:t>
            </w:r>
          </w:hyperlink>
        </w:p>
        <w:p>
          <w:pPr>
            <w:pStyle w:val="TOC1"/>
            <w:tabs>
              <w:tab w:val="clear" w:pos="9360"/>
              <w:tab w:val="right" w:pos="9359" w:leader="dot"/>
            </w:tabs>
            <w:rPr/>
          </w:pPr>
          <w:hyperlink w:anchor="__RefHeading___Toc217_2173537825">
            <w:r>
              <w:rPr>
                <w:rStyle w:val="IndexLink"/>
              </w:rPr>
              <w:t>Exceptions</w:t>
              <w:tab/>
              <w:t>6</w:t>
            </w:r>
          </w:hyperlink>
        </w:p>
        <w:p>
          <w:pPr>
            <w:pStyle w:val="TOC1"/>
            <w:tabs>
              <w:tab w:val="clear" w:pos="9360"/>
              <w:tab w:val="right" w:pos="9359" w:leader="dot"/>
            </w:tabs>
            <w:rPr/>
          </w:pPr>
          <w:hyperlink w:anchor="__RefHeading___Toc219_2173537825">
            <w:r>
              <w:rPr>
                <w:rStyle w:val="IndexLink"/>
              </w:rPr>
              <w:t>Policy Review</w:t>
              <w:tab/>
              <w:t>6</w:t>
            </w:r>
          </w:hyperlink>
          <w:r>
            <w:rPr>
              <w:rStyle w:val="IndexLink"/>
            </w:rPr>
            <w:fldChar w:fldCharType="end"/>
          </w:r>
        </w:p>
      </w:sdtContent>
    </w:sdt>
    <w:p>
      <w:pPr>
        <w:pStyle w:val="Normal"/>
        <w:rPr/>
      </w:pPr>
      <w:r>
        <w:rPr/>
      </w:r>
    </w:p>
    <w:p>
      <w:pPr>
        <w:pStyle w:val="Normal"/>
        <w:rPr/>
      </w:pPr>
      <w:r>
        <w:rPr/>
      </w:r>
      <w:r>
        <w:br w:type="page"/>
      </w:r>
    </w:p>
    <w:p>
      <w:pPr>
        <w:pStyle w:val="Heading1"/>
        <w:spacing w:before="0" w:after="160"/>
        <w:rPr/>
      </w:pPr>
      <w:bookmarkStart w:id="0" w:name="__RefHeading___Toc197_2173537825"/>
      <w:bookmarkEnd w:id="0"/>
      <w:r>
        <w:rPr>
          <w:rFonts w:eastAsia="Liberation Sans" w:cs="Liberation Sans" w:ascii="Liberation Sans" w:hAnsi="Liberation Sans"/>
          <w:b/>
          <w:bCs/>
          <w:color w:val="2E75B6"/>
          <w:sz w:val="30"/>
          <w:szCs w:val="30"/>
        </w:rPr>
        <w:t>Change Log</w:t>
      </w:r>
    </w:p>
    <w:tbl>
      <w:tblPr>
        <w:tblW w:w="9440" w:type="dxa"/>
        <w:jc w:val="left"/>
        <w:tblInd w:w="0" w:type="dxa"/>
        <w:tblLayout w:type="fixed"/>
        <w:tblCellMar>
          <w:top w:w="80" w:type="dxa"/>
          <w:left w:w="100" w:type="dxa"/>
          <w:bottom w:w="80" w:type="dxa"/>
          <w:right w:w="100" w:type="dxa"/>
        </w:tblCellMar>
      </w:tblPr>
      <w:tblGrid>
        <w:gridCol w:w="1180"/>
        <w:gridCol w:w="1180"/>
        <w:gridCol w:w="1180"/>
        <w:gridCol w:w="1180"/>
        <w:gridCol w:w="1180"/>
        <w:gridCol w:w="1180"/>
        <w:gridCol w:w="1180"/>
        <w:gridCol w:w="1178"/>
      </w:tblGrid>
      <w:tr>
        <w:trPr>
          <w:tblHeader w:val="true"/>
        </w:trPr>
        <w:tc>
          <w:tcPr>
            <w:tcW w:w="118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Date</w:t>
            </w:r>
          </w:p>
        </w:tc>
        <w:tc>
          <w:tcPr>
            <w:tcW w:w="118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Version</w:t>
            </w:r>
          </w:p>
        </w:tc>
        <w:tc>
          <w:tcPr>
            <w:tcW w:w="118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Author</w:t>
            </w:r>
          </w:p>
        </w:tc>
        <w:tc>
          <w:tcPr>
            <w:tcW w:w="118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Description</w:t>
            </w:r>
          </w:p>
        </w:tc>
        <w:tc>
          <w:tcPr>
            <w:tcW w:w="118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Approved By</w:t>
            </w:r>
          </w:p>
        </w:tc>
        <w:tc>
          <w:tcPr>
            <w:tcW w:w="118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Last Updated</w:t>
            </w:r>
          </w:p>
        </w:tc>
        <w:tc>
          <w:tcPr>
            <w:tcW w:w="118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Review Frequency</w:t>
            </w:r>
          </w:p>
        </w:tc>
        <w:tc>
          <w:tcPr>
            <w:tcW w:w="1178"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Next Review</w:t>
            </w:r>
          </w:p>
        </w:tc>
      </w:tr>
      <w:tr>
        <w:trPr/>
        <w:tc>
          <w:tcPr>
            <w:tcW w:w="1180" w:type="dxa"/>
            <w:tcBorders>
              <w:top w:val="single" w:sz="4" w:space="0" w:color="BFBFBF"/>
              <w:left w:val="single" w:sz="4" w:space="0" w:color="BFBFBF"/>
              <w:bottom w:val="single" w:sz="4" w:space="0" w:color="BFBFBF"/>
              <w:right w:val="single" w:sz="4" w:space="0" w:color="BFBFBF"/>
            </w:tcBorders>
          </w:tcPr>
          <w:p>
            <w:r>
              <w:t>August 23, 2026</w:t>
            </w:r>
          </w:p>
        </w:tc>
        <w:tc>
          <w:tcPr>
            <w:tcW w:w="1180" w:type="dxa"/>
            <w:tcBorders>
              <w:top w:val="single" w:sz="4" w:space="0" w:color="BFBFBF"/>
              <w:left w:val="single" w:sz="4" w:space="0" w:color="BFBFBF"/>
              <w:bottom w:val="single" w:sz="4" w:space="0" w:color="BFBFBF"/>
              <w:right w:val="single" w:sz="4" w:space="0" w:color="BFBFBF"/>
            </w:tcBorders>
          </w:tcPr>
          <w:p>
            <w:r>
              <w:t>1.0</w:t>
            </w:r>
          </w:p>
        </w:tc>
        <w:tc>
          <w:tcPr>
            <w:tcW w:w="1180" w:type="dxa"/>
            <w:tcBorders>
              <w:top w:val="single" w:sz="4" w:space="0" w:color="BFBFBF"/>
              <w:left w:val="single" w:sz="4" w:space="0" w:color="BFBFBF"/>
              <w:bottom w:val="single" w:sz="4" w:space="0" w:color="BFBFBF"/>
              <w:right w:val="single" w:sz="4" w:space="0" w:color="BFBFBF"/>
            </w:tcBorders>
          </w:tcPr>
          <w:p>
            <w:r>
              <w:t>GRC Analyst</w:t>
            </w:r>
          </w:p>
        </w:tc>
        <w:tc>
          <w:tcPr>
            <w:tcW w:w="1180" w:type="dxa"/>
            <w:tcBorders>
              <w:top w:val="single" w:sz="4" w:space="0" w:color="BFBFBF"/>
              <w:left w:val="single" w:sz="4" w:space="0" w:color="BFBFBF"/>
              <w:bottom w:val="single" w:sz="4" w:space="0" w:color="BFBFBF"/>
              <w:right w:val="single" w:sz="4" w:space="0" w:color="BFBFBF"/>
            </w:tcBorders>
          </w:tcPr>
          <w:p>
            <w:r>
              <w:t>Initial version</w:t>
            </w:r>
          </w:p>
        </w:tc>
        <w:tc>
          <w:tcPr>
            <w:tcW w:w="1180" w:type="dxa"/>
            <w:tcBorders>
              <w:top w:val="single" w:sz="4" w:space="0" w:color="BFBFBF"/>
              <w:left w:val="single" w:sz="4" w:space="0" w:color="BFBFBF"/>
              <w:bottom w:val="single" w:sz="4" w:space="0" w:color="BFBFBF"/>
              <w:right w:val="single" w:sz="4" w:space="0" w:color="BFBFBF"/>
            </w:tcBorders>
          </w:tcPr>
          <w:p>
            <w:r>
              <w:t>Information Security Manager</w:t>
            </w:r>
          </w:p>
        </w:tc>
        <w:tc>
          <w:tcPr>
            <w:tcW w:w="1180" w:type="dxa"/>
            <w:tcBorders>
              <w:top w:val="single" w:sz="4" w:space="0" w:color="BFBFBF"/>
              <w:left w:val="single" w:sz="4" w:space="0" w:color="BFBFBF"/>
              <w:bottom w:val="single" w:sz="4" w:space="0" w:color="BFBFBF"/>
              <w:right w:val="single" w:sz="4" w:space="0" w:color="BFBFBF"/>
            </w:tcBorders>
          </w:tcPr>
          <w:p>
            <w:r>
              <w:t>August 23, 2026</w:t>
            </w:r>
          </w:p>
        </w:tc>
        <w:tc>
          <w:tcPr>
            <w:tcW w:w="1180" w:type="dxa"/>
            <w:tcBorders>
              <w:top w:val="single" w:sz="4" w:space="0" w:color="BFBFBF"/>
              <w:left w:val="single" w:sz="4" w:space="0" w:color="BFBFBF"/>
              <w:bottom w:val="single" w:sz="4" w:space="0" w:color="BFBFBF"/>
              <w:right w:val="single" w:sz="4" w:space="0" w:color="BFBFBF"/>
            </w:tcBorders>
          </w:tcPr>
          <w:p>
            <w:r>
              <w:t>Annually</w:t>
            </w:r>
          </w:p>
        </w:tc>
        <w:tc>
          <w:tcPr>
            <w:tcW w:w="1178" w:type="dxa"/>
            <w:tcBorders>
              <w:top w:val="single" w:sz="4" w:space="0" w:color="BFBFBF"/>
              <w:left w:val="single" w:sz="4" w:space="0" w:color="BFBFBF"/>
              <w:bottom w:val="single" w:sz="4" w:space="0" w:color="BFBFBF"/>
              <w:right w:val="single" w:sz="4" w:space="0" w:color="BFBFBF"/>
            </w:tcBorders>
          </w:tcPr>
          <w:p>
            <w:r>
              <w:t>August 23, 2027</w:t>
            </w:r>
          </w:p>
        </w:tc>
      </w:tr>
      <w:tr>
        <w:trPr/>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 </w:t>
            </w:r>
          </w:p>
        </w:tc>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 </w:t>
            </w:r>
          </w:p>
        </w:tc>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 </w:t>
            </w:r>
          </w:p>
        </w:tc>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 </w:t>
            </w:r>
          </w:p>
        </w:tc>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 </w:t>
            </w:r>
          </w:p>
        </w:tc>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 </w:t>
            </w:r>
          </w:p>
        </w:tc>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 </w:t>
            </w:r>
          </w:p>
        </w:tc>
        <w:tc>
          <w:tcPr>
            <w:tcW w:w="1178"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 </w:t>
            </w:r>
          </w:p>
        </w:tc>
      </w:tr>
      <w:tr>
        <w:trPr/>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 </w:t>
            </w:r>
          </w:p>
        </w:tc>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 </w:t>
            </w:r>
          </w:p>
        </w:tc>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 </w:t>
            </w:r>
          </w:p>
        </w:tc>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 </w:t>
            </w:r>
          </w:p>
        </w:tc>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 </w:t>
            </w:r>
          </w:p>
        </w:tc>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 </w:t>
            </w:r>
          </w:p>
        </w:tc>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 </w:t>
            </w:r>
          </w:p>
        </w:tc>
        <w:tc>
          <w:tcPr>
            <w:tcW w:w="1178"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 </w:t>
            </w:r>
          </w:p>
        </w:tc>
      </w:tr>
    </w:tbl>
    <w:p>
      <w:pPr>
        <w:pStyle w:val="Normal"/>
        <w:rPr/>
      </w:pPr>
      <w:r>
        <w:rPr/>
      </w:r>
      <w:r>
        <w:br w:type="page"/>
      </w:r>
    </w:p>
    <w:p>
      <w:pPr>
        <w:pStyle w:val="Heading1"/>
        <w:spacing w:before="0" w:after="160"/>
        <w:rPr/>
      </w:pPr>
      <w:bookmarkStart w:id="1" w:name="__RefHeading___Toc199_2173537825"/>
      <w:bookmarkEnd w:id="1"/>
      <w:r>
        <w:rPr>
          <w:rFonts w:eastAsia="Liberation Sans" w:cs="Liberation Sans" w:ascii="Liberation Sans" w:hAnsi="Liberation Sans"/>
          <w:b/>
          <w:bCs/>
          <w:color w:val="2E75B6"/>
          <w:sz w:val="30"/>
          <w:szCs w:val="30"/>
        </w:rPr>
        <w:t>Purpose</w:t>
      </w:r>
    </w:p>
    <w:p>
      <w:pPr>
        <w:pStyle w:val="Normal"/>
        <w:spacing w:lineRule="exact" w:line="300" w:before="0" w:after="200"/>
        <w:rPr/>
      </w:pPr>
      <w:r>
        <w:rPr>
          <w:rFonts w:eastAsia="Times New Roman" w:cs="Times New Roman"/>
          <w:b w:val="false"/>
          <w:bCs w:val="false"/>
          <w:color w:val="1F1F1F"/>
          <w:sz w:val="22"/>
          <w:szCs w:val="22"/>
        </w:rPr>
        <w:t>To ensure that all software developed or deployed by Abionic Inc. is secure by design, coded to prevent vulnerabilities, tested thoroughly, and maintained in accordance with secure development practices and industry standards. This policy is aligned with ISO/IEC 27001:2022 (A.8.25 – A.8.29).</w:t>
      </w:r>
    </w:p>
    <w:p>
      <w:pPr>
        <w:pStyle w:val="Heading1"/>
        <w:spacing w:before="200" w:after="160"/>
        <w:rPr/>
      </w:pPr>
      <w:bookmarkStart w:id="2" w:name="__RefHeading___Toc201_2173537825"/>
      <w:bookmarkEnd w:id="2"/>
      <w:r>
        <w:rPr>
          <w:rFonts w:eastAsia="Liberation Sans" w:cs="Liberation Sans" w:ascii="Liberation Sans" w:hAnsi="Liberation Sans"/>
          <w:b/>
          <w:bCs/>
          <w:color w:val="2E75B6"/>
          <w:sz w:val="30"/>
          <w:szCs w:val="30"/>
        </w:rPr>
        <w:t>Scope</w:t>
      </w:r>
    </w:p>
    <w:p>
      <w:pPr>
        <w:pStyle w:val="Normal"/>
        <w:spacing w:lineRule="exact" w:line="300" w:before="0" w:after="200"/>
        <w:rPr/>
      </w:pPr>
      <w:r>
        <w:rPr>
          <w:rFonts w:eastAsia="Times New Roman" w:cs="Times New Roman"/>
          <w:b w:val="false"/>
          <w:bCs w:val="false"/>
          <w:color w:val="1F1F1F"/>
          <w:sz w:val="22"/>
          <w:szCs w:val="22"/>
        </w:rPr>
        <w:t>Applies to all software developed, maintained, or deployed by Abionic Inc., including backend systems, APIs, SaaS applications, admin dashboards, CI/CD pipelines, and integration scripts.</w:t>
      </w:r>
    </w:p>
    <w:p>
      <w:pPr>
        <w:pStyle w:val="Heading1"/>
        <w:spacing w:before="200" w:after="160"/>
        <w:rPr/>
      </w:pPr>
      <w:bookmarkStart w:id="3" w:name="__RefHeading___Toc203_2173537825"/>
      <w:bookmarkEnd w:id="3"/>
      <w:r>
        <w:rPr>
          <w:rFonts w:eastAsia="Liberation Sans" w:cs="Liberation Sans" w:ascii="Liberation Sans" w:hAnsi="Liberation Sans"/>
          <w:b/>
          <w:bCs/>
          <w:color w:val="2E75B6"/>
          <w:sz w:val="30"/>
          <w:szCs w:val="30"/>
        </w:rPr>
        <w:t>Policy Objectives</w:t>
      </w:r>
    </w:p>
    <w:p>
      <w:pPr>
        <w:pStyle w:val="ListParagraph"/>
        <w:numPr>
          <w:ilvl w:val="0"/>
          <w:numId w:val="3"/>
        </w:numPr>
        <w:spacing w:lineRule="exact" w:line="300" w:before="0" w:after="120"/>
        <w:ind w:hanging="360" w:left="720"/>
        <w:rPr/>
      </w:pPr>
      <w:r>
        <w:rPr>
          <w:rFonts w:eastAsia="Times New Roman" w:cs="Times New Roman"/>
          <w:b w:val="false"/>
          <w:bCs w:val="false"/>
          <w:color w:val="1F1F1F"/>
          <w:sz w:val="22"/>
          <w:szCs w:val="22"/>
        </w:rPr>
        <w:t>Integrate security into every stage of the software development lifecycle (SDLC)</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Prevent security flaws during coding, build, and deployment</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Comply with industry standards and customer security expectations</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Ensure quick remediation of vulnerabilities</w:t>
      </w:r>
    </w:p>
    <w:p>
      <w:pPr>
        <w:pStyle w:val="Heading1"/>
        <w:spacing w:before="200" w:after="160"/>
        <w:rPr/>
      </w:pPr>
      <w:bookmarkStart w:id="4" w:name="__RefHeading___Toc205_2173537825"/>
      <w:bookmarkEnd w:id="4"/>
      <w:r>
        <w:rPr>
          <w:rFonts w:eastAsia="Liberation Sans" w:cs="Liberation Sans" w:ascii="Liberation Sans" w:hAnsi="Liberation Sans"/>
          <w:b/>
          <w:bCs/>
          <w:color w:val="2E75B6"/>
          <w:sz w:val="30"/>
          <w:szCs w:val="30"/>
        </w:rPr>
        <w:t>Secure Development Requirements</w:t>
      </w:r>
    </w:p>
    <w:p>
      <w:pPr>
        <w:pStyle w:val="Normal"/>
        <w:spacing w:lineRule="exact" w:line="300" w:before="0" w:after="200"/>
        <w:rPr/>
      </w:pPr>
      <w:r>
        <w:rPr>
          <w:rFonts w:eastAsia="Times New Roman" w:cs="Times New Roman"/>
          <w:b/>
          <w:bCs/>
          <w:color w:val="1F1F1F"/>
          <w:sz w:val="22"/>
          <w:szCs w:val="22"/>
        </w:rPr>
        <w:t>1) Design Phase (A.8.25)</w:t>
      </w:r>
    </w:p>
    <w:p>
      <w:pPr>
        <w:pStyle w:val="ListParagraph"/>
        <w:numPr>
          <w:ilvl w:val="1"/>
          <w:numId w:val="1"/>
        </w:numPr>
        <w:spacing w:lineRule="exact" w:line="300" w:before="0" w:after="120"/>
        <w:ind w:hanging="360" w:left="1080"/>
        <w:rPr/>
      </w:pPr>
      <w:r>
        <w:rPr>
          <w:rFonts w:eastAsia="Times New Roman" w:cs="Times New Roman"/>
          <w:b w:val="false"/>
          <w:bCs w:val="false"/>
          <w:color w:val="1F1F1F"/>
          <w:sz w:val="22"/>
          <w:szCs w:val="22"/>
        </w:rPr>
        <w:t>Threat modelling must be performed for all major releases or new systems</w:t>
      </w:r>
    </w:p>
    <w:p>
      <w:pPr>
        <w:pStyle w:val="ListParagraph"/>
        <w:numPr>
          <w:ilvl w:val="1"/>
          <w:numId w:val="1"/>
        </w:numPr>
        <w:spacing w:lineRule="exact" w:line="300" w:before="0" w:after="120"/>
        <w:ind w:hanging="360" w:left="1080"/>
        <w:rPr/>
      </w:pPr>
      <w:r>
        <w:rPr>
          <w:rFonts w:eastAsia="Times New Roman" w:cs="Times New Roman"/>
          <w:b w:val="false"/>
          <w:bCs w:val="false"/>
          <w:color w:val="1F1F1F"/>
          <w:sz w:val="22"/>
          <w:szCs w:val="22"/>
        </w:rPr>
        <w:t>Security requirements must be documented along with functional specs</w:t>
      </w:r>
    </w:p>
    <w:p>
      <w:pPr>
        <w:pStyle w:val="ListParagraph"/>
        <w:numPr>
          <w:ilvl w:val="1"/>
          <w:numId w:val="1"/>
        </w:numPr>
        <w:spacing w:lineRule="exact" w:line="300" w:before="0" w:after="120"/>
        <w:ind w:hanging="360" w:left="1080"/>
        <w:rPr/>
      </w:pPr>
      <w:r>
        <w:rPr>
          <w:rFonts w:eastAsia="Times New Roman" w:cs="Times New Roman"/>
          <w:b w:val="false"/>
          <w:bCs w:val="false"/>
          <w:color w:val="1F1F1F"/>
          <w:sz w:val="22"/>
          <w:szCs w:val="22"/>
        </w:rPr>
        <w:t>Reuse of secure libraries and components is encouraged</w:t>
      </w:r>
    </w:p>
    <w:p>
      <w:pPr>
        <w:pStyle w:val="Normal"/>
        <w:spacing w:lineRule="exact" w:line="300" w:before="0" w:after="200"/>
        <w:rPr/>
      </w:pPr>
      <w:r>
        <w:rPr>
          <w:rFonts w:eastAsia="Times New Roman" w:cs="Times New Roman"/>
          <w:b/>
          <w:bCs/>
          <w:color w:val="1F1F1F"/>
          <w:sz w:val="22"/>
          <w:szCs w:val="22"/>
        </w:rPr>
        <w:t>2) Development Phase</w:t>
      </w:r>
    </w:p>
    <w:p>
      <w:pPr>
        <w:pStyle w:val="ListParagraph"/>
        <w:numPr>
          <w:ilvl w:val="1"/>
          <w:numId w:val="1"/>
        </w:numPr>
        <w:spacing w:lineRule="exact" w:line="300" w:before="0" w:after="120"/>
        <w:ind w:hanging="360" w:left="1080"/>
        <w:rPr/>
      </w:pPr>
      <w:r>
        <w:rPr>
          <w:rFonts w:eastAsia="Times New Roman" w:cs="Times New Roman"/>
          <w:b w:val="false"/>
          <w:bCs w:val="false"/>
          <w:color w:val="1F1F1F"/>
          <w:sz w:val="22"/>
          <w:szCs w:val="22"/>
        </w:rPr>
        <w:t>Developers must follow secure coding standards (e.g. OWASP Secure Coding Guidelines)</w:t>
      </w:r>
    </w:p>
    <w:p>
      <w:pPr>
        <w:pStyle w:val="ListParagraph"/>
        <w:numPr>
          <w:ilvl w:val="1"/>
          <w:numId w:val="1"/>
        </w:numPr>
        <w:spacing w:lineRule="exact" w:line="300" w:before="0" w:after="120"/>
        <w:ind w:hanging="360" w:left="1080"/>
        <w:rPr/>
      </w:pPr>
      <w:r>
        <w:rPr>
          <w:rFonts w:eastAsia="Times New Roman" w:cs="Times New Roman"/>
          <w:b w:val="false"/>
          <w:bCs w:val="false"/>
          <w:color w:val="1F1F1F"/>
          <w:sz w:val="22"/>
          <w:szCs w:val="22"/>
        </w:rPr>
        <w:t>Static code analysis must be integrated into the CI/CD pipeline</w:t>
      </w:r>
    </w:p>
    <w:p>
      <w:pPr>
        <w:pStyle w:val="ListParagraph"/>
        <w:numPr>
          <w:ilvl w:val="1"/>
          <w:numId w:val="1"/>
        </w:numPr>
        <w:spacing w:lineRule="exact" w:line="300" w:before="0" w:after="120"/>
        <w:ind w:hanging="360" w:left="1080"/>
        <w:rPr/>
      </w:pPr>
      <w:r>
        <w:rPr>
          <w:rFonts w:eastAsia="Times New Roman" w:cs="Times New Roman"/>
          <w:b w:val="false"/>
          <w:bCs w:val="false"/>
          <w:color w:val="1F1F1F"/>
          <w:sz w:val="22"/>
          <w:szCs w:val="22"/>
        </w:rPr>
        <w:t xml:space="preserve">Secrets and credentials must </w:t>
      </w:r>
      <w:r>
        <w:rPr>
          <w:rFonts w:eastAsia="Times New Roman" w:cs="Times New Roman"/>
          <w:b/>
          <w:bCs/>
          <w:color w:val="1F1F1F"/>
          <w:sz w:val="22"/>
          <w:szCs w:val="22"/>
        </w:rPr>
        <w:t>never</w:t>
      </w:r>
      <w:r>
        <w:rPr>
          <w:rFonts w:eastAsia="Times New Roman" w:cs="Times New Roman"/>
          <w:b w:val="false"/>
          <w:bCs w:val="false"/>
          <w:color w:val="1F1F1F"/>
          <w:sz w:val="22"/>
          <w:szCs w:val="22"/>
        </w:rPr>
        <w:t xml:space="preserve"> be hardcoded in source code</w:t>
      </w:r>
    </w:p>
    <w:p>
      <w:pPr>
        <w:pStyle w:val="ListParagraph"/>
        <w:numPr>
          <w:ilvl w:val="1"/>
          <w:numId w:val="1"/>
        </w:numPr>
        <w:spacing w:lineRule="exact" w:line="300" w:before="0" w:after="120"/>
        <w:ind w:hanging="360" w:left="1080"/>
        <w:rPr/>
      </w:pPr>
      <w:r>
        <w:rPr>
          <w:rFonts w:eastAsia="Times New Roman" w:cs="Times New Roman"/>
          <w:b w:val="false"/>
          <w:bCs w:val="false"/>
          <w:color w:val="1F1F1F"/>
          <w:sz w:val="22"/>
          <w:szCs w:val="22"/>
        </w:rPr>
        <w:t>All third-party libraries must be vetted for vulnerabilities</w:t>
      </w:r>
    </w:p>
    <w:p>
      <w:pPr>
        <w:pStyle w:val="Normal"/>
        <w:spacing w:lineRule="exact" w:line="300" w:before="0" w:after="200"/>
        <w:rPr/>
      </w:pPr>
      <w:r>
        <w:rPr>
          <w:rFonts w:eastAsia="Times New Roman" w:cs="Times New Roman"/>
          <w:b/>
          <w:bCs/>
          <w:color w:val="1F1F1F"/>
          <w:sz w:val="22"/>
          <w:szCs w:val="22"/>
        </w:rPr>
        <w:t>3) Testing and QA (A.8.29)</w:t>
      </w:r>
    </w:p>
    <w:p>
      <w:pPr>
        <w:pStyle w:val="ListParagraph"/>
        <w:numPr>
          <w:ilvl w:val="1"/>
          <w:numId w:val="1"/>
        </w:numPr>
        <w:spacing w:lineRule="exact" w:line="300" w:before="0" w:after="120"/>
        <w:ind w:hanging="360" w:left="1080"/>
        <w:rPr/>
      </w:pPr>
      <w:r>
        <w:rPr>
          <w:rFonts w:eastAsia="Times New Roman" w:cs="Times New Roman"/>
          <w:b w:val="false"/>
          <w:bCs w:val="false"/>
          <w:color w:val="1F1F1F"/>
          <w:sz w:val="22"/>
          <w:szCs w:val="22"/>
        </w:rPr>
        <w:t>Conduct security testing before production releases:</w:t>
      </w:r>
    </w:p>
    <w:p>
      <w:pPr>
        <w:pStyle w:val="ListParagraph"/>
        <w:numPr>
          <w:ilvl w:val="1"/>
          <w:numId w:val="1"/>
        </w:numPr>
        <w:spacing w:lineRule="exact" w:line="300" w:before="0" w:after="120"/>
        <w:ind w:hanging="360" w:left="1080"/>
        <w:rPr/>
      </w:pPr>
      <w:r>
        <w:rPr>
          <w:rFonts w:eastAsia="Times New Roman" w:cs="Times New Roman"/>
          <w:b w:val="false"/>
          <w:bCs w:val="false"/>
          <w:color w:val="1F1F1F"/>
          <w:sz w:val="22"/>
          <w:szCs w:val="22"/>
        </w:rPr>
        <w:t>Static Application Security Testing (SAST)</w:t>
      </w:r>
    </w:p>
    <w:p>
      <w:pPr>
        <w:pStyle w:val="ListParagraph"/>
        <w:numPr>
          <w:ilvl w:val="1"/>
          <w:numId w:val="1"/>
        </w:numPr>
        <w:spacing w:lineRule="exact" w:line="300" w:before="0" w:after="120"/>
        <w:ind w:hanging="360" w:left="1080"/>
        <w:rPr/>
      </w:pPr>
      <w:r>
        <w:rPr>
          <w:rFonts w:eastAsia="Times New Roman" w:cs="Times New Roman"/>
          <w:b w:val="false"/>
          <w:bCs w:val="false"/>
          <w:color w:val="1F1F1F"/>
          <w:sz w:val="22"/>
          <w:szCs w:val="22"/>
        </w:rPr>
        <w:t>Dynamic Application Security Testing (DAST)</w:t>
      </w:r>
    </w:p>
    <w:p>
      <w:pPr>
        <w:pStyle w:val="ListParagraph"/>
        <w:numPr>
          <w:ilvl w:val="1"/>
          <w:numId w:val="1"/>
        </w:numPr>
        <w:spacing w:lineRule="exact" w:line="300" w:before="0" w:after="120"/>
        <w:ind w:hanging="360" w:left="1080"/>
        <w:rPr/>
      </w:pPr>
      <w:r>
        <w:rPr>
          <w:rFonts w:eastAsia="Times New Roman" w:cs="Times New Roman"/>
          <w:b w:val="false"/>
          <w:bCs w:val="false"/>
          <w:color w:val="1F1F1F"/>
          <w:sz w:val="22"/>
          <w:szCs w:val="22"/>
        </w:rPr>
        <w:t>Manual code reviews for critical components</w:t>
      </w:r>
    </w:p>
    <w:p>
      <w:pPr>
        <w:pStyle w:val="ListParagraph"/>
        <w:numPr>
          <w:ilvl w:val="1"/>
          <w:numId w:val="1"/>
        </w:numPr>
        <w:spacing w:lineRule="exact" w:line="300" w:before="0" w:after="120"/>
        <w:ind w:hanging="360" w:left="1080"/>
        <w:rPr/>
      </w:pPr>
      <w:r>
        <w:rPr>
          <w:rFonts w:eastAsia="Times New Roman" w:cs="Times New Roman"/>
          <w:b w:val="false"/>
          <w:bCs w:val="false"/>
          <w:color w:val="1F1F1F"/>
          <w:sz w:val="22"/>
          <w:szCs w:val="22"/>
        </w:rPr>
        <w:t>Use test data, never production data, in non-production environments</w:t>
      </w:r>
    </w:p>
    <w:p>
      <w:pPr>
        <w:pStyle w:val="Normal"/>
        <w:spacing w:lineRule="exact" w:line="300" w:before="0" w:after="200"/>
        <w:rPr/>
      </w:pPr>
      <w:r>
        <w:rPr>
          <w:rFonts w:eastAsia="Times New Roman" w:cs="Times New Roman"/>
          <w:b/>
          <w:bCs/>
          <w:color w:val="1F1F1F"/>
          <w:sz w:val="22"/>
          <w:szCs w:val="22"/>
        </w:rPr>
        <w:t>4) Deployment and Maintenance</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All deployments must go through a peer-reviewed pull request (PR) process</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Infrastructure-as-code (IaC) must be reviewed for misconfigurations</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Post-deployment monitoring must be in place for all major releases</w:t>
      </w:r>
    </w:p>
    <w:p>
      <w:pPr>
        <w:pStyle w:val="Heading1"/>
        <w:spacing w:before="200" w:after="160"/>
        <w:rPr/>
      </w:pPr>
      <w:bookmarkStart w:id="5" w:name="__RefHeading___Toc207_2173537825"/>
      <w:bookmarkEnd w:id="5"/>
      <w:r>
        <w:rPr>
          <w:rFonts w:eastAsia="Liberation Sans" w:cs="Liberation Sans" w:ascii="Liberation Sans" w:hAnsi="Liberation Sans"/>
          <w:b/>
          <w:bCs/>
          <w:color w:val="2E75B6"/>
          <w:sz w:val="30"/>
          <w:szCs w:val="30"/>
        </w:rPr>
        <w:t>Secure Coding Training (A.6.3 &amp; A.8.27)</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 xml:space="preserve">All developers must complete secure coding training </w:t>
      </w:r>
      <w:r>
        <w:rPr>
          <w:rFonts w:eastAsia="Times New Roman" w:cs="Times New Roman"/>
          <w:b/>
          <w:bCs/>
          <w:color w:val="1F1F1F"/>
          <w:sz w:val="22"/>
          <w:szCs w:val="22"/>
        </w:rPr>
        <w:t>annually</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New hires must complete training within 30 days of joining</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Training is tracked and reviewed by the Information Security Manager</w:t>
      </w:r>
    </w:p>
    <w:p>
      <w:pPr>
        <w:pStyle w:val="Heading1"/>
        <w:spacing w:before="200" w:after="160"/>
        <w:rPr/>
      </w:pPr>
      <w:bookmarkStart w:id="6" w:name="__RefHeading___Toc209_2173537825"/>
      <w:bookmarkEnd w:id="6"/>
      <w:r>
        <w:rPr>
          <w:rFonts w:eastAsia="Liberation Sans" w:cs="Liberation Sans" w:ascii="Liberation Sans" w:hAnsi="Liberation Sans"/>
          <w:b/>
          <w:bCs/>
          <w:color w:val="2E75B6"/>
          <w:sz w:val="30"/>
          <w:szCs w:val="30"/>
        </w:rPr>
        <w:t>Management of Open-Source Software (A.8.28)</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All third-party dependencies must be:</w:t>
      </w:r>
    </w:p>
    <w:p>
      <w:pPr>
        <w:pStyle w:val="ListParagraph"/>
        <w:numPr>
          <w:ilvl w:val="1"/>
          <w:numId w:val="1"/>
        </w:numPr>
        <w:spacing w:lineRule="exact" w:line="300" w:before="0" w:after="120"/>
        <w:ind w:hanging="360" w:left="1080"/>
        <w:rPr/>
      </w:pPr>
      <w:r>
        <w:rPr>
          <w:rFonts w:eastAsia="Times New Roman" w:cs="Times New Roman"/>
          <w:b w:val="false"/>
          <w:bCs w:val="false"/>
          <w:color w:val="1F1F1F"/>
          <w:sz w:val="22"/>
          <w:szCs w:val="22"/>
        </w:rPr>
        <w:t>Managed using dependency management tools (e.g. npm, pip)</w:t>
      </w:r>
    </w:p>
    <w:p>
      <w:pPr>
        <w:pStyle w:val="ListParagraph"/>
        <w:numPr>
          <w:ilvl w:val="1"/>
          <w:numId w:val="1"/>
        </w:numPr>
        <w:spacing w:lineRule="exact" w:line="300" w:before="0" w:after="120"/>
        <w:ind w:hanging="360" w:left="1080"/>
        <w:rPr/>
      </w:pPr>
      <w:r>
        <w:rPr>
          <w:rFonts w:eastAsia="Times New Roman" w:cs="Times New Roman"/>
          <w:b w:val="false"/>
          <w:bCs w:val="false"/>
          <w:color w:val="1F1F1F"/>
          <w:sz w:val="22"/>
          <w:szCs w:val="22"/>
        </w:rPr>
        <w:t>Checked regularly for CVEs or critical bugs</w:t>
      </w:r>
    </w:p>
    <w:p>
      <w:pPr>
        <w:pStyle w:val="ListParagraph"/>
        <w:numPr>
          <w:ilvl w:val="1"/>
          <w:numId w:val="1"/>
        </w:numPr>
        <w:spacing w:lineRule="exact" w:line="300" w:before="0" w:after="120"/>
        <w:ind w:hanging="360" w:left="1080"/>
        <w:rPr/>
      </w:pPr>
      <w:r>
        <w:rPr>
          <w:rFonts w:eastAsia="Times New Roman" w:cs="Times New Roman"/>
          <w:b w:val="false"/>
          <w:bCs w:val="false"/>
          <w:color w:val="1F1F1F"/>
          <w:sz w:val="22"/>
          <w:szCs w:val="22"/>
        </w:rPr>
        <w:t>Updated or replaced if found vulnerable</w:t>
      </w:r>
    </w:p>
    <w:p>
      <w:pPr>
        <w:pStyle w:val="Heading1"/>
        <w:spacing w:before="200" w:after="160"/>
        <w:rPr/>
      </w:pPr>
      <w:bookmarkStart w:id="7" w:name="__RefHeading___Toc211_2173537825"/>
      <w:bookmarkEnd w:id="7"/>
      <w:r>
        <w:rPr>
          <w:rFonts w:eastAsia="Liberation Sans" w:cs="Liberation Sans" w:ascii="Liberation Sans" w:hAnsi="Liberation Sans"/>
          <w:b/>
          <w:bCs/>
          <w:color w:val="2E75B6"/>
          <w:sz w:val="30"/>
          <w:szCs w:val="30"/>
        </w:rPr>
        <w:t>DevOps and CI/CD Pipeline Controls</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Secrets must be stored using environment variables or secrets managers (e.g. AWS Secrets Manager)</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CI/CD pipelines must have:</w:t>
      </w:r>
    </w:p>
    <w:p>
      <w:pPr>
        <w:pStyle w:val="ListParagraph"/>
        <w:numPr>
          <w:ilvl w:val="1"/>
          <w:numId w:val="1"/>
        </w:numPr>
        <w:spacing w:lineRule="exact" w:line="300" w:before="0" w:after="120"/>
        <w:ind w:hanging="360" w:left="1080"/>
        <w:rPr/>
      </w:pPr>
      <w:r>
        <w:rPr>
          <w:rFonts w:eastAsia="Times New Roman" w:cs="Times New Roman"/>
          <w:b w:val="false"/>
          <w:bCs w:val="false"/>
          <w:color w:val="1F1F1F"/>
          <w:sz w:val="22"/>
          <w:szCs w:val="22"/>
        </w:rPr>
        <w:t>Access control</w:t>
      </w:r>
    </w:p>
    <w:p>
      <w:pPr>
        <w:pStyle w:val="ListParagraph"/>
        <w:numPr>
          <w:ilvl w:val="1"/>
          <w:numId w:val="1"/>
        </w:numPr>
        <w:spacing w:lineRule="exact" w:line="300" w:before="0" w:after="120"/>
        <w:ind w:hanging="360" w:left="1080"/>
        <w:rPr/>
      </w:pPr>
      <w:r>
        <w:rPr>
          <w:rFonts w:eastAsia="Times New Roman" w:cs="Times New Roman"/>
          <w:b w:val="false"/>
          <w:bCs w:val="false"/>
          <w:color w:val="1F1F1F"/>
          <w:sz w:val="22"/>
          <w:szCs w:val="22"/>
        </w:rPr>
        <w:t>Audit logging</w:t>
      </w:r>
    </w:p>
    <w:p>
      <w:pPr>
        <w:pStyle w:val="ListParagraph"/>
        <w:numPr>
          <w:ilvl w:val="1"/>
          <w:numId w:val="1"/>
        </w:numPr>
        <w:spacing w:lineRule="exact" w:line="300" w:before="0" w:after="120"/>
        <w:ind w:hanging="360" w:left="1080"/>
        <w:rPr/>
      </w:pPr>
      <w:r>
        <w:rPr>
          <w:rFonts w:eastAsia="Times New Roman" w:cs="Times New Roman"/>
          <w:b w:val="false"/>
          <w:bCs w:val="false"/>
          <w:color w:val="1F1F1F"/>
          <w:sz w:val="22"/>
          <w:szCs w:val="22"/>
        </w:rPr>
        <w:t>Pre-deployment validation steps</w:t>
      </w:r>
    </w:p>
    <w:p>
      <w:pPr>
        <w:pStyle w:val="Heading1"/>
        <w:spacing w:before="200" w:after="160"/>
        <w:rPr/>
      </w:pPr>
      <w:bookmarkStart w:id="8" w:name="__RefHeading___Toc213_2173537825"/>
      <w:bookmarkEnd w:id="8"/>
      <w:r>
        <w:rPr>
          <w:rFonts w:eastAsia="Liberation Sans" w:cs="Liberation Sans" w:ascii="Liberation Sans" w:hAnsi="Liberation Sans"/>
          <w:b/>
          <w:bCs/>
          <w:color w:val="2E75B6"/>
          <w:sz w:val="30"/>
          <w:szCs w:val="30"/>
        </w:rPr>
        <w:t>Vulnerability Management</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Security vulnerabilities must be:</w:t>
      </w:r>
    </w:p>
    <w:p>
      <w:pPr>
        <w:pStyle w:val="ListParagraph"/>
        <w:numPr>
          <w:ilvl w:val="1"/>
          <w:numId w:val="1"/>
        </w:numPr>
        <w:spacing w:lineRule="exact" w:line="300" w:before="0" w:after="120"/>
        <w:ind w:hanging="360" w:left="1080"/>
        <w:rPr/>
      </w:pPr>
      <w:r>
        <w:rPr>
          <w:rFonts w:eastAsia="Times New Roman" w:cs="Times New Roman"/>
          <w:b w:val="false"/>
          <w:bCs w:val="false"/>
          <w:color w:val="1F1F1F"/>
          <w:sz w:val="22"/>
          <w:szCs w:val="22"/>
        </w:rPr>
        <w:t>Tracked in an internal issue tracker</w:t>
      </w:r>
    </w:p>
    <w:p>
      <w:pPr>
        <w:pStyle w:val="ListParagraph"/>
        <w:numPr>
          <w:ilvl w:val="1"/>
          <w:numId w:val="1"/>
        </w:numPr>
        <w:spacing w:lineRule="exact" w:line="300" w:before="0" w:after="120"/>
        <w:ind w:hanging="360" w:left="1080"/>
        <w:rPr/>
      </w:pPr>
      <w:r>
        <w:rPr>
          <w:rFonts w:eastAsia="Times New Roman" w:cs="Times New Roman"/>
          <w:b w:val="false"/>
          <w:bCs w:val="false"/>
          <w:color w:val="1F1F1F"/>
          <w:sz w:val="22"/>
          <w:szCs w:val="22"/>
        </w:rPr>
        <w:t>Assigned to developers and fixed based on severity</w:t>
      </w:r>
    </w:p>
    <w:p>
      <w:pPr>
        <w:pStyle w:val="ListParagraph"/>
        <w:numPr>
          <w:ilvl w:val="1"/>
          <w:numId w:val="1"/>
        </w:numPr>
        <w:spacing w:lineRule="exact" w:line="300" w:before="0" w:after="120"/>
        <w:ind w:hanging="360" w:left="1080"/>
        <w:rPr/>
      </w:pPr>
      <w:r>
        <w:rPr>
          <w:rFonts w:eastAsia="Times New Roman" w:cs="Times New Roman"/>
          <w:b w:val="false"/>
          <w:bCs w:val="false"/>
          <w:color w:val="1F1F1F"/>
          <w:sz w:val="22"/>
          <w:szCs w:val="22"/>
        </w:rPr>
        <w:t>Verified through re-testing</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Critical vulnerabilities must be remediated within 5 business days</w:t>
      </w:r>
    </w:p>
    <w:p>
      <w:pPr>
        <w:pStyle w:val="Heading1"/>
        <w:spacing w:before="200" w:after="160"/>
        <w:rPr/>
      </w:pPr>
      <w:bookmarkStart w:id="9" w:name="__RefHeading___Toc215_2173537825"/>
      <w:bookmarkEnd w:id="9"/>
      <w:r>
        <w:rPr>
          <w:rFonts w:eastAsia="Liberation Sans" w:cs="Liberation Sans" w:ascii="Liberation Sans" w:hAnsi="Liberation Sans"/>
          <w:b/>
          <w:bCs/>
          <w:color w:val="2E75B6"/>
          <w:sz w:val="30"/>
          <w:szCs w:val="30"/>
        </w:rPr>
        <w:t>Roles and Responsibilities</w:t>
      </w:r>
    </w:p>
    <w:tbl>
      <w:tblPr>
        <w:tblW w:w="9360" w:type="dxa"/>
        <w:jc w:val="left"/>
        <w:tblInd w:w="0" w:type="dxa"/>
        <w:tblLayout w:type="fixed"/>
        <w:tblCellMar>
          <w:top w:w="80" w:type="dxa"/>
          <w:left w:w="100" w:type="dxa"/>
          <w:bottom w:w="80" w:type="dxa"/>
          <w:right w:w="100" w:type="dxa"/>
        </w:tblCellMar>
      </w:tblPr>
      <w:tblGrid>
        <w:gridCol w:w="3200"/>
        <w:gridCol w:w="6159"/>
      </w:tblGrid>
      <w:tr>
        <w:trPr>
          <w:tblHeader w:val="true"/>
        </w:trPr>
        <w:tc>
          <w:tcPr>
            <w:tcW w:w="320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Role</w:t>
            </w:r>
          </w:p>
        </w:tc>
        <w:tc>
          <w:tcPr>
            <w:tcW w:w="6159"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Responsibilities</w:t>
            </w:r>
          </w:p>
        </w:tc>
      </w:tr>
      <w:tr>
        <w:trPr/>
        <w:tc>
          <w:tcPr>
            <w:tcW w:w="320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Software Developers</w:t>
            </w:r>
          </w:p>
        </w:tc>
        <w:tc>
          <w:tcPr>
            <w:tcW w:w="6159"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Follow secure coding practices and participate in code reviews</w:t>
            </w:r>
          </w:p>
        </w:tc>
      </w:tr>
      <w:tr>
        <w:trPr/>
        <w:tc>
          <w:tcPr>
            <w:tcW w:w="320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Product Owners</w:t>
            </w:r>
          </w:p>
        </w:tc>
        <w:tc>
          <w:tcPr>
            <w:tcW w:w="6159"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Define security requirements and ensure they are delivered</w:t>
            </w:r>
          </w:p>
        </w:tc>
      </w:tr>
      <w:tr>
        <w:trPr/>
        <w:tc>
          <w:tcPr>
            <w:tcW w:w="320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Information Security Manager</w:t>
            </w:r>
          </w:p>
        </w:tc>
        <w:tc>
          <w:tcPr>
            <w:tcW w:w="6159"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Oversees policy implementation and training</w:t>
            </w:r>
          </w:p>
        </w:tc>
      </w:tr>
    </w:tbl>
    <w:p>
      <w:pPr>
        <w:pStyle w:val="Heading1"/>
        <w:spacing w:before="200" w:after="160"/>
        <w:rPr/>
      </w:pPr>
      <w:bookmarkStart w:id="10" w:name="__RefHeading___Toc217_2173537825"/>
      <w:bookmarkEnd w:id="10"/>
      <w:r>
        <w:rPr>
          <w:rFonts w:eastAsia="Liberation Sans" w:cs="Liberation Sans" w:ascii="Liberation Sans" w:hAnsi="Liberation Sans"/>
          <w:b/>
          <w:bCs/>
          <w:color w:val="2E75B6"/>
          <w:sz w:val="30"/>
          <w:szCs w:val="30"/>
        </w:rPr>
        <w:t>Exceptions</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Exceptions must be:</w:t>
      </w:r>
    </w:p>
    <w:p>
      <w:pPr>
        <w:pStyle w:val="ListParagraph"/>
        <w:numPr>
          <w:ilvl w:val="1"/>
          <w:numId w:val="1"/>
        </w:numPr>
        <w:spacing w:lineRule="exact" w:line="300" w:before="0" w:after="120"/>
        <w:ind w:hanging="360" w:left="1080"/>
        <w:rPr/>
      </w:pPr>
      <w:r>
        <w:rPr>
          <w:rFonts w:eastAsia="Times New Roman" w:cs="Times New Roman"/>
          <w:b w:val="false"/>
          <w:bCs w:val="false"/>
          <w:color w:val="1F1F1F"/>
          <w:sz w:val="22"/>
          <w:szCs w:val="22"/>
        </w:rPr>
        <w:t>Documented</w:t>
      </w:r>
    </w:p>
    <w:p>
      <w:pPr>
        <w:pStyle w:val="ListParagraph"/>
        <w:numPr>
          <w:ilvl w:val="1"/>
          <w:numId w:val="1"/>
        </w:numPr>
        <w:spacing w:lineRule="exact" w:line="300" w:before="0" w:after="120"/>
        <w:ind w:hanging="360" w:left="1080"/>
        <w:rPr/>
      </w:pPr>
      <w:r>
        <w:rPr>
          <w:rFonts w:eastAsia="Times New Roman" w:cs="Times New Roman"/>
          <w:b w:val="false"/>
          <w:bCs w:val="false"/>
          <w:color w:val="1F1F1F"/>
          <w:sz w:val="22"/>
          <w:szCs w:val="22"/>
        </w:rPr>
        <w:t>Approved by the Information Security Manager</w:t>
      </w:r>
    </w:p>
    <w:p>
      <w:pPr>
        <w:pStyle w:val="ListParagraph"/>
        <w:numPr>
          <w:ilvl w:val="1"/>
          <w:numId w:val="1"/>
        </w:numPr>
        <w:spacing w:lineRule="exact" w:line="300" w:before="0" w:after="120"/>
        <w:ind w:hanging="360" w:left="1080"/>
        <w:rPr/>
      </w:pPr>
      <w:r>
        <w:rPr>
          <w:rFonts w:eastAsia="Times New Roman" w:cs="Times New Roman"/>
          <w:b w:val="false"/>
          <w:bCs w:val="false"/>
          <w:color w:val="1F1F1F"/>
          <w:sz w:val="22"/>
          <w:szCs w:val="22"/>
        </w:rPr>
        <w:t>Mitigated with alternative controls where feasible</w:t>
      </w:r>
    </w:p>
    <w:p>
      <w:pPr>
        <w:pStyle w:val="Heading1"/>
        <w:spacing w:before="200" w:after="160"/>
        <w:rPr/>
      </w:pPr>
      <w:bookmarkStart w:id="11" w:name="__RefHeading___Toc219_2173537825"/>
      <w:bookmarkEnd w:id="11"/>
      <w:r>
        <w:rPr>
          <w:rFonts w:eastAsia="Liberation Sans" w:cs="Liberation Sans" w:ascii="Liberation Sans" w:hAnsi="Liberation Sans"/>
          <w:b/>
          <w:bCs/>
          <w:color w:val="2E75B6"/>
          <w:sz w:val="30"/>
          <w:szCs w:val="30"/>
        </w:rPr>
        <w:t>Policy Review</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 xml:space="preserve">This policy is reviewed </w:t>
      </w:r>
      <w:r>
        <w:rPr>
          <w:rFonts w:eastAsia="Times New Roman" w:cs="Times New Roman"/>
          <w:b/>
          <w:bCs/>
          <w:color w:val="1F1F1F"/>
          <w:sz w:val="22"/>
          <w:szCs w:val="22"/>
        </w:rPr>
        <w:t>annually</w:t>
      </w:r>
      <w:r>
        <w:rPr>
          <w:rFonts w:eastAsia="Times New Roman" w:cs="Times New Roman"/>
          <w:b w:val="false"/>
          <w:bCs w:val="false"/>
          <w:color w:val="1F1F1F"/>
          <w:sz w:val="22"/>
          <w:szCs w:val="22"/>
        </w:rPr>
        <w:t xml:space="preserve"> or upon significant change to the environment or regulatory requirements.</w:t>
      </w:r>
    </w:p>
    <w:sectPr>
      <w:footerReference w:type="even" r:id="rId2"/>
      <w:footerReference w:type="default" r:id="rId3"/>
      <w:footerReference w:type="first" r:id="rId4"/>
      <w:type w:val="nextPage"/>
      <w:pgSz w:w="12240" w:h="15840"/>
      <w:pgMar w:left="1440" w:right="1440" w:gutter="0" w:header="0" w:top="1440" w:footer="708"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Liberation Sans">
    <w:altName w:val="Arial"/>
    <w:charset w:val="01"/>
    <w:family w:val="roman"/>
    <w:pitch w:val="variable"/>
  </w:font>
  <w:font w:name="Georgia">
    <w:charset w:val="01"/>
    <w:family w:val="roman"/>
    <w:pitch w:val="variable"/>
  </w:font>
  <w:font w:name="Wingdings">
    <w:charset w:val="02"/>
    <w:family w:val="auto"/>
    <w:pitch w:val="default"/>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808080"/>
        <w:sz w:val="16"/>
        <w:szCs w:val="16"/>
      </w:rPr>
      <w:t>Abionic Inc. - Secure Development Policy (SDLC) - Confidential</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808080"/>
        <w:sz w:val="16"/>
        <w:szCs w:val="16"/>
      </w:rPr>
      <w:t>Abionic Inc. - Secure Development Policy (SDLC) - Confidential</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FreeSans"/>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Noto Serif CJK SC" w:cs="FreeSans"/>
      <w:color w:val="auto"/>
      <w:kern w:val="0"/>
      <w:sz w:val="20"/>
      <w:szCs w:val="20"/>
      <w:lang w:val="en-US" w:eastAsia="zh-CN" w:bidi="hi-IN"/>
    </w:rPr>
  </w:style>
  <w:style w:type="paragraph" w:styleId="Heading1">
    <w:name w:val="Heading 1"/>
    <w:basedOn w:val="Heading"/>
    <w:qFormat/>
    <w:pPr>
      <w:outlineLvl w:val="0"/>
    </w:pPr>
    <w:rPr>
      <w:color w:val="2E74B5"/>
      <w:sz w:val="32"/>
      <w:szCs w:val="32"/>
    </w:rPr>
  </w:style>
  <w:style w:type="paragraph" w:styleId="Heading2">
    <w:name w:val="Heading 2"/>
    <w:basedOn w:val="Heading"/>
    <w:qFormat/>
    <w:pPr>
      <w:outlineLvl w:val="1"/>
    </w:pPr>
    <w:rPr>
      <w:color w:val="2E74B5"/>
      <w:sz w:val="26"/>
      <w:szCs w:val="26"/>
    </w:rPr>
  </w:style>
  <w:style w:type="paragraph" w:styleId="Heading3">
    <w:name w:val="Heading 3"/>
    <w:basedOn w:val="Heading"/>
    <w:qFormat/>
    <w:pPr>
      <w:outlineLvl w:val="2"/>
    </w:pPr>
    <w:rPr>
      <w:color w:val="1F4D78"/>
      <w:sz w:val="24"/>
      <w:szCs w:val="24"/>
    </w:rPr>
  </w:style>
  <w:style w:type="paragraph" w:styleId="Heading4">
    <w:name w:val="Heading 4"/>
    <w:basedOn w:val="Heading"/>
    <w:qFormat/>
    <w:pPr>
      <w:outlineLvl w:val="3"/>
    </w:pPr>
    <w:rPr>
      <w:i/>
      <w:iCs/>
      <w:color w:val="2E74B5"/>
    </w:rPr>
  </w:style>
  <w:style w:type="paragraph" w:styleId="Heading5">
    <w:name w:val="Heading 5"/>
    <w:basedOn w:val="Heading"/>
    <w:qFormat/>
    <w:pPr>
      <w:outlineLvl w:val="4"/>
    </w:pPr>
    <w:rPr>
      <w:color w:val="2E74B5"/>
    </w:rPr>
  </w:style>
  <w:style w:type="paragraph" w:styleId="Heading6">
    <w:name w:val="Heading 6"/>
    <w:basedOn w:val="Heading"/>
    <w:qFormat/>
    <w:pPr>
      <w:outlineLvl w:val="5"/>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Noto Serif CJK SC" w:cs="FreeSans"/>
      <w:b/>
      <w:bCs/>
      <w:color w:val="auto"/>
      <w:kern w:val="0"/>
      <w:sz w:val="20"/>
      <w:szCs w:val="20"/>
      <w:lang w:val="en-US" w:eastAsia="zh-CN" w:bidi="hi-IN"/>
    </w:rPr>
  </w:style>
  <w:style w:type="paragraph" w:styleId="ListParagraph">
    <w:name w:val="List Paragraph"/>
    <w:qFormat/>
    <w:pPr>
      <w:widowControl/>
      <w:bidi w:val="0"/>
      <w:spacing w:before="0" w:after="0"/>
      <w:jc w:val="left"/>
    </w:pPr>
    <w:rPr>
      <w:rFonts w:ascii="Times New Roman" w:hAnsi="Times New Roman" w:eastAsia="Noto Serif CJK SC" w:cs="FreeSans"/>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2026-08-25T01:41:45Z</dcterms:created>
  <dc:creator>Abionic Inc.</dc:creator>
  <dc:description/>
  <dc:language>en-US</dc:language>
  <cp:lastModifiedBy>Abionic Inc.</cp:lastModifiedBy>
  <dcterms:modified xsi:type="dcterms:W3CDTF">2026-08-25T01:42:05Z</dcterms:modified>
  <cp:revision>2</cp:revision>
  <dc:subject/>
  <dc:title/>
</cp:coreProperties>
</file>