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Supplier and Vendor Management Policy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85_996237839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7_996237839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9_996237839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_996237839">
            <w:r>
              <w:rPr>
                <w:rStyle w:val="IndexLink"/>
              </w:rPr>
              <w:t>Policy Objectives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_996237839">
            <w:r>
              <w:rPr>
                <w:rStyle w:val="IndexLink"/>
              </w:rPr>
              <w:t>Supplier Lifecycle Requirements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_996237839">
            <w:r>
              <w:rPr>
                <w:rStyle w:val="IndexLink"/>
              </w:rPr>
              <w:t>Monitoring and Review (A.5.22)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_996237839">
            <w:r>
              <w:rPr>
                <w:rStyle w:val="IndexLink"/>
              </w:rPr>
              <w:t>Offboarding and Exit Strategy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_996237839">
            <w:r>
              <w:rPr>
                <w:rStyle w:val="IndexLink"/>
              </w:rPr>
              <w:t>Roles and Responsibilities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1_996237839">
            <w:r>
              <w:rPr>
                <w:rStyle w:val="IndexLink"/>
              </w:rPr>
              <w:t>Exceptions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3_996237839">
            <w:r>
              <w:rPr>
                <w:rStyle w:val="IndexLink"/>
              </w:rPr>
              <w:t>Policy Review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85_996237839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87_996237839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policy ensures that all third-party vendors, suppliers, and service providers engaged by Abionic Inc. are evaluated, monitored, and governed in a manner that protects the confidentiality, integrity, and availability of information systems and services. This policy is aligned with ISO/IEC 27001:2022 (A.5.19 – A.5.22).</w:t>
      </w:r>
    </w:p>
    <w:p>
      <w:pPr>
        <w:pStyle w:val="Heading1"/>
        <w:spacing w:before="200" w:after="160"/>
        <w:rPr/>
      </w:pPr>
      <w:bookmarkStart w:id="2" w:name="__RefHeading___Toc189_996237839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suppliers and vendors providing products or services that could impact the ISMS, including cloud services (e.g. AWS, GitHub), SaaS tools, development partners, managed service providers, and consultants.</w:t>
      </w:r>
    </w:p>
    <w:p>
      <w:pPr>
        <w:pStyle w:val="Heading1"/>
        <w:spacing w:before="200" w:after="160"/>
        <w:rPr/>
      </w:pPr>
      <w:bookmarkStart w:id="3" w:name="__RefHeading___Toc191_996237839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Objectives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suppliers meet security and compliance requirements.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Reduce third-party risk through due diligence and oversight.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Protect Abionic Inc.'s systems, data, and reputation.</w:t>
      </w:r>
    </w:p>
    <w:p>
      <w:pPr>
        <w:pStyle w:val="Heading1"/>
        <w:spacing w:before="200" w:after="160"/>
        <w:rPr/>
      </w:pPr>
      <w:bookmarkStart w:id="4" w:name="__RefHeading___Toc193_996237839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Supplier Lifecycle Requirements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1) Identification &amp; Classification (A.5.19)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Suppliers are categorised based on risk: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Critical: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Have access to production systems or sensitive data (e.g. AWS)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Operational: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Support internal tools or non-sensitive workflows (e.g. Jira)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Low-Risk: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No system access, non-technical vendors (e.g. office supplies)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2) Risk Assessment (A.5.20)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critical and operational suppliers must undergo an initial risk assessment prior to onboarding.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Assessment includes: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Security certifications (e.g. ISO 27001, SOC 2)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Data handling practices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SLAs and availability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Legal and compliance checks (e.g. GDPR relevance)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3) Contractual Obligations (A.5.21)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vendor agreements must include: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Confidentiality and data protection clauses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Breach notification requirements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Right to audit or request evidence of security controls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Service level expectations (availability, support, patching)</w:t>
      </w:r>
    </w:p>
    <w:p>
      <w:pPr>
        <w:pStyle w:val="Heading1"/>
        <w:spacing w:before="200" w:after="160"/>
        <w:rPr/>
      </w:pPr>
      <w:bookmarkStart w:id="5" w:name="__RefHeading___Toc195_996237839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Monitoring and Review (A.5.22)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Critical vendors are reviewed at least annually.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Reviews may include: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Updated security reports or certifications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Performance and SLA reviews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Breach history or incident disclosures</w:t>
      </w:r>
    </w:p>
    <w:p>
      <w:pPr>
        <w:pStyle w:val="Heading1"/>
        <w:spacing w:before="200" w:after="160"/>
        <w:rPr/>
      </w:pPr>
      <w:bookmarkStart w:id="6" w:name="__RefHeading___Toc197_996237839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Offboarding and Exit Strategy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Upon contract termination: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access to Abionic Inc. systems must be revoked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Data must be securely returned or destroyed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Final audit or verification may be required</w:t>
      </w:r>
    </w:p>
    <w:p>
      <w:pPr>
        <w:pStyle w:val="Heading1"/>
        <w:spacing w:before="200" w:after="160"/>
        <w:rPr/>
      </w:pPr>
      <w:bookmarkStart w:id="7" w:name="__RefHeading___Toc199_996237839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Responsibilities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Procurement / Legal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Ensure contracts include required clauses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Classify vendors, review risks, support audits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System Owners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Request vendor onboarding, monitor performance</w:t>
            </w:r>
          </w:p>
        </w:tc>
      </w:tr>
    </w:tbl>
    <w:p>
      <w:pPr>
        <w:pStyle w:val="Heading1"/>
        <w:spacing w:before="200" w:after="160"/>
        <w:rPr/>
      </w:pPr>
      <w:bookmarkStart w:id="8" w:name="__RefHeading___Toc201_996237839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Exceptions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Exceptions must be: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Documented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Approved by the Information Security Manager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Mitigated with alternative controls where feasible</w:t>
      </w:r>
    </w:p>
    <w:p>
      <w:pPr>
        <w:pStyle w:val="Heading1"/>
        <w:spacing w:before="200" w:after="160"/>
        <w:rPr/>
      </w:pPr>
      <w:bookmarkStart w:id="9" w:name="__RefHeading___Toc203_996237839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policy is 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or upon significant change to the environment or regulatory requirements.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Supplier and Vendor Management Policy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Supplier and Vendor Management Policy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2026-08-25T01:41:45Z</dcterms:created>
  <dc:creator>Abionic Inc.</dc:creator>
  <dc:description/>
  <dc:language>en-US</dc:language>
  <cp:lastModifiedBy>Abionic Inc.</cp:lastModifiedBy>
  <dcterms:modified xsi:type="dcterms:W3CDTF">2026-08-25T01:42:28Z</dcterms:modified>
  <cp:revision>2</cp:revision>
  <dc:subject/>
  <dc:title/>
</cp:coreProperties>
</file>