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100"/>
        <w:jc w:val="center"/>
        <w:rPr/>
      </w:pPr>
      <w:r>
        <w:rPr>
          <w:rFonts w:eastAsia="Liberation Sans" w:cs="Liberation Sans" w:ascii="Liberation Sans" w:hAnsi="Liberation Sans"/>
          <w:color w:val="000000"/>
          <w:sz w:val="56"/>
          <w:szCs w:val="56"/>
        </w:rPr>
        <w:t>Training &amp; Awareness Policy</w:t>
      </w:r>
    </w:p>
    <w:p>
      <w:pPr>
        <w:pStyle w:val="Normal"/>
        <w:jc w:val="center"/>
        <w:rPr/>
      </w:pPr>
      <w:r>
        <w:rPr/>
      </w:r>
    </w:p>
    <w:p>
      <w:pPr>
        <w:pStyle w:val="Normal"/>
        <w:jc w:val="center"/>
        <w:rPr/>
      </w:pPr>
      <w:r>
        <w:rPr/>
      </w:r>
    </w:p>
    <w:p>
      <w:pPr>
        <w:pStyle w:val="Normal"/>
        <w:spacing w:before="360" w:after="80"/>
        <w:jc w:val="center"/>
        <w:rPr/>
      </w:pPr>
      <w:r>
        <w:rPr>
          <w:rFonts w:eastAsia="Georgia" w:cs="Georgia" w:ascii="Georgia" w:hAnsi="Georgia"/>
          <w:i/>
          <w:iCs/>
          <w:color w:val="666666"/>
          <w:sz w:val="48"/>
          <w:szCs w:val="48"/>
        </w:rPr>
        <w:t>Abionic Inc.</w:t>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
    </w:p>
    <w:p>
      <w:pPr>
        <w:pStyle w:val="Normal"/>
        <w:jc w:val="center"/>
        <w:rPr/>
      </w:pPr>
      <w:r>
        <w:rPr>
          <w:rFonts w:eastAsia="Times New Roman" w:cs="Times New Roman"/>
          <w:sz w:val="22"/>
          <w:szCs w:val="22"/>
        </w:rPr>
        <w:t>Version 1.0</w:t>
      </w:r>
    </w:p>
    <w:p>
      <w:pPr>
        <w:pStyle w:val="Normal"/>
        <w:jc w:val="center"/>
        <w:rPr/>
      </w:pPr>
      <w:r>
        <w:rPr>
          <w:rFonts w:eastAsia="Times New Roman" w:cs="Times New Roman"/>
          <w:sz w:val="22"/>
          <w:szCs w:val="22"/>
        </w:rPr>
        <w:t>August 23, 2026</w:t>
      </w:r>
    </w:p>
    <w:p>
      <w:pPr>
        <w:pStyle w:val="Normal"/>
        <w:rPr/>
      </w:pPr>
      <w:r>
        <w:rPr/>
      </w:r>
      <w:r>
        <w:br w:type="page"/>
      </w:r>
    </w:p>
    <w:p>
      <w:pPr>
        <w:pStyle w:val="Normal"/>
        <w:spacing w:before="0" w:after="200"/>
        <w:rPr/>
      </w:pPr>
      <w:r>
        <w:rPr>
          <w:rFonts w:eastAsia="Liberation Sans" w:cs="Liberation Sans" w:ascii="Liberation Sans" w:hAnsi="Liberation Sans"/>
          <w:b/>
          <w:bCs/>
          <w:color w:val="2E75B6"/>
          <w:sz w:val="30"/>
          <w:szCs w:val="30"/>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hyperlink w:anchor="__RefHeading___Toc200_3956176995">
            <w:r>
              <w:rPr>
                <w:rStyle w:val="IndexLink"/>
              </w:rPr>
              <w:t>Change Log</w:t>
              <w:tab/>
              <w:t>3</w:t>
            </w:r>
          </w:hyperlink>
        </w:p>
        <w:p>
          <w:pPr>
            <w:pStyle w:val="TOC1"/>
            <w:tabs>
              <w:tab w:val="clear" w:pos="9360"/>
              <w:tab w:val="right" w:pos="9359" w:leader="dot"/>
            </w:tabs>
            <w:rPr/>
          </w:pPr>
          <w:hyperlink w:anchor="__RefHeading___Toc202_3956176995">
            <w:r>
              <w:rPr>
                <w:rStyle w:val="IndexLink"/>
              </w:rPr>
              <w:t>Purpose</w:t>
              <w:tab/>
              <w:t>4</w:t>
            </w:r>
          </w:hyperlink>
        </w:p>
        <w:p>
          <w:pPr>
            <w:pStyle w:val="TOC1"/>
            <w:tabs>
              <w:tab w:val="clear" w:pos="9360"/>
              <w:tab w:val="right" w:pos="9359" w:leader="dot"/>
            </w:tabs>
            <w:rPr/>
          </w:pPr>
          <w:hyperlink w:anchor="__RefHeading___Toc204_3956176995">
            <w:r>
              <w:rPr>
                <w:rStyle w:val="IndexLink"/>
              </w:rPr>
              <w:t>Scope</w:t>
              <w:tab/>
              <w:t>4</w:t>
            </w:r>
          </w:hyperlink>
        </w:p>
        <w:p>
          <w:pPr>
            <w:pStyle w:val="TOC1"/>
            <w:tabs>
              <w:tab w:val="clear" w:pos="9360"/>
              <w:tab w:val="right" w:pos="9359" w:leader="dot"/>
            </w:tabs>
            <w:rPr/>
          </w:pPr>
          <w:hyperlink w:anchor="__RefHeading___Toc206_3956176995">
            <w:r>
              <w:rPr>
                <w:rStyle w:val="IndexLink"/>
              </w:rPr>
              <w:t>Objectives</w:t>
              <w:tab/>
              <w:t>4</w:t>
            </w:r>
          </w:hyperlink>
        </w:p>
        <w:p>
          <w:pPr>
            <w:pStyle w:val="TOC1"/>
            <w:tabs>
              <w:tab w:val="clear" w:pos="9360"/>
              <w:tab w:val="right" w:pos="9359" w:leader="dot"/>
            </w:tabs>
            <w:rPr/>
          </w:pPr>
          <w:hyperlink w:anchor="__RefHeading___Toc208_3956176995">
            <w:r>
              <w:rPr>
                <w:rStyle w:val="IndexLink"/>
              </w:rPr>
              <w:t>Induction Training (A.6.3)</w:t>
              <w:tab/>
              <w:t>4</w:t>
            </w:r>
          </w:hyperlink>
        </w:p>
        <w:p>
          <w:pPr>
            <w:pStyle w:val="TOC1"/>
            <w:tabs>
              <w:tab w:val="clear" w:pos="9360"/>
              <w:tab w:val="right" w:pos="9359" w:leader="dot"/>
            </w:tabs>
            <w:rPr/>
          </w:pPr>
          <w:hyperlink w:anchor="__RefHeading___Toc210_3956176995">
            <w:r>
              <w:rPr>
                <w:rStyle w:val="IndexLink"/>
              </w:rPr>
              <w:t>Ongoing Awareness (A.6.4)</w:t>
              <w:tab/>
              <w:t>4</w:t>
            </w:r>
          </w:hyperlink>
        </w:p>
        <w:p>
          <w:pPr>
            <w:pStyle w:val="TOC1"/>
            <w:tabs>
              <w:tab w:val="clear" w:pos="9360"/>
              <w:tab w:val="right" w:pos="9359" w:leader="dot"/>
            </w:tabs>
            <w:rPr/>
          </w:pPr>
          <w:hyperlink w:anchor="__RefHeading___Toc212_3956176995">
            <w:r>
              <w:rPr>
                <w:rStyle w:val="IndexLink"/>
              </w:rPr>
              <w:t>Role-Based Training (A.6.5)</w:t>
              <w:tab/>
              <w:t>4</w:t>
            </w:r>
          </w:hyperlink>
        </w:p>
        <w:p>
          <w:pPr>
            <w:pStyle w:val="TOC1"/>
            <w:tabs>
              <w:tab w:val="clear" w:pos="9360"/>
              <w:tab w:val="right" w:pos="9359" w:leader="dot"/>
            </w:tabs>
            <w:rPr/>
          </w:pPr>
          <w:hyperlink w:anchor="__RefHeading___Toc214_3956176995">
            <w:r>
              <w:rPr>
                <w:rStyle w:val="IndexLink"/>
              </w:rPr>
              <w:t>Training Records and Metrics</w:t>
              <w:tab/>
              <w:t>5</w:t>
            </w:r>
          </w:hyperlink>
        </w:p>
        <w:p>
          <w:pPr>
            <w:pStyle w:val="TOC1"/>
            <w:tabs>
              <w:tab w:val="clear" w:pos="9360"/>
              <w:tab w:val="right" w:pos="9359" w:leader="dot"/>
            </w:tabs>
            <w:rPr/>
          </w:pPr>
          <w:hyperlink w:anchor="__RefHeading___Toc216_3956176995">
            <w:r>
              <w:rPr>
                <w:rStyle w:val="IndexLink"/>
              </w:rPr>
              <w:t>Accountability</w:t>
              <w:tab/>
              <w:t>5</w:t>
            </w:r>
          </w:hyperlink>
        </w:p>
        <w:p>
          <w:pPr>
            <w:pStyle w:val="TOC1"/>
            <w:tabs>
              <w:tab w:val="clear" w:pos="9360"/>
              <w:tab w:val="right" w:pos="9359" w:leader="dot"/>
            </w:tabs>
            <w:rPr/>
          </w:pPr>
          <w:hyperlink w:anchor="__RefHeading___Toc218_3956176995">
            <w:r>
              <w:rPr>
                <w:rStyle w:val="IndexLink"/>
              </w:rPr>
              <w:t>Roles and Responsibilities</w:t>
              <w:tab/>
              <w:t>5</w:t>
            </w:r>
          </w:hyperlink>
        </w:p>
        <w:p>
          <w:pPr>
            <w:pStyle w:val="TOC1"/>
            <w:tabs>
              <w:tab w:val="clear" w:pos="9360"/>
              <w:tab w:val="right" w:pos="9359" w:leader="dot"/>
            </w:tabs>
            <w:rPr/>
          </w:pPr>
          <w:hyperlink w:anchor="__RefHeading___Toc220_3956176995">
            <w:r>
              <w:rPr>
                <w:rStyle w:val="IndexLink"/>
              </w:rPr>
              <w:t>Compliance and Auditing</w:t>
              <w:tab/>
              <w:t>5</w:t>
            </w:r>
          </w:hyperlink>
        </w:p>
        <w:p>
          <w:pPr>
            <w:pStyle w:val="TOC1"/>
            <w:tabs>
              <w:tab w:val="clear" w:pos="9360"/>
              <w:tab w:val="right" w:pos="9359" w:leader="dot"/>
            </w:tabs>
            <w:rPr/>
          </w:pPr>
          <w:hyperlink w:anchor="__RefHeading___Toc222_3956176995">
            <w:r>
              <w:rPr>
                <w:rStyle w:val="IndexLink"/>
              </w:rPr>
              <w:t>Exceptions</w:t>
              <w:tab/>
              <w:t>5</w:t>
            </w:r>
          </w:hyperlink>
        </w:p>
        <w:p>
          <w:pPr>
            <w:pStyle w:val="TOC1"/>
            <w:tabs>
              <w:tab w:val="clear" w:pos="9360"/>
              <w:tab w:val="right" w:pos="9359" w:leader="dot"/>
            </w:tabs>
            <w:rPr/>
          </w:pPr>
          <w:hyperlink w:anchor="__RefHeading___Toc224_3956176995">
            <w:r>
              <w:rPr>
                <w:rStyle w:val="IndexLink"/>
              </w:rPr>
              <w:t>Policy Review</w:t>
              <w:tab/>
              <w:t>6</w:t>
            </w:r>
          </w:hyperlink>
          <w:r>
            <w:rPr>
              <w:rStyle w:val="IndexLink"/>
            </w:rPr>
            <w:fldChar w:fldCharType="end"/>
          </w:r>
        </w:p>
      </w:sdtContent>
    </w:sdt>
    <w:p>
      <w:pPr>
        <w:pStyle w:val="Normal"/>
        <w:rPr/>
      </w:pPr>
      <w:r>
        <w:rPr/>
      </w:r>
    </w:p>
    <w:p>
      <w:pPr>
        <w:pStyle w:val="Normal"/>
        <w:rPr/>
      </w:pPr>
      <w:r>
        <w:rPr/>
      </w:r>
      <w:r>
        <w:br w:type="page"/>
      </w:r>
    </w:p>
    <w:p>
      <w:pPr>
        <w:pStyle w:val="Heading1"/>
        <w:spacing w:before="0" w:after="160"/>
        <w:rPr/>
      </w:pPr>
      <w:bookmarkStart w:id="0" w:name="__RefHeading___Toc200_3956176995"/>
      <w:bookmarkEnd w:id="0"/>
      <w:r>
        <w:rPr>
          <w:rFonts w:eastAsia="Liberation Sans" w:cs="Liberation Sans" w:ascii="Liberation Sans" w:hAnsi="Liberation Sans"/>
          <w:b/>
          <w:bCs/>
          <w:color w:val="2E75B6"/>
          <w:sz w:val="30"/>
          <w:szCs w:val="30"/>
        </w:rPr>
        <w:t>Change Log</w:t>
      </w:r>
    </w:p>
    <w:tbl>
      <w:tblPr>
        <w:tblW w:w="9440" w:type="dxa"/>
        <w:jc w:val="left"/>
        <w:tblInd w:w="0" w:type="dxa"/>
        <w:tblLayout w:type="fixed"/>
        <w:tblCellMar>
          <w:top w:w="80" w:type="dxa"/>
          <w:left w:w="100" w:type="dxa"/>
          <w:bottom w:w="80" w:type="dxa"/>
          <w:right w:w="100" w:type="dxa"/>
        </w:tblCellMar>
      </w:tblPr>
      <w:tblGrid>
        <w:gridCol w:w="1180"/>
        <w:gridCol w:w="1180"/>
        <w:gridCol w:w="1180"/>
        <w:gridCol w:w="1180"/>
        <w:gridCol w:w="1180"/>
        <w:gridCol w:w="1180"/>
        <w:gridCol w:w="1180"/>
        <w:gridCol w:w="1178"/>
      </w:tblGrid>
      <w:tr>
        <w:trPr>
          <w:tblHeader w:val="true"/>
        </w:trPr>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Date</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Version</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Author</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Description</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Approved By</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Last Updated</w:t>
            </w:r>
          </w:p>
        </w:tc>
        <w:tc>
          <w:tcPr>
            <w:tcW w:w="118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Review Frequency</w:t>
            </w:r>
          </w:p>
        </w:tc>
        <w:tc>
          <w:tcPr>
            <w:tcW w:w="1178"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Next Review</w:t>
            </w:r>
          </w:p>
        </w:tc>
      </w:tr>
      <w:tr>
        <w:trPr/>
        <w:tc>
          <w:tcPr>
            <w:tcW w:w="1180" w:type="dxa"/>
            <w:tcBorders>
              <w:top w:val="single" w:sz="4" w:space="0" w:color="BFBFBF"/>
              <w:left w:val="single" w:sz="4" w:space="0" w:color="BFBFBF"/>
              <w:bottom w:val="single" w:sz="4" w:space="0" w:color="BFBFBF"/>
              <w:right w:val="single" w:sz="4" w:space="0" w:color="BFBFBF"/>
            </w:tcBorders>
          </w:tcPr>
          <w:p>
            <w:r>
              <w:t>August 23, 2026</w:t>
            </w:r>
          </w:p>
        </w:tc>
        <w:tc>
          <w:tcPr>
            <w:tcW w:w="1180" w:type="dxa"/>
            <w:tcBorders>
              <w:top w:val="single" w:sz="4" w:space="0" w:color="BFBFBF"/>
              <w:left w:val="single" w:sz="4" w:space="0" w:color="BFBFBF"/>
              <w:bottom w:val="single" w:sz="4" w:space="0" w:color="BFBFBF"/>
              <w:right w:val="single" w:sz="4" w:space="0" w:color="BFBFBF"/>
            </w:tcBorders>
          </w:tcPr>
          <w:p>
            <w:r>
              <w:t>1.0</w:t>
            </w:r>
          </w:p>
        </w:tc>
        <w:tc>
          <w:tcPr>
            <w:tcW w:w="1180" w:type="dxa"/>
            <w:tcBorders>
              <w:top w:val="single" w:sz="4" w:space="0" w:color="BFBFBF"/>
              <w:left w:val="single" w:sz="4" w:space="0" w:color="BFBFBF"/>
              <w:bottom w:val="single" w:sz="4" w:space="0" w:color="BFBFBF"/>
              <w:right w:val="single" w:sz="4" w:space="0" w:color="BFBFBF"/>
            </w:tcBorders>
          </w:tcPr>
          <w:p>
            <w:r>
              <w:t>GRC Analyst</w:t>
            </w:r>
          </w:p>
        </w:tc>
        <w:tc>
          <w:tcPr>
            <w:tcW w:w="1180" w:type="dxa"/>
            <w:tcBorders>
              <w:top w:val="single" w:sz="4" w:space="0" w:color="BFBFBF"/>
              <w:left w:val="single" w:sz="4" w:space="0" w:color="BFBFBF"/>
              <w:bottom w:val="single" w:sz="4" w:space="0" w:color="BFBFBF"/>
              <w:right w:val="single" w:sz="4" w:space="0" w:color="BFBFBF"/>
            </w:tcBorders>
          </w:tcPr>
          <w:p>
            <w:r>
              <w:t>Initial version</w:t>
            </w:r>
          </w:p>
        </w:tc>
        <w:tc>
          <w:tcPr>
            <w:tcW w:w="1180" w:type="dxa"/>
            <w:tcBorders>
              <w:top w:val="single" w:sz="4" w:space="0" w:color="BFBFBF"/>
              <w:left w:val="single" w:sz="4" w:space="0" w:color="BFBFBF"/>
              <w:bottom w:val="single" w:sz="4" w:space="0" w:color="BFBFBF"/>
              <w:right w:val="single" w:sz="4" w:space="0" w:color="BFBFBF"/>
            </w:tcBorders>
          </w:tcPr>
          <w:p>
            <w:r>
              <w:t>Information Security Manager</w:t>
            </w:r>
          </w:p>
        </w:tc>
        <w:tc>
          <w:tcPr>
            <w:tcW w:w="1180" w:type="dxa"/>
            <w:tcBorders>
              <w:top w:val="single" w:sz="4" w:space="0" w:color="BFBFBF"/>
              <w:left w:val="single" w:sz="4" w:space="0" w:color="BFBFBF"/>
              <w:bottom w:val="single" w:sz="4" w:space="0" w:color="BFBFBF"/>
              <w:right w:val="single" w:sz="4" w:space="0" w:color="BFBFBF"/>
            </w:tcBorders>
          </w:tcPr>
          <w:p>
            <w:r>
              <w:t>August 23, 2026</w:t>
            </w:r>
          </w:p>
        </w:tc>
        <w:tc>
          <w:tcPr>
            <w:tcW w:w="1180" w:type="dxa"/>
            <w:tcBorders>
              <w:top w:val="single" w:sz="4" w:space="0" w:color="BFBFBF"/>
              <w:left w:val="single" w:sz="4" w:space="0" w:color="BFBFBF"/>
              <w:bottom w:val="single" w:sz="4" w:space="0" w:color="BFBFBF"/>
              <w:right w:val="single" w:sz="4" w:space="0" w:color="BFBFBF"/>
            </w:tcBorders>
          </w:tcPr>
          <w:p>
            <w:r>
              <w:t>Annually</w:t>
            </w:r>
          </w:p>
        </w:tc>
        <w:tc>
          <w:tcPr>
            <w:tcW w:w="1178" w:type="dxa"/>
            <w:tcBorders>
              <w:top w:val="single" w:sz="4" w:space="0" w:color="BFBFBF"/>
              <w:left w:val="single" w:sz="4" w:space="0" w:color="BFBFBF"/>
              <w:bottom w:val="single" w:sz="4" w:space="0" w:color="BFBFBF"/>
              <w:right w:val="single" w:sz="4" w:space="0" w:color="BFBFBF"/>
            </w:tcBorders>
          </w:tcPr>
          <w:p>
            <w:r>
              <w:t>August 23, 2027</w:t>
            </w:r>
          </w:p>
        </w:tc>
      </w:tr>
      <w:tr>
        <w:trPr/>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78"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r>
      <w:tr>
        <w:trPr/>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8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c>
          <w:tcPr>
            <w:tcW w:w="1178"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 xml:space="preserve"> </w:t>
            </w:r>
          </w:p>
        </w:tc>
      </w:tr>
    </w:tbl>
    <w:p>
      <w:pPr>
        <w:pStyle w:val="Normal"/>
        <w:rPr/>
      </w:pPr>
      <w:r>
        <w:rPr/>
      </w:r>
      <w:r>
        <w:br w:type="page"/>
      </w:r>
    </w:p>
    <w:p>
      <w:pPr>
        <w:pStyle w:val="Heading1"/>
        <w:spacing w:before="0" w:after="160"/>
        <w:rPr/>
      </w:pPr>
      <w:bookmarkStart w:id="1" w:name="__RefHeading___Toc202_3956176995"/>
      <w:bookmarkEnd w:id="1"/>
      <w:r>
        <w:rPr>
          <w:rFonts w:eastAsia="Liberation Sans" w:cs="Liberation Sans" w:ascii="Liberation Sans" w:hAnsi="Liberation Sans"/>
          <w:b/>
          <w:bCs/>
          <w:color w:val="2E75B6"/>
          <w:sz w:val="30"/>
          <w:szCs w:val="30"/>
        </w:rPr>
        <w:t>Purpose</w:t>
      </w:r>
    </w:p>
    <w:p>
      <w:pPr>
        <w:pStyle w:val="Normal"/>
        <w:spacing w:lineRule="exact" w:line="300" w:before="0" w:after="200"/>
        <w:rPr/>
      </w:pPr>
      <w:r>
        <w:rPr>
          <w:rFonts w:eastAsia="Times New Roman" w:cs="Times New Roman"/>
          <w:b w:val="false"/>
          <w:bCs w:val="false"/>
          <w:color w:val="1F1F1F"/>
          <w:sz w:val="22"/>
          <w:szCs w:val="22"/>
        </w:rPr>
        <w:t>This policy establishes the requirements for security awareness, education, and training to ensure that all Abionic Inc. personnel understand their responsibilities in maintaining the confidentiality, integrity, and availability of information assets. This policy is aligned with ISO/IEC 27001:2022 (A.6.3 – A.6.5).</w:t>
      </w:r>
    </w:p>
    <w:p>
      <w:pPr>
        <w:pStyle w:val="Heading1"/>
        <w:spacing w:before="200" w:after="160"/>
        <w:rPr/>
      </w:pPr>
      <w:bookmarkStart w:id="2" w:name="__RefHeading___Toc204_3956176995"/>
      <w:bookmarkEnd w:id="2"/>
      <w:r>
        <w:rPr>
          <w:rFonts w:eastAsia="Liberation Sans" w:cs="Liberation Sans" w:ascii="Liberation Sans" w:hAnsi="Liberation Sans"/>
          <w:b/>
          <w:bCs/>
          <w:color w:val="2E75B6"/>
          <w:sz w:val="30"/>
          <w:szCs w:val="30"/>
        </w:rPr>
        <w:t>Scope</w:t>
      </w:r>
    </w:p>
    <w:p>
      <w:pPr>
        <w:pStyle w:val="Normal"/>
        <w:spacing w:lineRule="exact" w:line="300" w:before="0" w:after="200"/>
        <w:rPr/>
      </w:pPr>
      <w:r>
        <w:rPr>
          <w:rFonts w:eastAsia="Times New Roman" w:cs="Times New Roman"/>
          <w:b w:val="false"/>
          <w:bCs w:val="false"/>
          <w:color w:val="1F1F1F"/>
          <w:sz w:val="22"/>
          <w:szCs w:val="22"/>
        </w:rPr>
        <w:t>Applies to all Abionic Inc. employees, contractors, interns, and third-party users who have access to the organisation's systems, applications, or data.</w:t>
      </w:r>
    </w:p>
    <w:p>
      <w:pPr>
        <w:pStyle w:val="Heading1"/>
        <w:spacing w:before="200" w:after="160"/>
        <w:rPr/>
      </w:pPr>
      <w:bookmarkStart w:id="3" w:name="__RefHeading___Toc206_3956176995"/>
      <w:bookmarkEnd w:id="3"/>
      <w:r>
        <w:rPr>
          <w:rFonts w:eastAsia="Liberation Sans" w:cs="Liberation Sans" w:ascii="Liberation Sans" w:hAnsi="Liberation Sans"/>
          <w:b/>
          <w:bCs/>
          <w:color w:val="2E75B6"/>
          <w:sz w:val="30"/>
          <w:szCs w:val="30"/>
        </w:rPr>
        <w:t>Objectives</w:t>
      </w:r>
    </w:p>
    <w:p>
      <w:pPr>
        <w:pStyle w:val="ListParagraph"/>
        <w:numPr>
          <w:ilvl w:val="0"/>
          <w:numId w:val="3"/>
        </w:numPr>
        <w:spacing w:lineRule="exact" w:line="300" w:before="0" w:after="120"/>
        <w:ind w:hanging="360" w:left="720"/>
        <w:rPr/>
      </w:pPr>
      <w:r>
        <w:rPr>
          <w:rFonts w:eastAsia="Times New Roman" w:cs="Times New Roman"/>
          <w:b w:val="false"/>
          <w:bCs w:val="false"/>
          <w:color w:val="1F1F1F"/>
          <w:sz w:val="22"/>
          <w:szCs w:val="22"/>
        </w:rPr>
        <w:t>Ensure that employees are aware of their information security responsibilities</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Provide training appropriate to roles and access levels</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Foster a security-aware culture across the organisation</w:t>
      </w:r>
    </w:p>
    <w:p>
      <w:pPr>
        <w:pStyle w:val="Heading1"/>
        <w:spacing w:before="200" w:after="160"/>
        <w:rPr/>
      </w:pPr>
      <w:bookmarkStart w:id="4" w:name="__RefHeading___Toc208_3956176995"/>
      <w:bookmarkEnd w:id="4"/>
      <w:r>
        <w:rPr>
          <w:rFonts w:eastAsia="Liberation Sans" w:cs="Liberation Sans" w:ascii="Liberation Sans" w:hAnsi="Liberation Sans"/>
          <w:b/>
          <w:bCs/>
          <w:color w:val="2E75B6"/>
          <w:sz w:val="30"/>
          <w:szCs w:val="30"/>
        </w:rPr>
        <w:t>Induction Training (A.6.3)</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All new hires must complete mandatory information security awareness training within </w:t>
      </w:r>
      <w:r>
        <w:rPr>
          <w:rFonts w:eastAsia="Times New Roman" w:cs="Times New Roman"/>
          <w:b/>
          <w:bCs/>
          <w:color w:val="1F1F1F"/>
          <w:sz w:val="22"/>
          <w:szCs w:val="22"/>
        </w:rPr>
        <w:t>30 days</w:t>
      </w:r>
      <w:r>
        <w:rPr>
          <w:rFonts w:eastAsia="Times New Roman" w:cs="Times New Roman"/>
          <w:b w:val="false"/>
          <w:bCs w:val="false"/>
          <w:color w:val="1F1F1F"/>
          <w:sz w:val="22"/>
          <w:szCs w:val="22"/>
        </w:rPr>
        <w:t xml:space="preserve"> of joining.</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Induction training includes:</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Overview of the ISMS</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Secure use of systems and assets</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Data protection basics</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How to report a security incident</w:t>
      </w:r>
    </w:p>
    <w:p>
      <w:pPr>
        <w:pStyle w:val="Heading1"/>
        <w:spacing w:before="200" w:after="160"/>
        <w:rPr/>
      </w:pPr>
      <w:bookmarkStart w:id="5" w:name="__RefHeading___Toc210_3956176995"/>
      <w:bookmarkEnd w:id="5"/>
      <w:r>
        <w:rPr>
          <w:rFonts w:eastAsia="Liberation Sans" w:cs="Liberation Sans" w:ascii="Liberation Sans" w:hAnsi="Liberation Sans"/>
          <w:b/>
          <w:bCs/>
          <w:color w:val="2E75B6"/>
          <w:sz w:val="30"/>
          <w:szCs w:val="30"/>
        </w:rPr>
        <w:t>Ongoing Awareness (A.6.4)</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Security awareness refresher training is required </w:t>
      </w:r>
      <w:r>
        <w:rPr>
          <w:rFonts w:eastAsia="Times New Roman" w:cs="Times New Roman"/>
          <w:b/>
          <w:bCs/>
          <w:color w:val="1F1F1F"/>
          <w:sz w:val="22"/>
          <w:szCs w:val="22"/>
        </w:rPr>
        <w:t>annually</w:t>
      </w:r>
      <w:r>
        <w:rPr>
          <w:rFonts w:eastAsia="Times New Roman" w:cs="Times New Roman"/>
          <w:b w:val="false"/>
          <w:bCs w:val="false"/>
          <w:color w:val="1F1F1F"/>
          <w:sz w:val="22"/>
          <w:szCs w:val="22"/>
        </w:rPr>
        <w:t xml:space="preserve"> for all staff.</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Quarterly awareness campaigns (email, posters, Slack messages) will reinforce best practices.</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Employees must acknowledge major policy updates electronically.</w:t>
      </w:r>
    </w:p>
    <w:p>
      <w:pPr>
        <w:pStyle w:val="Heading1"/>
        <w:spacing w:before="200" w:after="160"/>
        <w:rPr/>
      </w:pPr>
      <w:bookmarkStart w:id="6" w:name="__RefHeading___Toc212_3956176995"/>
      <w:bookmarkEnd w:id="6"/>
      <w:r>
        <w:rPr>
          <w:rFonts w:eastAsia="Liberation Sans" w:cs="Liberation Sans" w:ascii="Liberation Sans" w:hAnsi="Liberation Sans"/>
          <w:b/>
          <w:bCs/>
          <w:color w:val="2E75B6"/>
          <w:sz w:val="30"/>
          <w:szCs w:val="30"/>
        </w:rPr>
        <w:t>Role-Based Training (A.6.5)</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Additional, targeted training must be delivered to:</w:t>
      </w:r>
    </w:p>
    <w:p>
      <w:pPr>
        <w:pStyle w:val="ListParagraph"/>
        <w:numPr>
          <w:ilvl w:val="1"/>
          <w:numId w:val="1"/>
        </w:numPr>
        <w:spacing w:lineRule="exact" w:line="300" w:before="0" w:after="120"/>
        <w:ind w:hanging="360" w:left="1080"/>
        <w:rPr/>
      </w:pPr>
      <w:r>
        <w:rPr>
          <w:rFonts w:eastAsia="Times New Roman" w:cs="Times New Roman"/>
          <w:b/>
          <w:bCs/>
          <w:color w:val="1F1F1F"/>
          <w:sz w:val="22"/>
          <w:szCs w:val="22"/>
        </w:rPr>
        <w:t>Developers</w:t>
      </w:r>
      <w:r>
        <w:rPr>
          <w:rFonts w:eastAsia="Times New Roman" w:cs="Times New Roman"/>
          <w:b w:val="false"/>
          <w:bCs w:val="false"/>
          <w:color w:val="1F1F1F"/>
          <w:sz w:val="22"/>
          <w:szCs w:val="22"/>
        </w:rPr>
        <w:t xml:space="preserve"> – Secure coding practices, OWASP Top 10</w:t>
      </w:r>
    </w:p>
    <w:p>
      <w:pPr>
        <w:pStyle w:val="ListParagraph"/>
        <w:numPr>
          <w:ilvl w:val="1"/>
          <w:numId w:val="1"/>
        </w:numPr>
        <w:spacing w:lineRule="exact" w:line="300" w:before="0" w:after="120"/>
        <w:ind w:hanging="360" w:left="1080"/>
        <w:rPr/>
      </w:pPr>
      <w:r>
        <w:rPr>
          <w:rFonts w:eastAsia="Times New Roman" w:cs="Times New Roman"/>
          <w:b/>
          <w:bCs/>
          <w:color w:val="1F1F1F"/>
          <w:sz w:val="22"/>
          <w:szCs w:val="22"/>
        </w:rPr>
        <w:t>GRC/InfoSec staff</w:t>
      </w:r>
      <w:r>
        <w:rPr>
          <w:rFonts w:eastAsia="Times New Roman" w:cs="Times New Roman"/>
          <w:b w:val="false"/>
          <w:bCs w:val="false"/>
          <w:color w:val="1F1F1F"/>
          <w:sz w:val="22"/>
          <w:szCs w:val="22"/>
        </w:rPr>
        <w:t xml:space="preserve"> – ISO 27001, risk treatment, audit prep</w:t>
      </w:r>
    </w:p>
    <w:p>
      <w:pPr>
        <w:pStyle w:val="ListParagraph"/>
        <w:numPr>
          <w:ilvl w:val="1"/>
          <w:numId w:val="1"/>
        </w:numPr>
        <w:spacing w:lineRule="exact" w:line="300" w:before="0" w:after="120"/>
        <w:ind w:hanging="360" w:left="1080"/>
        <w:rPr/>
      </w:pPr>
      <w:r>
        <w:rPr>
          <w:rFonts w:eastAsia="Times New Roman" w:cs="Times New Roman"/>
          <w:b/>
          <w:bCs/>
          <w:color w:val="1F1F1F"/>
          <w:sz w:val="22"/>
          <w:szCs w:val="22"/>
        </w:rPr>
        <w:t>Privileged users</w:t>
      </w:r>
      <w:r>
        <w:rPr>
          <w:rFonts w:eastAsia="Times New Roman" w:cs="Times New Roman"/>
          <w:b w:val="false"/>
          <w:bCs w:val="false"/>
          <w:color w:val="1F1F1F"/>
          <w:sz w:val="22"/>
          <w:szCs w:val="22"/>
        </w:rPr>
        <w:t xml:space="preserve"> – Least privilege, system hardening, MFA</w:t>
      </w:r>
    </w:p>
    <w:p>
      <w:pPr>
        <w:pStyle w:val="ListParagraph"/>
        <w:numPr>
          <w:ilvl w:val="1"/>
          <w:numId w:val="1"/>
        </w:numPr>
        <w:spacing w:lineRule="exact" w:line="300" w:before="0" w:after="120"/>
        <w:ind w:hanging="360" w:left="1080"/>
        <w:rPr/>
      </w:pPr>
      <w:r>
        <w:rPr>
          <w:rFonts w:eastAsia="Times New Roman" w:cs="Times New Roman"/>
          <w:b/>
          <w:bCs/>
          <w:color w:val="1F1F1F"/>
          <w:sz w:val="22"/>
          <w:szCs w:val="22"/>
        </w:rPr>
        <w:t>Incident Responders</w:t>
      </w:r>
      <w:r>
        <w:rPr>
          <w:rFonts w:eastAsia="Times New Roman" w:cs="Times New Roman"/>
          <w:b w:val="false"/>
          <w:bCs w:val="false"/>
          <w:color w:val="1F1F1F"/>
          <w:sz w:val="22"/>
          <w:szCs w:val="22"/>
        </w:rPr>
        <w:t xml:space="preserve"> – IR procedures, evidence handling</w:t>
      </w:r>
    </w:p>
    <w:p>
      <w:pPr>
        <w:pStyle w:val="Heading1"/>
        <w:spacing w:before="200" w:after="160"/>
        <w:rPr/>
      </w:pPr>
      <w:bookmarkStart w:id="7" w:name="__RefHeading___Toc214_3956176995"/>
      <w:bookmarkEnd w:id="7"/>
      <w:r>
        <w:rPr>
          <w:rFonts w:eastAsia="Liberation Sans" w:cs="Liberation Sans" w:ascii="Liberation Sans" w:hAnsi="Liberation Sans"/>
          <w:b/>
          <w:bCs/>
          <w:color w:val="2E75B6"/>
          <w:sz w:val="30"/>
          <w:szCs w:val="30"/>
        </w:rPr>
        <w:t>Training Records and Metrics</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Completion of all mandatory training is tracked by the GRC Analyst</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Monthly reports are submitted to the Information Security Manager</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Audit logs of participation are retained for at least </w:t>
      </w:r>
      <w:r>
        <w:rPr>
          <w:rFonts w:eastAsia="Times New Roman" w:cs="Times New Roman"/>
          <w:b/>
          <w:bCs/>
          <w:color w:val="1F1F1F"/>
          <w:sz w:val="22"/>
          <w:szCs w:val="22"/>
        </w:rPr>
        <w:t>3 years</w:t>
      </w:r>
    </w:p>
    <w:p>
      <w:pPr>
        <w:pStyle w:val="Heading1"/>
        <w:spacing w:before="200" w:after="160"/>
        <w:rPr/>
      </w:pPr>
      <w:bookmarkStart w:id="8" w:name="__RefHeading___Toc216_3956176995"/>
      <w:bookmarkEnd w:id="8"/>
      <w:r>
        <w:rPr>
          <w:rFonts w:eastAsia="Liberation Sans" w:cs="Liberation Sans" w:ascii="Liberation Sans" w:hAnsi="Liberation Sans"/>
          <w:b/>
          <w:bCs/>
          <w:color w:val="2E75B6"/>
          <w:sz w:val="30"/>
          <w:szCs w:val="30"/>
        </w:rPr>
        <w:t>Accountability</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Failure to complete required training may result in:</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Temporary restriction of access</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Disciplinary action</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Managers are responsible for ensuring their team's participation</w:t>
      </w:r>
    </w:p>
    <w:p>
      <w:pPr>
        <w:pStyle w:val="Heading1"/>
        <w:spacing w:before="200" w:after="160"/>
        <w:rPr/>
      </w:pPr>
      <w:bookmarkStart w:id="9" w:name="__RefHeading___Toc218_3956176995"/>
      <w:bookmarkEnd w:id="9"/>
      <w:r>
        <w:rPr>
          <w:rFonts w:eastAsia="Liberation Sans" w:cs="Liberation Sans" w:ascii="Liberation Sans" w:hAnsi="Liberation Sans"/>
          <w:b/>
          <w:bCs/>
          <w:color w:val="2E75B6"/>
          <w:sz w:val="30"/>
          <w:szCs w:val="30"/>
        </w:rPr>
        <w:t>Roles and Responsibilities</w:t>
      </w:r>
    </w:p>
    <w:tbl>
      <w:tblPr>
        <w:tblW w:w="9360" w:type="dxa"/>
        <w:jc w:val="left"/>
        <w:tblInd w:w="0" w:type="dxa"/>
        <w:tblLayout w:type="fixed"/>
        <w:tblCellMar>
          <w:top w:w="80" w:type="dxa"/>
          <w:left w:w="100" w:type="dxa"/>
          <w:bottom w:w="80" w:type="dxa"/>
          <w:right w:w="100" w:type="dxa"/>
        </w:tblCellMar>
      </w:tblPr>
      <w:tblGrid>
        <w:gridCol w:w="3200"/>
        <w:gridCol w:w="6159"/>
      </w:tblGrid>
      <w:tr>
        <w:trPr>
          <w:tblHeader w:val="true"/>
        </w:trPr>
        <w:tc>
          <w:tcPr>
            <w:tcW w:w="3200"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Role</w:t>
            </w:r>
          </w:p>
        </w:tc>
        <w:tc>
          <w:tcPr>
            <w:tcW w:w="6159" w:type="dxa"/>
            <w:tcBorders>
              <w:top w:val="single" w:sz="4" w:space="0" w:color="BFBFBF"/>
              <w:left w:val="single" w:sz="4" w:space="0" w:color="BFBFBF"/>
              <w:bottom w:val="single" w:sz="4" w:space="0" w:color="BFBFBF"/>
              <w:right w:val="single" w:sz="4" w:space="0" w:color="BFBFBF"/>
            </w:tcBorders>
            <w:shd w:color="auto" w:fill="D9E2F3" w:val="clear"/>
            <w:vAlign w:val="center"/>
          </w:tcPr>
          <w:p>
            <w:pPr>
              <w:pStyle w:val="Normal"/>
              <w:rPr/>
            </w:pPr>
            <w:r>
              <w:rPr>
                <w:rFonts w:eastAsia="Times New Roman" w:cs="Times New Roman"/>
                <w:b/>
                <w:bCs/>
                <w:color w:val="1F1F1F"/>
                <w:sz w:val="20"/>
                <w:szCs w:val="20"/>
              </w:rPr>
              <w:t>Responsibility</w:t>
            </w:r>
          </w:p>
        </w:tc>
      </w:tr>
      <w:tr>
        <w:trPr/>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Information Security Manager</w:t>
            </w:r>
          </w:p>
        </w:tc>
        <w:tc>
          <w:tcPr>
            <w:tcW w:w="615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Approves training content and ensures policy compliance</w:t>
            </w:r>
          </w:p>
        </w:tc>
      </w:tr>
      <w:tr>
        <w:trPr/>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GRC Analyst</w:t>
            </w:r>
          </w:p>
        </w:tc>
        <w:tc>
          <w:tcPr>
            <w:tcW w:w="615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Tracks completion, maintains training logs, and issues reminders</w:t>
            </w:r>
          </w:p>
        </w:tc>
      </w:tr>
      <w:tr>
        <w:trPr/>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People &amp; Culture (HR)</w:t>
            </w:r>
          </w:p>
        </w:tc>
        <w:tc>
          <w:tcPr>
            <w:tcW w:w="615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Ensures onboarding training is delivered on time</w:t>
            </w:r>
          </w:p>
        </w:tc>
      </w:tr>
      <w:tr>
        <w:trPr/>
        <w:tc>
          <w:tcPr>
            <w:tcW w:w="3200"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All Employees</w:t>
            </w:r>
          </w:p>
        </w:tc>
        <w:tc>
          <w:tcPr>
            <w:tcW w:w="6159" w:type="dxa"/>
            <w:tcBorders>
              <w:top w:val="single" w:sz="4" w:space="0" w:color="BFBFBF"/>
              <w:left w:val="single" w:sz="4" w:space="0" w:color="BFBFBF"/>
              <w:bottom w:val="single" w:sz="4" w:space="0" w:color="BFBFBF"/>
              <w:right w:val="single" w:sz="4" w:space="0" w:color="BFBFBF"/>
            </w:tcBorders>
          </w:tcPr>
          <w:p>
            <w:pPr>
              <w:pStyle w:val="Normal"/>
              <w:rPr/>
            </w:pPr>
            <w:r>
              <w:rPr>
                <w:rFonts w:eastAsia="Times New Roman" w:cs="Times New Roman"/>
                <w:b w:val="false"/>
                <w:bCs w:val="false"/>
                <w:color w:val="1F1F1F"/>
                <w:sz w:val="20"/>
                <w:szCs w:val="20"/>
              </w:rPr>
              <w:t>Complete training as required and follow guidance</w:t>
            </w:r>
          </w:p>
        </w:tc>
      </w:tr>
    </w:tbl>
    <w:p>
      <w:pPr>
        <w:pStyle w:val="Heading1"/>
        <w:spacing w:before="200" w:after="160"/>
        <w:rPr/>
      </w:pPr>
      <w:bookmarkStart w:id="10" w:name="__RefHeading___Toc220_3956176995"/>
      <w:bookmarkEnd w:id="10"/>
      <w:r>
        <w:rPr>
          <w:rFonts w:eastAsia="Liberation Sans" w:cs="Liberation Sans" w:ascii="Liberation Sans" w:hAnsi="Liberation Sans"/>
          <w:b/>
          <w:bCs/>
          <w:color w:val="2E75B6"/>
          <w:sz w:val="30"/>
          <w:szCs w:val="30"/>
        </w:rPr>
        <w:t>Compliance and Auditing</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Logging is auditable and aligned with:</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ISO 27001</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Customer SLAs and due diligence requirements</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Quarterly internal audits are conducted on:</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Log integrity</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Review completeness</w:t>
      </w:r>
    </w:p>
    <w:p>
      <w:pPr>
        <w:pStyle w:val="ListParagraph"/>
        <w:numPr>
          <w:ilvl w:val="1"/>
          <w:numId w:val="1"/>
        </w:numPr>
        <w:spacing w:lineRule="exact" w:line="300" w:before="0" w:after="120"/>
        <w:ind w:hanging="360" w:left="1080"/>
        <w:rPr/>
      </w:pPr>
      <w:r>
        <w:rPr>
          <w:rFonts w:eastAsia="Times New Roman" w:cs="Times New Roman"/>
          <w:b w:val="false"/>
          <w:bCs w:val="false"/>
          <w:color w:val="1F1F1F"/>
          <w:sz w:val="22"/>
          <w:szCs w:val="22"/>
        </w:rPr>
        <w:t>Alerting thresholds</w:t>
      </w:r>
    </w:p>
    <w:p>
      <w:pPr>
        <w:pStyle w:val="Heading1"/>
        <w:spacing w:before="200" w:after="160"/>
        <w:rPr/>
      </w:pPr>
      <w:bookmarkStart w:id="11" w:name="__RefHeading___Toc222_3956176995"/>
      <w:bookmarkEnd w:id="11"/>
      <w:r>
        <w:rPr>
          <w:rFonts w:eastAsia="Liberation Sans" w:cs="Liberation Sans" w:ascii="Liberation Sans" w:hAnsi="Liberation Sans"/>
          <w:b/>
          <w:bCs/>
          <w:color w:val="2E75B6"/>
          <w:sz w:val="30"/>
          <w:szCs w:val="30"/>
        </w:rPr>
        <w:t>Exceptions</w:t>
      </w:r>
    </w:p>
    <w:p>
      <w:pPr>
        <w:pStyle w:val="Normal"/>
        <w:spacing w:lineRule="exact" w:line="300" w:before="0" w:after="200"/>
        <w:rPr/>
      </w:pPr>
      <w:r>
        <w:rPr>
          <w:rFonts w:eastAsia="Times New Roman" w:cs="Times New Roman"/>
          <w:b w:val="false"/>
          <w:bCs w:val="false"/>
          <w:color w:val="1F1F1F"/>
          <w:sz w:val="22"/>
          <w:szCs w:val="22"/>
        </w:rPr>
        <w:t>Any exceptions to this policy must be:</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Documented with a valid justification</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Reviewed and approved by the Information Security Manager</w:t>
      </w:r>
    </w:p>
    <w:p>
      <w:pPr>
        <w:pStyle w:val="Heading1"/>
        <w:spacing w:before="200" w:after="160"/>
        <w:rPr/>
      </w:pPr>
      <w:bookmarkStart w:id="12" w:name="__RefHeading___Toc224_3956176995"/>
      <w:bookmarkEnd w:id="12"/>
      <w:r>
        <w:rPr>
          <w:rFonts w:eastAsia="Liberation Sans" w:cs="Liberation Sans" w:ascii="Liberation Sans" w:hAnsi="Liberation Sans"/>
          <w:b/>
          <w:bCs/>
          <w:color w:val="2E75B6"/>
          <w:sz w:val="30"/>
          <w:szCs w:val="30"/>
        </w:rPr>
        <w:t>Policy Review</w:t>
      </w:r>
    </w:p>
    <w:p>
      <w:pPr>
        <w:pStyle w:val="ListParagraph"/>
        <w:numPr>
          <w:ilvl w:val="0"/>
          <w:numId w:val="1"/>
        </w:numPr>
        <w:spacing w:lineRule="exact" w:line="300" w:before="0" w:after="120"/>
        <w:ind w:hanging="360" w:left="720"/>
        <w:rPr/>
      </w:pPr>
      <w:r>
        <w:rPr>
          <w:rFonts w:eastAsia="Times New Roman" w:cs="Times New Roman"/>
          <w:b w:val="false"/>
          <w:bCs w:val="false"/>
          <w:color w:val="1F1F1F"/>
          <w:sz w:val="22"/>
          <w:szCs w:val="22"/>
        </w:rPr>
        <w:t xml:space="preserve">This policy is reviewed </w:t>
      </w:r>
      <w:r>
        <w:rPr>
          <w:rFonts w:eastAsia="Times New Roman" w:cs="Times New Roman"/>
          <w:b/>
          <w:bCs/>
          <w:color w:val="1F1F1F"/>
          <w:sz w:val="22"/>
          <w:szCs w:val="22"/>
        </w:rPr>
        <w:t>annually</w:t>
      </w:r>
      <w:r>
        <w:rPr>
          <w:rFonts w:eastAsia="Times New Roman" w:cs="Times New Roman"/>
          <w:b w:val="false"/>
          <w:bCs w:val="false"/>
          <w:color w:val="1F1F1F"/>
          <w:sz w:val="22"/>
          <w:szCs w:val="22"/>
        </w:rPr>
        <w:t xml:space="preserve"> or upon significant change to the environment or regulatory requirements.</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Liberation Sans">
    <w:altName w:val="Arial"/>
    <w:charset w:val="01"/>
    <w:family w:val="roman"/>
    <w:pitch w:val="variable"/>
  </w:font>
  <w:font w:name="Georgia">
    <w:charset w:val="01"/>
    <w:family w:val="roman"/>
    <w:pitch w:val="variable"/>
  </w:font>
  <w:font w:name="Wingdings">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Abionic Inc. - Training &amp; Awareness Policy - Confidential</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Abionic Inc. - Training &amp; Awareness Policy - Confidential</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Heading1">
    <w:name w:val="Heading 1"/>
    <w:basedOn w:val="Heading"/>
    <w:qFormat/>
    <w:pPr>
      <w:outlineLvl w:val="0"/>
    </w:pPr>
    <w:rPr>
      <w:color w:val="2E74B5"/>
      <w:sz w:val="32"/>
      <w:szCs w:val="32"/>
    </w:rPr>
  </w:style>
  <w:style w:type="paragraph" w:styleId="Heading2">
    <w:name w:val="Heading 2"/>
    <w:basedOn w:val="Heading"/>
    <w:qFormat/>
    <w:pPr>
      <w:outlineLvl w:val="1"/>
    </w:pPr>
    <w:rPr>
      <w:color w:val="2E74B5"/>
      <w:sz w:val="26"/>
      <w:szCs w:val="26"/>
    </w:rPr>
  </w:style>
  <w:style w:type="paragraph" w:styleId="Heading3">
    <w:name w:val="Heading 3"/>
    <w:basedOn w:val="Heading"/>
    <w:qFormat/>
    <w:pPr>
      <w:outlineLvl w:val="2"/>
    </w:pPr>
    <w:rPr>
      <w:color w:val="1F4D78"/>
      <w:sz w:val="24"/>
      <w:szCs w:val="24"/>
    </w:rPr>
  </w:style>
  <w:style w:type="paragraph" w:styleId="Heading4">
    <w:name w:val="Heading 4"/>
    <w:basedOn w:val="Heading"/>
    <w:qFormat/>
    <w:pPr>
      <w:outlineLvl w:val="3"/>
    </w:pPr>
    <w:rPr>
      <w:i/>
      <w:iCs/>
      <w:color w:val="2E74B5"/>
    </w:rPr>
  </w:style>
  <w:style w:type="paragraph" w:styleId="Heading5">
    <w:name w:val="Heading 5"/>
    <w:basedOn w:val="Heading"/>
    <w:qFormat/>
    <w:pPr>
      <w:outlineLvl w:val="4"/>
    </w:pPr>
    <w:rPr>
      <w:color w:val="2E74B5"/>
    </w:rPr>
  </w:style>
  <w:style w:type="paragraph" w:styleId="Heading6">
    <w:name w:val="Heading 6"/>
    <w:basedOn w:val="Heading"/>
    <w:qFormat/>
    <w:pPr>
      <w:outlineLvl w:val="5"/>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FreeSans"/>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Free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2026-08-25T02:07:14Z</dcterms:created>
  <dc:creator>Abionic Inc.</dc:creator>
  <dc:description/>
  <dc:language>en-US</dc:language>
  <cp:lastModifiedBy>Abionic Inc.</cp:lastModifiedBy>
  <dcterms:modified xsi:type="dcterms:W3CDTF">2026-08-25T02:07:50Z</dcterms:modified>
  <cp:revision>2</cp:revision>
  <dc:subject/>
  <dc:title/>
</cp:coreProperties>
</file>