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40" w:after="100"/>
        <w:jc w:val="center"/>
        <w:rPr/>
      </w:pPr>
      <w:r>
        <w:rPr>
          <w:rFonts w:eastAsia="Liberation Sans" w:cs="Liberation Sans" w:ascii="Liberation Sans" w:hAnsi="Liberation Sans"/>
          <w:color w:val="000000"/>
          <w:sz w:val="56"/>
          <w:szCs w:val="56"/>
        </w:rPr>
        <w:t>Monitoring, Measurement, Analysis, and Evaluation Procedure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spacing w:before="360" w:after="80"/>
        <w:jc w:val="center"/>
        <w:rPr/>
      </w:pPr>
      <w:r>
        <w:rPr>
          <w:rFonts w:eastAsia="Georgia" w:cs="Georgia" w:ascii="Georgia" w:hAnsi="Georgia"/>
          <w:i/>
          <w:iCs/>
          <w:color w:val="666666"/>
          <w:sz w:val="48"/>
          <w:szCs w:val="48"/>
        </w:rPr>
        <w:t>Abionic Inc.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>
          <w:rFonts w:eastAsia="Times New Roman" w:cs="Times New Roman"/>
          <w:sz w:val="22"/>
          <w:szCs w:val="22"/>
        </w:rPr>
        <w:t>Version 1.0</w:t>
      </w:r>
    </w:p>
    <w:p>
      <w:pPr>
        <w:pStyle w:val="Normal"/>
        <w:jc w:val="center"/>
        <w:rPr/>
      </w:pPr>
      <w:r>
        <w:rPr>
          <w:rFonts w:eastAsia="Times New Roman" w:cs="Times New Roman"/>
          <w:sz w:val="22"/>
          <w:szCs w:val="22"/>
        </w:rPr>
        <w:t>August 23, 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rPr/>
      </w:pPr>
      <w:r>
        <w:rPr>
          <w:rFonts w:eastAsia="Liberation Sans" w:cs="Liberation Sans" w:ascii="Liberation Sans" w:hAnsi="Liberation Sans"/>
          <w:b/>
          <w:bCs/>
          <w:color w:val="2E75B6"/>
          <w:sz w:val="30"/>
          <w:szCs w:val="30"/>
        </w:rPr>
        <w:t>Table of Contents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\o "1-2" \h</w:instrText>
          </w:r>
          <w:r>
            <w:rPr>
              <w:rStyle w:val="IndexLink"/>
            </w:rPr>
            <w:fldChar w:fldCharType="separate"/>
          </w:r>
          <w:hyperlink w:anchor="__RefHeading___Toc367_605544599">
            <w:r>
              <w:rPr>
                <w:rStyle w:val="IndexLink"/>
              </w:rPr>
              <w:t>Change Log</w:t>
              <w:tab/>
              <w:t>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69_605544599">
            <w:r>
              <w:rPr>
                <w:rStyle w:val="IndexLink"/>
              </w:rPr>
              <w:t>Purpose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71_605544599">
            <w:r>
              <w:rPr>
                <w:rStyle w:val="IndexLink"/>
              </w:rPr>
              <w:t>Scope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73_605544599">
            <w:r>
              <w:rPr>
                <w:rStyle w:val="IndexLink"/>
              </w:rPr>
              <w:t>Objective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75_605544599">
            <w:r>
              <w:rPr>
                <w:rStyle w:val="IndexLink"/>
              </w:rPr>
              <w:t>Monitoring and Measurement Activities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77_605544599">
            <w:r>
              <w:rPr>
                <w:rStyle w:val="IndexLink"/>
              </w:rPr>
              <w:t>Methods of Analysis</w:t>
              <w:tab/>
              <w:t>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79_605544599">
            <w:r>
              <w:rPr>
                <w:rStyle w:val="IndexLink"/>
              </w:rPr>
              <w:t>Evaluation and Reporting</w:t>
              <w:tab/>
              <w:t>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81_605544599">
            <w:r>
              <w:rPr>
                <w:rStyle w:val="IndexLink"/>
              </w:rPr>
              <w:t>Records</w:t>
              <w:tab/>
              <w:t>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83_605544599">
            <w:r>
              <w:rPr>
                <w:rStyle w:val="IndexLink"/>
              </w:rPr>
              <w:t>Roles and Responsibilities</w:t>
              <w:tab/>
              <w:t>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85_605544599">
            <w:r>
              <w:rPr>
                <w:rStyle w:val="IndexLink"/>
              </w:rPr>
              <w:t>Review and Updates</w:t>
              <w:tab/>
              <w:t>6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bookmarkStart w:id="0" w:name="__RefHeading___Toc367_605544599"/>
      <w:bookmarkEnd w:id="0"/>
      <w:r>
        <w:rPr>
          <w:rFonts w:eastAsia="Liberation Sans" w:cs="Liberation Sans" w:ascii="Liberation Sans" w:hAnsi="Liberation Sans"/>
          <w:b/>
          <w:bCs/>
          <w:color w:val="2E75B6"/>
          <w:sz w:val="30"/>
          <w:szCs w:val="30"/>
        </w:rPr>
        <w:t>Change Log</w:t>
      </w:r>
    </w:p>
    <w:tbl>
      <w:tblPr>
        <w:tblW w:w="944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180"/>
        <w:gridCol w:w="1180"/>
        <w:gridCol w:w="1180"/>
        <w:gridCol w:w="1180"/>
        <w:gridCol w:w="1180"/>
        <w:gridCol w:w="1180"/>
        <w:gridCol w:w="1180"/>
        <w:gridCol w:w="1178"/>
      </w:tblGrid>
      <w:tr>
        <w:trPr>
          <w:tblHeader w:val="true"/>
        </w:trPr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Date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Version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Author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Description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Approved By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Last Updated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Review Frequency</w:t>
            </w:r>
          </w:p>
        </w:tc>
        <w:tc>
          <w:tcPr>
            <w:tcW w:w="11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Next Review</w:t>
            </w:r>
          </w:p>
        </w:tc>
      </w:tr>
      <w:tr>
        <w:trPr/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August 23, 2026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1.0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GRC Analyst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Initial version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Information Security Manager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August 23, 2026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Annually</w:t>
            </w:r>
          </w:p>
        </w:tc>
        <w:tc>
          <w:tcPr>
            <w:tcW w:w="11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t>August 23, 2027</w:t>
            </w:r>
          </w:p>
        </w:tc>
      </w:tr>
      <w:tr>
        <w:trPr/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rPr/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11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 xml:space="preserve"> 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bookmarkStart w:id="1" w:name="__RefHeading___Toc369_605544599"/>
      <w:bookmarkEnd w:id="1"/>
      <w:r>
        <w:rPr>
          <w:rFonts w:eastAsia="Liberation Sans" w:cs="Liberation Sans" w:ascii="Liberation Sans" w:hAnsi="Liberation Sans"/>
          <w:b/>
          <w:bCs/>
          <w:color w:val="2E75B6"/>
          <w:sz w:val="30"/>
          <w:szCs w:val="30"/>
        </w:rPr>
        <w:t>Purpose</w:t>
      </w:r>
    </w:p>
    <w:p>
      <w:pPr>
        <w:pStyle w:val="Normal"/>
        <w:spacing w:lineRule="exact" w:line="300" w:before="0" w:after="20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This procedure defines the approach for monitoring, measuring, analysing, and evaluating the effectiveness of Abionic Inc.'s Information Security Management System (ISMS), ensuring continual improvement and compliance with ISO 27001 requirements.</w:t>
      </w:r>
    </w:p>
    <w:p>
      <w:pPr>
        <w:pStyle w:val="Heading1"/>
        <w:spacing w:before="200" w:after="160"/>
        <w:rPr/>
      </w:pPr>
      <w:bookmarkStart w:id="2" w:name="__RefHeading___Toc371_605544599"/>
      <w:bookmarkEnd w:id="2"/>
      <w:r>
        <w:rPr>
          <w:rFonts w:eastAsia="Liberation Sans" w:cs="Liberation Sans" w:ascii="Liberation Sans" w:hAnsi="Liberation Sans"/>
          <w:b/>
          <w:bCs/>
          <w:color w:val="2E75B6"/>
          <w:sz w:val="30"/>
          <w:szCs w:val="30"/>
        </w:rPr>
        <w:t>Scope</w:t>
      </w:r>
    </w:p>
    <w:p>
      <w:pPr>
        <w:pStyle w:val="Normal"/>
        <w:spacing w:lineRule="exact" w:line="300" w:before="0" w:after="20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Applies to all processes, systems, and controls within the ISMS scope, including performance indicators, audit results, incident records, code reviews, vulnerability scans, and penetration testing results.</w:t>
      </w:r>
    </w:p>
    <w:p>
      <w:pPr>
        <w:pStyle w:val="Heading1"/>
        <w:spacing w:before="200" w:after="160"/>
        <w:rPr/>
      </w:pPr>
      <w:bookmarkStart w:id="3" w:name="__RefHeading___Toc373_605544599"/>
      <w:bookmarkEnd w:id="3"/>
      <w:r>
        <w:rPr>
          <w:rFonts w:eastAsia="Liberation Sans" w:cs="Liberation Sans" w:ascii="Liberation Sans" w:hAnsi="Liberation Sans"/>
          <w:b/>
          <w:bCs/>
          <w:color w:val="2E75B6"/>
          <w:sz w:val="30"/>
          <w:szCs w:val="30"/>
        </w:rPr>
        <w:t>Objective</w:t>
      </w:r>
    </w:p>
    <w:p>
      <w:pPr>
        <w:pStyle w:val="ListParagraph"/>
        <w:numPr>
          <w:ilvl w:val="0"/>
          <w:numId w:val="3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Ensure information security objectives are met (Clause 6.2)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Identify trends and risks (including technical vulnerabilities)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Provide inputs for management reviews and continual improvement</w:t>
      </w:r>
    </w:p>
    <w:p>
      <w:pPr>
        <w:pStyle w:val="Heading1"/>
        <w:spacing w:before="200" w:after="160"/>
        <w:rPr/>
      </w:pPr>
      <w:bookmarkStart w:id="4" w:name="__RefHeading___Toc375_605544599"/>
      <w:bookmarkEnd w:id="4"/>
      <w:r>
        <w:rPr>
          <w:rFonts w:eastAsia="Liberation Sans" w:cs="Liberation Sans" w:ascii="Liberation Sans" w:hAnsi="Liberation Sans"/>
          <w:b/>
          <w:bCs/>
          <w:color w:val="2E75B6"/>
          <w:sz w:val="30"/>
          <w:szCs w:val="30"/>
        </w:rPr>
        <w:t>Monitoring and Measurement Activities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799"/>
        <w:gridCol w:w="2201"/>
        <w:gridCol w:w="1399"/>
        <w:gridCol w:w="1700"/>
        <w:gridCol w:w="2261"/>
      </w:tblGrid>
      <w:tr>
        <w:trPr>
          <w:tblHeader w:val="true"/>
        </w:trPr>
        <w:tc>
          <w:tcPr>
            <w:tcW w:w="1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Metric/Area</w:t>
            </w:r>
          </w:p>
        </w:tc>
        <w:tc>
          <w:tcPr>
            <w:tcW w:w="22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Measurement</w:t>
            </w:r>
          </w:p>
        </w:tc>
        <w:tc>
          <w:tcPr>
            <w:tcW w:w="1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Frequency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Responsible</w:t>
            </w:r>
          </w:p>
        </w:tc>
        <w:tc>
          <w:tcPr>
            <w:tcW w:w="22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Evaluation Criteria</w:t>
            </w:r>
          </w:p>
        </w:tc>
      </w:tr>
      <w:tr>
        <w:trPr/>
        <w:tc>
          <w:tcPr>
            <w:tcW w:w="1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ISMS Objectives</w:t>
            </w:r>
          </w:p>
        </w:tc>
        <w:tc>
          <w:tcPr>
            <w:tcW w:w="22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Progress against objectives</w:t>
            </w:r>
          </w:p>
        </w:tc>
        <w:tc>
          <w:tcPr>
            <w:tcW w:w="1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Quarterly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IS Manager</w:t>
            </w:r>
          </w:p>
        </w:tc>
        <w:tc>
          <w:tcPr>
            <w:tcW w:w="22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At least 80% achieved</w:t>
            </w:r>
          </w:p>
        </w:tc>
      </w:tr>
      <w:tr>
        <w:trPr/>
        <w:tc>
          <w:tcPr>
            <w:tcW w:w="1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Security Incidents</w:t>
            </w:r>
          </w:p>
        </w:tc>
        <w:tc>
          <w:tcPr>
            <w:tcW w:w="22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Number, type, response time</w:t>
            </w:r>
          </w:p>
        </w:tc>
        <w:tc>
          <w:tcPr>
            <w:tcW w:w="1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Monthly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Security Analyst</w:t>
            </w:r>
          </w:p>
        </w:tc>
        <w:tc>
          <w:tcPr>
            <w:tcW w:w="22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Zero critical incidents</w:t>
            </w:r>
          </w:p>
        </w:tc>
      </w:tr>
      <w:tr>
        <w:trPr/>
        <w:tc>
          <w:tcPr>
            <w:tcW w:w="1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Access Control Reviews</w:t>
            </w:r>
          </w:p>
        </w:tc>
        <w:tc>
          <w:tcPr>
            <w:tcW w:w="22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Review of access logs and permissions</w:t>
            </w:r>
          </w:p>
        </w:tc>
        <w:tc>
          <w:tcPr>
            <w:tcW w:w="1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Quarterly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IT/Infra</w:t>
            </w:r>
          </w:p>
        </w:tc>
        <w:tc>
          <w:tcPr>
            <w:tcW w:w="22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No unauthorised access</w:t>
            </w:r>
          </w:p>
        </w:tc>
      </w:tr>
      <w:tr>
        <w:trPr/>
        <w:tc>
          <w:tcPr>
            <w:tcW w:w="1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Training Completion</w:t>
            </w:r>
          </w:p>
        </w:tc>
        <w:tc>
          <w:tcPr>
            <w:tcW w:w="22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% of staff completing training</w:t>
            </w:r>
          </w:p>
        </w:tc>
        <w:tc>
          <w:tcPr>
            <w:tcW w:w="1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Quarterly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GRC Analyst</w:t>
            </w:r>
          </w:p>
        </w:tc>
        <w:tc>
          <w:tcPr>
            <w:tcW w:w="22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100% compliance</w:t>
            </w:r>
          </w:p>
        </w:tc>
      </w:tr>
      <w:tr>
        <w:trPr/>
        <w:tc>
          <w:tcPr>
            <w:tcW w:w="1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Backup Success</w:t>
            </w:r>
          </w:p>
        </w:tc>
        <w:tc>
          <w:tcPr>
            <w:tcW w:w="22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Backup completion and restoration tests</w:t>
            </w:r>
          </w:p>
        </w:tc>
        <w:tc>
          <w:tcPr>
            <w:tcW w:w="1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Monthly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Infra Engineer</w:t>
            </w:r>
          </w:p>
        </w:tc>
        <w:tc>
          <w:tcPr>
            <w:tcW w:w="22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100% success</w:t>
            </w:r>
          </w:p>
        </w:tc>
      </w:tr>
      <w:tr>
        <w:trPr/>
        <w:tc>
          <w:tcPr>
            <w:tcW w:w="1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Patch Management</w:t>
            </w:r>
          </w:p>
        </w:tc>
        <w:tc>
          <w:tcPr>
            <w:tcW w:w="22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Timely patching of critical vulnerabilities</w:t>
            </w:r>
          </w:p>
        </w:tc>
        <w:tc>
          <w:tcPr>
            <w:tcW w:w="1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Monthly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Infra Engineer</w:t>
            </w:r>
          </w:p>
        </w:tc>
        <w:tc>
          <w:tcPr>
            <w:tcW w:w="22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Patches applied within SLA</w:t>
            </w:r>
          </w:p>
        </w:tc>
      </w:tr>
      <w:tr>
        <w:trPr/>
        <w:tc>
          <w:tcPr>
            <w:tcW w:w="1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Secure Code Reviews</w:t>
            </w:r>
          </w:p>
        </w:tc>
        <w:tc>
          <w:tcPr>
            <w:tcW w:w="22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Number of issues identified, resolved</w:t>
            </w:r>
          </w:p>
        </w:tc>
        <w:tc>
          <w:tcPr>
            <w:tcW w:w="1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For each major release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Developers, GRC Analyst</w:t>
            </w:r>
          </w:p>
        </w:tc>
        <w:tc>
          <w:tcPr>
            <w:tcW w:w="22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No critical findings remain unresolved</w:t>
            </w:r>
          </w:p>
        </w:tc>
      </w:tr>
      <w:tr>
        <w:trPr/>
        <w:tc>
          <w:tcPr>
            <w:tcW w:w="1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Vulnerability Scans</w:t>
            </w:r>
          </w:p>
        </w:tc>
        <w:tc>
          <w:tcPr>
            <w:tcW w:w="22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Number and severity of vulnerabilities</w:t>
            </w:r>
          </w:p>
        </w:tc>
        <w:tc>
          <w:tcPr>
            <w:tcW w:w="1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Quarterly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Security Analyst</w:t>
            </w:r>
          </w:p>
        </w:tc>
        <w:tc>
          <w:tcPr>
            <w:tcW w:w="22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High/critical vulnerabilities remediated</w:t>
            </w:r>
          </w:p>
        </w:tc>
      </w:tr>
      <w:tr>
        <w:trPr/>
        <w:tc>
          <w:tcPr>
            <w:tcW w:w="1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Penetration Tests</w:t>
            </w:r>
          </w:p>
        </w:tc>
        <w:tc>
          <w:tcPr>
            <w:tcW w:w="22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Number and severity of findings</w:t>
            </w:r>
          </w:p>
        </w:tc>
        <w:tc>
          <w:tcPr>
            <w:tcW w:w="1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Annually or major release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External vendor, Security Analyst</w:t>
            </w:r>
          </w:p>
        </w:tc>
        <w:tc>
          <w:tcPr>
            <w:tcW w:w="22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High/critical findings remediated</w:t>
            </w:r>
          </w:p>
        </w:tc>
      </w:tr>
      <w:tr>
        <w:trPr/>
        <w:tc>
          <w:tcPr>
            <w:tcW w:w="1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Audit Findings</w:t>
            </w:r>
          </w:p>
        </w:tc>
        <w:tc>
          <w:tcPr>
            <w:tcW w:w="22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Number of nonconformities</w:t>
            </w:r>
          </w:p>
        </w:tc>
        <w:tc>
          <w:tcPr>
            <w:tcW w:w="1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Annually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Internal Audit</w:t>
            </w:r>
          </w:p>
        </w:tc>
        <w:tc>
          <w:tcPr>
            <w:tcW w:w="22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Zero major nonconformities</w:t>
            </w:r>
          </w:p>
        </w:tc>
      </w:tr>
      <w:tr>
        <w:trPr/>
        <w:tc>
          <w:tcPr>
            <w:tcW w:w="1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Log Review and Anomaly Detection</w:t>
            </w:r>
          </w:p>
        </w:tc>
        <w:tc>
          <w:tcPr>
            <w:tcW w:w="22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Daily alerts and investigations</w:t>
            </w:r>
          </w:p>
        </w:tc>
        <w:tc>
          <w:tcPr>
            <w:tcW w:w="13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Daily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Security Analyst</w:t>
            </w:r>
          </w:p>
        </w:tc>
        <w:tc>
          <w:tcPr>
            <w:tcW w:w="22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All anomalies resolved</w:t>
            </w:r>
          </w:p>
        </w:tc>
      </w:tr>
    </w:tbl>
    <w:p>
      <w:pPr>
        <w:pStyle w:val="Heading1"/>
        <w:spacing w:before="200" w:after="160"/>
        <w:rPr/>
      </w:pPr>
      <w:bookmarkStart w:id="5" w:name="__RefHeading___Toc377_605544599"/>
      <w:bookmarkEnd w:id="5"/>
      <w:r>
        <w:rPr>
          <w:rFonts w:eastAsia="Liberation Sans" w:cs="Liberation Sans" w:ascii="Liberation Sans" w:hAnsi="Liberation Sans"/>
          <w:b/>
          <w:bCs/>
          <w:color w:val="2E75B6"/>
          <w:sz w:val="30"/>
          <w:szCs w:val="30"/>
        </w:rPr>
        <w:t>Methods of Analysis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Trend analysis (incidents, vulnerabilities, code review issues)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Root cause analysis for major incidents and pen test findings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KPI dashboards and management reports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Comparative performance analysis against objectives and baselines</w:t>
      </w:r>
    </w:p>
    <w:p>
      <w:pPr>
        <w:pStyle w:val="Heading1"/>
        <w:spacing w:before="200" w:after="160"/>
        <w:rPr/>
      </w:pPr>
      <w:bookmarkStart w:id="6" w:name="__RefHeading___Toc379_605544599"/>
      <w:bookmarkEnd w:id="6"/>
      <w:r>
        <w:rPr>
          <w:rFonts w:eastAsia="Liberation Sans" w:cs="Liberation Sans" w:ascii="Liberation Sans" w:hAnsi="Liberation Sans"/>
          <w:b/>
          <w:bCs/>
          <w:color w:val="2E75B6"/>
          <w:sz w:val="30"/>
          <w:szCs w:val="30"/>
        </w:rPr>
        <w:t>Evaluation and Reporting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Results reported in management reviews and shared with relevant teams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Critical issues (e.g., unpatched vulnerabilities, code review defects) are prioritised for remediation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Records of reviews, scans, and tests are securely retained and available for audit</w:t>
      </w:r>
    </w:p>
    <w:p>
      <w:pPr>
        <w:pStyle w:val="Heading1"/>
        <w:spacing w:before="200" w:after="160"/>
        <w:rPr/>
      </w:pPr>
      <w:bookmarkStart w:id="7" w:name="__RefHeading___Toc381_605544599"/>
      <w:bookmarkEnd w:id="7"/>
      <w:r>
        <w:rPr>
          <w:rFonts w:eastAsia="Liberation Sans" w:cs="Liberation Sans" w:ascii="Liberation Sans" w:hAnsi="Liberation Sans"/>
          <w:b/>
          <w:bCs/>
          <w:color w:val="2E75B6"/>
          <w:sz w:val="30"/>
          <w:szCs w:val="30"/>
        </w:rPr>
        <w:t>Records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Incident logs and response records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Secure code review logs and defect tracking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Vulnerability scan reports and remediation status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Penetration test reports and remediation status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Access control and permission reviews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Training logs and completion records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Audit reports and findings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KPI dashboards and reports</w:t>
      </w:r>
    </w:p>
    <w:p>
      <w:pPr>
        <w:pStyle w:val="Heading1"/>
        <w:spacing w:before="200" w:after="160"/>
        <w:rPr/>
      </w:pPr>
      <w:bookmarkStart w:id="8" w:name="__RefHeading___Toc383_605544599"/>
      <w:bookmarkEnd w:id="8"/>
      <w:r>
        <w:rPr>
          <w:rFonts w:eastAsia="Liberation Sans" w:cs="Liberation Sans" w:ascii="Liberation Sans" w:hAnsi="Liberation Sans"/>
          <w:b/>
          <w:bCs/>
          <w:color w:val="2E75B6"/>
          <w:sz w:val="30"/>
          <w:szCs w:val="30"/>
        </w:rPr>
        <w:t>Roles and Responsibilities</w:t>
      </w:r>
    </w:p>
    <w:tbl>
      <w:tblPr>
        <w:tblW w:w="916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199"/>
        <w:gridCol w:w="5960"/>
      </w:tblGrid>
      <w:tr>
        <w:trPr>
          <w:tblHeader w:val="true"/>
        </w:trPr>
        <w:tc>
          <w:tcPr>
            <w:tcW w:w="31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Role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9E2F3" w:val="clear"/>
            <w:vAlign w:val="center"/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Responsibilities</w:t>
            </w:r>
          </w:p>
        </w:tc>
      </w:tr>
      <w:tr>
        <w:trPr/>
        <w:tc>
          <w:tcPr>
            <w:tcW w:w="31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Information Security Manager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Oversees monitoring and ensures corrective actions</w:t>
            </w:r>
          </w:p>
        </w:tc>
      </w:tr>
      <w:tr>
        <w:trPr/>
        <w:tc>
          <w:tcPr>
            <w:tcW w:w="31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GRC Analyst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Tracks KPIs, maintains records, prepares reports</w:t>
            </w:r>
          </w:p>
        </w:tc>
      </w:tr>
      <w:tr>
        <w:trPr/>
        <w:tc>
          <w:tcPr>
            <w:tcW w:w="31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Security Analyst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Conducts vulnerability scans, supports pen tests, monitors logs</w:t>
            </w:r>
          </w:p>
        </w:tc>
      </w:tr>
      <w:tr>
        <w:trPr/>
        <w:tc>
          <w:tcPr>
            <w:tcW w:w="31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Developers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Perform secure code reviews and address issues</w:t>
            </w:r>
          </w:p>
        </w:tc>
      </w:tr>
      <w:tr>
        <w:trPr/>
        <w:tc>
          <w:tcPr>
            <w:tcW w:w="31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Infrastructure Engineer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Maintain backups, patching, and access controls</w:t>
            </w:r>
          </w:p>
        </w:tc>
      </w:tr>
      <w:tr>
        <w:trPr/>
        <w:tc>
          <w:tcPr>
            <w:tcW w:w="31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</w:rPr>
              <w:t>Internal Auditor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 w:val="false"/>
                <w:bCs w:val="false"/>
                <w:color w:val="1F1F1F"/>
                <w:sz w:val="20"/>
                <w:szCs w:val="20"/>
              </w:rPr>
              <w:t>Conducts internal audits and reports findings</w:t>
            </w:r>
          </w:p>
        </w:tc>
      </w:tr>
    </w:tbl>
    <w:p>
      <w:pPr>
        <w:pStyle w:val="Heading1"/>
        <w:spacing w:before="200" w:after="160"/>
        <w:rPr/>
      </w:pPr>
      <w:bookmarkStart w:id="9" w:name="__RefHeading___Toc385_605544599"/>
      <w:bookmarkEnd w:id="9"/>
      <w:r>
        <w:rPr>
          <w:rFonts w:eastAsia="Liberation Sans" w:cs="Liberation Sans" w:ascii="Liberation Sans" w:hAnsi="Liberation Sans"/>
          <w:b/>
          <w:bCs/>
          <w:color w:val="2E75B6"/>
          <w:sz w:val="30"/>
          <w:szCs w:val="30"/>
        </w:rPr>
        <w:t>Review and Updates</w:t>
      </w:r>
    </w:p>
    <w:p>
      <w:pPr>
        <w:pStyle w:val="Normal"/>
        <w:spacing w:lineRule="exact" w:line="300" w:before="0" w:after="20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This document is reviewed: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Annually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Following major role changes or new regulatory requirements</w:t>
      </w:r>
    </w:p>
    <w:p>
      <w:pPr>
        <w:pStyle w:val="ListParagraph"/>
        <w:numPr>
          <w:ilvl w:val="0"/>
          <w:numId w:val="1"/>
        </w:numPr>
        <w:spacing w:lineRule="exact" w:line="300" w:before="0" w:after="120"/>
        <w:ind w:hanging="360" w:left="720"/>
        <w:rPr/>
      </w:pPr>
      <w:r>
        <w:rPr>
          <w:rFonts w:eastAsia="Times New Roman" w:cs="Times New Roman"/>
          <w:b w:val="false"/>
          <w:bCs w:val="false"/>
          <w:color w:val="1F1F1F"/>
          <w:sz w:val="22"/>
          <w:szCs w:val="22"/>
        </w:rPr>
        <w:t>After significant security incidents or audit findings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440" w:right="1440" w:gutter="0" w:header="0" w:top="1440" w:footer="708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Wingdings">
    <w:charset w:val="02"/>
    <w:family w:val="auto"/>
    <w:pitch w:val="default"/>
  </w:font>
  <w:font w:name="Courier New">
    <w:charset w:val="0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808080"/>
        <w:sz w:val="16"/>
        <w:szCs w:val="16"/>
      </w:rPr>
      <w:t>Abionic Inc. - Monitoring Measurement Analysis Evaluation Procedure - Confidential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808080"/>
        <w:sz w:val="16"/>
        <w:szCs w:val="16"/>
      </w:rPr>
      <w:t>Abionic Inc. - Monitoring Measurement Analysis Evaluation Procedure - Confidential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FreeSans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FreeSans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Heading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Heading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Heading"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Heading"/>
    <w:qFormat/>
    <w:pPr>
      <w:outlineLvl w:val="4"/>
    </w:pPr>
    <w:rPr>
      <w:color w:val="2E74B5"/>
    </w:rPr>
  </w:style>
  <w:style w:type="paragraph" w:styleId="Heading6">
    <w:name w:val="Heading 6"/>
    <w:basedOn w:val="Heading"/>
    <w:qFormat/>
    <w:pPr>
      <w:outlineLvl w:val="5"/>
    </w:pPr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FreeSans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FreeSans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2026-08-30T15:44:23Z</dcterms:created>
  <dc:creator>Abionic Inc.</dc:creator>
  <dc:description/>
  <dc:language>en-US</dc:language>
  <cp:lastModifiedBy>Abionic Inc.</cp:lastModifiedBy>
  <dcterms:modified xsi:type="dcterms:W3CDTF">2026-08-30T15:46:32Z</dcterms:modified>
  <cp:revision>2</cp:revision>
  <dc:subject/>
  <dc:title/>
</cp:coreProperties>
</file>