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Operational Planning and Control Procedure</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31,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p>
        <w:p>
          <w:pPr>
            <w:pStyle w:val="TOC1"/>
            <w:tabs>
              <w:tab w:val="clear" w:pos="9360"/>
              <w:tab w:val="right" w:pos="9359" w:leader="dot"/>
            </w:tabs>
            <w:rPr/>
          </w:pPr>
          <w:hyperlink w:anchor="__RefHeading___Toc369_605544599">
            <w:r>
              <w:rPr>
                <w:rStyle w:val="IndexLink"/>
              </w:rPr>
              <w:t xml:space="preserve">Change Log</w:t>
              <w:tab/>
              <w:t xml:space="preserve">3</w:t>
            </w:r>
          </w:hyperlink>
        </w:p>
        <w:p>
          <w:pPr>
            <w:pStyle w:val="TOC1"/>
            <w:tabs>
              <w:tab w:val="clear" w:pos="9360"/>
              <w:tab w:val="right" w:pos="9359" w:leader="dot"/>
            </w:tabs>
            <w:rPr/>
          </w:pPr>
          <w:hyperlink w:anchor="__RefHeading___Toc369_605544599">
            <w:r>
              <w:rPr>
                <w:rStyle w:val="IndexLink"/>
              </w:rPr>
              <w:t xml:space="preserve">Purpose</w:t>
              <w:tab/>
              <w:t xml:space="preserve">4</w:t>
            </w:r>
          </w:hyperlink>
        </w:p>
        <w:p>
          <w:pPr>
            <w:pStyle w:val="TOC1"/>
            <w:tabs>
              <w:tab w:val="clear" w:pos="9360"/>
              <w:tab w:val="right" w:pos="9359" w:leader="dot"/>
            </w:tabs>
            <w:rPr/>
          </w:pPr>
          <w:hyperlink w:anchor="__RefHeading___Toc369_605544599">
            <w:r>
              <w:rPr>
                <w:rStyle w:val="IndexLink"/>
              </w:rPr>
              <w:t xml:space="preserve">Scope</w:t>
              <w:tab/>
              <w:t xml:space="preserve">4</w:t>
            </w:r>
          </w:hyperlink>
        </w:p>
        <w:p>
          <w:pPr>
            <w:pStyle w:val="TOC1"/>
            <w:tabs>
              <w:tab w:val="clear" w:pos="9360"/>
              <w:tab w:val="right" w:pos="9359" w:leader="dot"/>
            </w:tabs>
            <w:rPr/>
          </w:pPr>
          <w:hyperlink w:anchor="__RefHeading___Toc369_605544599">
            <w:r>
              <w:rPr>
                <w:rStyle w:val="IndexLink"/>
              </w:rPr>
              <w:t xml:space="preserve">Operational Processes and Their Cadence</w:t>
              <w:tab/>
              <w:t xml:space="preserve">4</w:t>
            </w:r>
          </w:hyperlink>
        </w:p>
        <w:p>
          <w:pPr>
            <w:pStyle w:val="TOC1"/>
            <w:tabs>
              <w:tab w:val="clear" w:pos="9360"/>
              <w:tab w:val="right" w:pos="9359" w:leader="dot"/>
            </w:tabs>
            <w:rPr/>
          </w:pPr>
          <w:hyperlink w:anchor="__RefHeading___Toc369_605544599">
            <w:r>
              <w:rPr>
                <w:rStyle w:val="IndexLink"/>
              </w:rPr>
              <w:t xml:space="preserve">Control of Externally Provided Processes</w:t>
              <w:tab/>
              <w:t xml:space="preserve">5</w:t>
            </w:r>
          </w:hyperlink>
        </w:p>
        <w:p>
          <w:pPr>
            <w:pStyle w:val="TOC1"/>
            <w:tabs>
              <w:tab w:val="clear" w:pos="9360"/>
              <w:tab w:val="right" w:pos="9359" w:leader="dot"/>
            </w:tabs>
            <w:rPr/>
          </w:pPr>
          <w:hyperlink w:anchor="__RefHeading___Toc369_605544599">
            <w:r>
              <w:rPr>
                <w:rStyle w:val="IndexLink"/>
              </w:rPr>
              <w:t xml:space="preserve">Evidence That Processes Were Carried Out</w:t>
              <w:tab/>
              <w:t xml:space="preserve">5</w:t>
            </w:r>
          </w:hyperlink>
        </w:p>
        <w:p>
          <w:pPr>
            <w:pStyle w:val="TOC1"/>
            <w:tabs>
              <w:tab w:val="clear" w:pos="9360"/>
              <w:tab w:val="right" w:pos="9359" w:leader="dot"/>
            </w:tabs>
            <w:rPr/>
          </w:pPr>
          <w:hyperlink w:anchor="__RefHeading___Toc369_605544599">
            <w:r>
              <w:rPr>
                <w:rStyle w:val="IndexLink"/>
              </w:rPr>
              <w:t xml:space="preserve">Operating Cycle</w:t>
              <w:tab/>
              <w:t xml:space="preserve">6</w:t>
            </w:r>
          </w:hyperlink>
        </w:p>
        <w:p>
          <w:pPr>
            <w:pStyle w:val="TOC1"/>
            <w:tabs>
              <w:tab w:val="clear" w:pos="9360"/>
              <w:tab w:val="right" w:pos="9359" w:leader="dot"/>
            </w:tabs>
            <w:rPr/>
          </w:pPr>
          <w:hyperlink w:anchor="__RefHeading___Toc369_605544599">
            <w:r>
              <w:rPr>
                <w:rStyle w:val="IndexLink"/>
              </w:rPr>
              <w:t xml:space="preserve">Roles and Responsibilities</w:t>
              <w:tab/>
              <w:t xml:space="preserve">6</w:t>
            </w:r>
          </w:hyperlink>
        </w:p>
        <w:p>
          <w:pPr>
            <w:pStyle w:val="TOC1"/>
            <w:tabs>
              <w:tab w:val="clear" w:pos="9360"/>
              <w:tab w:val="right" w:pos="9359" w:leader="dot"/>
            </w:tabs>
            <w:rPr/>
          </w:pPr>
          <w:hyperlink w:anchor="__RefHeading___Toc369_605544599">
            <w:r>
              <w:rPr>
                <w:rStyle w:val="IndexLink"/>
              </w:rPr>
              <w:t xml:space="preserve">Review and Updates</w:t>
              <w:tab/>
              <w:t xml:space="preserve">6</w:t>
            </w:r>
          </w:hyperlink>
        </w:p>
      </w:sdtContent>
    </w:sdt>
    <w:p>
      <w:pPr>
        <w:pStyle w:val="Normal"/>
        <w:rPr/>
      </w:pPr>
      <w:r>
        <w:rPr/>
      </w:r>
    </w:p>
    <w:p>
      <w:pPr>
        <w:pStyle w:val="Normal"/>
        <w:rPr/>
      </w:pPr>
      <w:r>
        <w:rPr/>
      </w:r>
      <w:r>
        <w:br w:type="page"/>
      </w:r>
    </w:p>
    <w:p>
      <w:pPr>
        <w:pStyle w:val="Heading1"/>
        <w:spacing w:before="0" w:after="160"/>
        <w:rPr/>
      </w:pPr>
      <w:bookmarkStart w:id="1" w:name="__RefHeading___Toc369_605544599"/>
      <w:bookmarkEnd w:id="1"/>
      <w:r>
        <w:rPr>
          <w:rFonts w:eastAsia="Liberation Sans" w:cs="Liberation Sans" w:ascii="Liberation Sans" w:hAnsi="Liberation Sans"/>
          <w:b/>
          <w:bCs/>
          <w:color w:val="2E75B6"/>
          <w:sz w:val="30"/>
          <w:szCs w:val="30"/>
        </w:rPr>
        <w:t xml:space="preserve">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Next Review</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1.0</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Initial version</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2027</w:t>
            </w:r>
          </w:p>
        </w:tc>
      </w:tr>
    </w:tbl>
    <w:p>
      <w:pPr>
        <w:pStyle w:val="Normal"/>
        <w:rPr/>
      </w:pPr>
      <w:r>
        <w:rPr/>
      </w:r>
      <w:r>
        <w:br w:type="page"/>
      </w:r>
    </w:p>
    <w:p>
      <w:pPr>
        <w:pStyle w:val="Heading1"/>
        <w:spacing w:before="0" w:after="160"/>
        <w:rPr/>
      </w:pPr>
      <w:bookmarkStart w:id="2" w:name="__RefHeading___Toc369_605544599_2"/>
      <w:bookmarkEnd w:id="2"/>
      <w:r>
        <w:rPr>
          <w:rFonts w:eastAsia="Liberation Sans" w:cs="Liberation Sans" w:ascii="Liberation Sans" w:hAnsi="Liberation Sans"/>
          <w:b/>
          <w:bCs/>
          <w:color w:val="2E75B6"/>
          <w:sz w:val="30"/>
          <w:szCs w:val="30"/>
        </w:rPr>
        <w:t xml:space="preserve">Purpose</w:t>
      </w:r>
    </w:p>
    <w:p>
      <w:pPr>
        <w:pStyle w:val="Normal"/>
        <w:spacing w:lineRule="exact" w:line="300" w:before="0" w:after="200"/>
        <w:rPr/>
      </w:pPr>
      <w:r>
        <w:rPr>
          <w:rFonts w:eastAsia="Times New Roman" w:cs="Times New Roman"/>
          <w:b w:val="false"/>
          <w:bCs w:val="false"/>
          <w:color w:val="1F1F1F"/>
          <w:sz w:val="22"/>
          <w:szCs w:val="22"/>
        </w:rPr>
        <w:t xml:space="preserve">This procedure defines how Abionic Inc. plans, implements and controls the processes needed to meet information security requirements and to implement the actions determined under clause 6. It satisfies ISO/IEC 27001:2022 clause 8.1.</w:t>
      </w:r>
    </w:p>
    <w:p>
      <w:pPr>
        <w:pStyle w:val="Heading1"/>
        <w:spacing w:before="0" w:after="160"/>
        <w:rPr/>
      </w:pPr>
      <w:bookmarkStart w:id="3" w:name="__RefHeading___Toc369_605544599_3"/>
      <w:bookmarkEnd w:id="3"/>
      <w:r>
        <w:rPr>
          <w:rFonts w:eastAsia="Liberation Sans" w:cs="Liberation Sans" w:ascii="Liberation Sans" w:hAnsi="Liberation Sans"/>
          <w:b/>
          <w:bCs/>
          <w:color w:val="2E75B6"/>
          <w:sz w:val="30"/>
          <w:szCs w:val="30"/>
        </w:rPr>
        <w:t xml:space="preserve">Scope</w:t>
      </w:r>
    </w:p>
    <w:p>
      <w:pPr>
        <w:pStyle w:val="Normal"/>
        <w:spacing w:lineRule="exact" w:line="300" w:before="0" w:after="200"/>
        <w:rPr/>
      </w:pPr>
      <w:r>
        <w:rPr>
          <w:rFonts w:eastAsia="Times New Roman" w:cs="Times New Roman"/>
          <w:b w:val="false"/>
          <w:bCs w:val="false"/>
          <w:color w:val="1F1F1F"/>
          <w:sz w:val="22"/>
          <w:szCs w:val="22"/>
        </w:rPr>
        <w:t xml:space="preserve">Covers the operational processes that keep the ISMS running: the risk assessment and treatment cycle, control operation, change control, supplier control, and the retention of records showing that each has been carried out as planned.</w:t>
      </w:r>
    </w:p>
    <w:p>
      <w:pPr>
        <w:pStyle w:val="Heading1"/>
        <w:spacing w:before="0" w:after="160"/>
        <w:rPr/>
      </w:pPr>
      <w:bookmarkStart w:id="4" w:name="__RefHeading___Toc369_605544599_4"/>
      <w:bookmarkEnd w:id="4"/>
      <w:r>
        <w:rPr>
          <w:rFonts w:eastAsia="Liberation Sans" w:cs="Liberation Sans" w:ascii="Liberation Sans" w:hAnsi="Liberation Sans"/>
          <w:b/>
          <w:bCs/>
          <w:color w:val="2E75B6"/>
          <w:sz w:val="30"/>
          <w:szCs w:val="30"/>
        </w:rPr>
        <w:t xml:space="preserve">Operational Processes and Their Cadence</w:t>
      </w:r>
    </w:p>
    <w:tbl>
      <w:tblPr>
        <w:tblW w:w="9360" w:type="dxa"/>
        <w:jc w:val="left"/>
        <w:tblInd w:w="0" w:type="dxa"/>
        <w:tblLayout w:type="fixed"/>
        <w:tblCellMar>
          <w:top w:w="80" w:type="dxa"/>
          <w:left w:w="100" w:type="dxa"/>
          <w:bottom w:w="80" w:type="dxa"/>
          <w:right w:w="100" w:type="dxa"/>
        </w:tblCellMar>
      </w:tblPr>
      <w:tblGrid>
        <w:gridCol w:w="2340"/>
        <w:gridCol w:w="2340"/>
        <w:gridCol w:w="2340"/>
        <w:gridCol w:w="2340"/>
      </w:tblGrid>
      <w:tr>
        <w:trPr>
          <w:tblHeader w:val="true"/>
        </w:trPr>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Process</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Cadence</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Owner</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Evidence Retained</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Information security risk assessment (Clause 8.2)</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 and on significant change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Updated risk assessment in the SoA workbook</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Risk treatment implementation (Clause 8.3)</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Continuous, tracked against the treatment plan</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Treatment plan status and control evidence</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Access review</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Quarterly</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Review record and any revocations made</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Vulnerability scanning and patching</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Monthly, and on critical advisory</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Security Analyst</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Scan reports and remediation status</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Backup verification and restore test</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Quarterly</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IT Infrastructure Engineer</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Restore test record</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Change control</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Per change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System owner</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Change records under the Change Management Procedure</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Supplier review</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At onboarding and annually</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Supplier assessment records</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Awareness activity</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Per the Awareness Programme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Attendance and acknowledgement records</w:t>
            </w:r>
          </w:p>
        </w:tc>
      </w:tr>
    </w:tbl>
    <w:p>
      <w:pPr>
        <w:pStyle w:val="Heading1"/>
        <w:spacing w:before="0" w:after="160"/>
        <w:rPr/>
      </w:pPr>
      <w:bookmarkStart w:id="5" w:name="__RefHeading___Toc369_605544599_5"/>
      <w:bookmarkEnd w:id="5"/>
      <w:r>
        <w:rPr>
          <w:rFonts w:eastAsia="Liberation Sans" w:cs="Liberation Sans" w:ascii="Liberation Sans" w:hAnsi="Liberation Sans"/>
          <w:b/>
          <w:bCs/>
          <w:color w:val="2E75B6"/>
          <w:sz w:val="30"/>
          <w:szCs w:val="30"/>
        </w:rPr>
        <w:t xml:space="preserve">Control of Externally Provided Processes</w:t>
      </w:r>
    </w:p>
    <w:p>
      <w:pPr>
        <w:pStyle w:val="Normal"/>
        <w:spacing w:lineRule="exact" w:line="300" w:before="0" w:after="200"/>
        <w:rPr/>
      </w:pPr>
      <w:r>
        <w:rPr>
          <w:rFonts w:eastAsia="Times New Roman" w:cs="Times New Roman"/>
          <w:b w:val="false"/>
          <w:bCs w:val="false"/>
          <w:color w:val="1F1F1F"/>
          <w:sz w:val="22"/>
          <w:szCs w:val="22"/>
        </w:rPr>
        <w:t xml:space="preserve">Abionic Inc. delivers through AWS, a managed source control and CI/CD platform, and a small number of SaaS providers. Clause 8.1 requires these to be controlled. Control is exercised by: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Assessing each provider before onboarding under the Supplier and Vendor Management Policy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Recording security obligations in the contract, including notification of incidents affecting Abionic Inc. data</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Reviewing provider assurance reports and certifications at least 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Treating a provider-side change that affects security posture as an unintended change under the Change Management Procedure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Retaining the assessment and review records as evidence</w:t>
      </w:r>
    </w:p>
    <w:p>
      <w:pPr>
        <w:pStyle w:val="Heading1"/>
        <w:spacing w:before="0" w:after="160"/>
        <w:rPr/>
      </w:pPr>
      <w:bookmarkStart w:id="6" w:name="__RefHeading___Toc369_605544599_6"/>
      <w:bookmarkEnd w:id="6"/>
      <w:r>
        <w:rPr>
          <w:rFonts w:eastAsia="Liberation Sans" w:cs="Liberation Sans" w:ascii="Liberation Sans" w:hAnsi="Liberation Sans"/>
          <w:b/>
          <w:bCs/>
          <w:color w:val="2E75B6"/>
          <w:sz w:val="30"/>
          <w:szCs w:val="30"/>
        </w:rPr>
        <w:t xml:space="preserve">Evidence That Processes Were Carried Out</w:t>
      </w:r>
    </w:p>
    <w:p>
      <w:pPr>
        <w:pStyle w:val="Normal"/>
        <w:spacing w:lineRule="exact" w:line="300" w:before="0" w:after="200"/>
        <w:rPr/>
      </w:pPr>
      <w:r>
        <w:rPr>
          <w:rFonts w:eastAsia="Times New Roman" w:cs="Times New Roman"/>
          <w:b w:val="false"/>
          <w:bCs w:val="false"/>
          <w:color w:val="1F1F1F"/>
          <w:sz w:val="22"/>
          <w:szCs w:val="22"/>
        </w:rPr>
        <w:t xml:space="preserve">Clause 8.1 requires documented information kept to the extent necessary to have confidence that processes have been carried out as planned. The Evidence Retained column above identifies the record for each process. Where a cycle is missed, the omission is recorded as a nonconformity under clause 10.2 rather than left silent.</w:t>
      </w:r>
    </w:p>
    <w:p>
      <w:pPr>
        <w:pStyle w:val="Heading1"/>
        <w:spacing w:before="0" w:after="160"/>
        <w:rPr/>
      </w:pPr>
      <w:bookmarkStart w:id="7" w:name="__RefHeading___Toc369_605544599_7"/>
      <w:bookmarkEnd w:id="7"/>
      <w:r>
        <w:rPr>
          <w:rFonts w:eastAsia="Liberation Sans" w:cs="Liberation Sans" w:ascii="Liberation Sans" w:hAnsi="Liberation Sans"/>
          <w:b/>
          <w:bCs/>
          <w:color w:val="2E75B6"/>
          <w:sz w:val="30"/>
          <w:szCs w:val="30"/>
        </w:rPr>
        <w:t xml:space="preserve">Operating Cycle</w:t>
      </w:r>
    </w:p>
    <w:p>
      <w:pPr>
        <w:pStyle w:val="Normal"/>
        <w:spacing w:lineRule="exact" w:line="300" w:before="0" w:after="200"/>
        <w:rPr/>
      </w:pPr>
      <w:r>
        <w:rPr>
          <w:rFonts w:eastAsia="Times New Roman" w:cs="Times New Roman"/>
          <w:b w:val="false"/>
          <w:bCs w:val="false"/>
          <w:color w:val="1F1F1F"/>
          <w:sz w:val="22"/>
          <w:szCs w:val="22"/>
        </w:rPr>
        <w:t xml:space="preserve">The processes and cadences above are defined and owned. The first full operating cycle is in progress, and evidence accumulates as each process runs to its stated cadence. Completion of a cycle is confirmed at management review.</w:t>
      </w:r>
    </w:p>
    <w:p>
      <w:pPr>
        <w:pStyle w:val="Heading1"/>
        <w:spacing w:before="0" w:after="160"/>
        <w:rPr/>
      </w:pPr>
      <w:bookmarkStart w:id="8" w:name="__RefHeading___Toc369_605544599_8"/>
      <w:bookmarkEnd w:id="8"/>
      <w:r>
        <w:rPr>
          <w:rFonts w:eastAsia="Liberation Sans" w:cs="Liberation Sans" w:ascii="Liberation Sans" w:hAnsi="Liberation Sans"/>
          <w:b/>
          <w:bCs/>
          <w:color w:val="2E75B6"/>
          <w:sz w:val="30"/>
          <w:szCs w:val="30"/>
        </w:rPr>
        <w:t xml:space="preserve">Roles and Responsibilities</w:t>
      </w:r>
    </w:p>
    <w:tbl>
      <w:tblPr>
        <w:tblW w:w="9160" w:type="dxa"/>
        <w:jc w:val="left"/>
        <w:tblInd w:w="0" w:type="dxa"/>
        <w:tblLayout w:type="fixed"/>
        <w:tblCellMar>
          <w:top w:w="80" w:type="dxa"/>
          <w:left w:w="100" w:type="dxa"/>
          <w:bottom w:w="80" w:type="dxa"/>
          <w:right w:w="100" w:type="dxa"/>
        </w:tblCellMar>
      </w:tblPr>
      <w:tblGrid>
        <w:gridCol w:w="3199"/>
        <w:gridCol w:w="5960"/>
      </w:tblGrid>
      <w:tr>
        <w:trPr>
          <w:tblHeader w:val="true"/>
        </w:trPr>
        <w:tc>
          <w:tcPr>
            <w:tcW w:w="31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Role</w:t>
            </w:r>
          </w:p>
        </w:tc>
        <w:tc>
          <w:tcPr>
            <w:tcW w:w="5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Responsibilities</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Information Security Manager</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Owns this procedure, confirms each process ran to cadence, escalates misses to management review.</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GRC Analyst</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Maintains the evidence records and flags overdue cycles.</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Process owners named above</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Execute their process to cadence and retain the stated evidence.</w:t>
            </w:r>
          </w:p>
        </w:tc>
      </w:tr>
    </w:tbl>
    <w:p>
      <w:pPr>
        <w:pStyle w:val="Heading1"/>
        <w:spacing w:before="0" w:after="160"/>
        <w:rPr/>
      </w:pPr>
      <w:bookmarkStart w:id="9" w:name="__RefHeading___Toc369_605544599_9"/>
      <w:bookmarkEnd w:id="9"/>
      <w:r>
        <w:rPr>
          <w:rFonts w:eastAsia="Liberation Sans" w:cs="Liberation Sans" w:ascii="Liberation Sans" w:hAnsi="Liberation Sans"/>
          <w:b/>
          <w:bCs/>
          <w:color w:val="2E75B6"/>
          <w:sz w:val="30"/>
          <w:szCs w:val="30"/>
        </w:rPr>
        <w:t xml:space="preserve">Review and Updates</w:t>
      </w:r>
    </w:p>
    <w:p>
      <w:pPr>
        <w:pStyle w:val="Normal"/>
        <w:spacing w:lineRule="exact" w:line="300" w:before="0" w:after="200"/>
        <w:rPr/>
      </w:pPr>
      <w:r>
        <w:rPr>
          <w:rFonts w:eastAsia="Times New Roman" w:cs="Times New Roman"/>
          <w:b w:val="false"/>
          <w:bCs w:val="false"/>
          <w:color w:val="1F1F1F"/>
          <w:sz w:val="22"/>
          <w:szCs w:val="22"/>
        </w:rPr>
        <w:t xml:space="preserve">This document is reviewed:</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On a change to the ISMS scope or the delivery estate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After an audit finding relating to operational control</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Operational Planning and Control Procedure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Operational Planning and Control Procedure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2026-08-30T15:44:23Z</dcterms:created>
  <dc:creator>Abionic Inc.</dc:creator>
  <dc:description/>
  <dc:language>en-US</dc:language>
  <cp:lastModifiedBy>Abionic Inc.</cp:lastModifiedBy>
  <dcterms:modified xsi:type="dcterms:W3CDTF">2026-08-30T15:46:32Z</dcterms:modified>
  <cp:revision>2</cp:revision>
  <dc:subject/>
  <dc:title/>
</cp:coreProperties>
</file>