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jc w:val="center"/>
      </w:pPr>
      <w:r>
        <w:rPr>
          <w:rFonts w:ascii="Liberation Sans" w:cs="Liberation Sans" w:eastAsia="Liberation Sans" w:hAnsi="Liberation Sans"/>
          <w:color w:val="000000"/>
          <w:sz w:val="56"/>
          <w:szCs w:val="56"/>
        </w:rPr>
        <w:t xml:space="preserve">ISO/IEC 27001:2022 Clause-to-Evidence Map</w:t>
      </w:r>
    </w:p>
    <w:p>
      <w:pPr>
        <w:jc w:val="center"/>
      </w:pPr>
    </w:p>
    <w:p>
      <w:pPr>
        <w:jc w:val="center"/>
      </w:pPr>
    </w:p>
    <w:p>
      <w:pPr>
        <w:spacing w:after="80" w:before="360"/>
        <w:jc w:val="center"/>
      </w:pPr>
      <w:r>
        <w:rPr>
          <w:rFonts w:ascii="Georgia" w:cs="Georgia" w:eastAsia="Georgia" w:hAnsi="Georgia"/>
          <w:i/>
          <w:iCs/>
          <w:color w:val="666666"/>
          <w:sz w:val="48"/>
          <w:szCs w:val="48"/>
        </w:rPr>
        <w:t xml:space="preserve">Abionic Inc.</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r>
        <w:rPr>
          <w:rFonts w:ascii="Times New Roman" w:cs="Times New Roman" w:eastAsia="Times New Roman" w:hAnsi="Times New Roman"/>
          <w:sz w:val="22"/>
          <w:szCs w:val="22"/>
        </w:rPr>
        <w:t>Version 1.1</w:t>
      </w:r>
    </w:p>
    <w:p>
      <w:pPr>
        <w:jc w:val="center"/>
      </w:pPr>
      <w:r>
        <w:rPr>
          <w:rFonts w:ascii="Times New Roman" w:cs="Times New Roman" w:eastAsia="Times New Roman" w:hAnsi="Times New Roman"/>
          <w:sz w:val="22"/>
          <w:szCs w:val="22"/>
        </w:rPr>
        <w:t>August 31, 2026</w:t>
      </w:r>
    </w:p>
    <w:p>
      <w:r>
        <w:br w:type="page"/>
      </w:r>
    </w:p>
    <w:p>
      <w:pPr>
        <w:pStyle w:val="Heading1"/>
        <w:spacing w:after="160" w:before="200"/>
      </w:pPr>
      <w:r>
        <w:rPr>
          <w:rFonts w:ascii="Liberation Sans" w:cs="Liberation Sans" w:eastAsia="Liberation Sans" w:hAnsi="Liberation Sans"/>
          <w:b/>
          <w:bCs/>
          <w:color w:val="2e75b6"/>
          <w:sz w:val="30"/>
          <w:szCs w:val="30"/>
        </w:rPr>
        <w:t xml:space="preserve">Change Log</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180"/>
        <w:gridCol w:w="1180"/>
        <w:gridCol w:w="1180"/>
        <w:gridCol w:w="1180"/>
        <w:gridCol w:w="1180"/>
        <w:gridCol w:w="1180"/>
        <w:gridCol w:w="1180"/>
        <w:gridCol w:w="1180"/>
      </w:tblGrid>
      <w:tr>
        <w:trPr>
          <w:tblHeader/>
        </w:trPr>
        <w:tc>
          <w:tcPr>
            <w:tcW w:type="dxa" w:w="118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Date</w:t>
            </w:r>
          </w:p>
        </w:tc>
        <w:tc>
          <w:tcPr>
            <w:tcW w:type="dxa" w:w="118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Version</w:t>
            </w:r>
          </w:p>
        </w:tc>
        <w:tc>
          <w:tcPr>
            <w:tcW w:type="dxa" w:w="118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Author</w:t>
            </w:r>
          </w:p>
        </w:tc>
        <w:tc>
          <w:tcPr>
            <w:tcW w:type="dxa" w:w="118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Description</w:t>
            </w:r>
          </w:p>
        </w:tc>
        <w:tc>
          <w:tcPr>
            <w:tcW w:type="dxa" w:w="118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Approved By</w:t>
            </w:r>
          </w:p>
        </w:tc>
        <w:tc>
          <w:tcPr>
            <w:tcW w:type="dxa" w:w="118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Last Updated</w:t>
            </w:r>
          </w:p>
        </w:tc>
        <w:tc>
          <w:tcPr>
            <w:tcW w:type="dxa" w:w="118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Review Frequency</w:t>
            </w:r>
          </w:p>
        </w:tc>
        <w:tc>
          <w:tcPr>
            <w:tcW w:type="dxa" w:w="118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Next Review</w:t>
            </w:r>
          </w:p>
        </w:tc>
      </w:tr>
      <w:tr>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August 23, 2026</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1.0</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GRC Analyst</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Initial version</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Information Security Manager</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August 23, 2026</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Annually</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August 23, 2027</w:t>
            </w:r>
          </w:p>
        </w:tc>
      </w:tr>
      <w:tr>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August 31, 2026</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1.1</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GRC Analyst</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Added 07-Operation folder and clause 8.1 evidence; corrected status legend; re-graded 6.1.1, 6.3, 7.1, 7.3-7.5, 8.2 as Complete</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Information Security Manager</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August 31, 2026</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Annually</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t>August 31, 2027</w:t>
            </w:r>
          </w:p>
        </w:tc>
      </w:tr>
      <w:tr>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 </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 </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 </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 </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 </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 </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 </w:t>
            </w:r>
          </w:p>
        </w:tc>
        <w:tc>
          <w:tcPr>
            <w:tcW w:type="dxa" w:w="118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 </w:t>
            </w:r>
          </w:p>
        </w:tc>
      </w:tr>
    </w:tbl>
    <w:p>
      <w:r>
        <w:br w:type="page"/>
      </w:r>
    </w:p>
    <w:p>
      <w:pPr>
        <w:pStyle w:val="Heading1"/>
        <w:spacing w:after="160" w:before="200"/>
      </w:pPr>
      <w:r>
        <w:rPr>
          <w:rFonts w:ascii="Liberation Sans" w:cs="Liberation Sans" w:eastAsia="Liberation Sans" w:hAnsi="Liberation Sans"/>
          <w:b/>
          <w:bCs/>
          <w:color w:val="2e75b6"/>
          <w:sz w:val="30"/>
          <w:szCs w:val="30"/>
        </w:rPr>
        <w:t xml:space="preserve">Purpose</w:t>
      </w:r>
    </w:p>
    <w:p>
      <w:pPr>
        <w:spacing w:after="200" w:line="300"/>
      </w:pPr>
      <w:r>
        <w:rPr>
          <w:rFonts w:ascii="Times New Roman" w:cs="Times New Roman" w:eastAsia="Times New Roman" w:hAnsi="Times New Roman"/>
          <w:color w:val="1f1f1f"/>
          <w:sz w:val="22"/>
          <w:szCs w:val="22"/>
        </w:rPr>
        <w:t>This document provides a single reference mapping each clause of ISO/IEC 27001:2022 to the Abionic Inc. documentation that provides evidence of conformance, so that status can be checked and supporting evidence located quickly during an internal or external audit. Evidence document paths below are relative to this folder (Portfolio/grc-portfolio/04-building-isms-iso27001/) and organized by ISO clause group: 01-Context-and-Leadership/ (Clauses 4-5), 02-Planning/ (Clause 6), 03-Support/ (Clause 7), 04-Annex-A-Policies/ (the Annex A control policies), 07-Operation/ (Clause 8), 05-Performance-Evaluation/ (Clause 9), and 06-Improvement/ (Clause 10). This map and the Control Evidence Tracker stay at the folder root.</w:t>
      </w:r>
    </w:p>
    <w:p>
      <w:pPr>
        <w:spacing w:after="200" w:line="300"/>
      </w:pPr>
      <w:r>
        <w:rPr>
          <w:rFonts w:ascii="Times New Roman" w:cs="Times New Roman" w:eastAsia="Times New Roman" w:hAnsi="Times New Roman"/>
          <w:color w:val="1f1f1f"/>
          <w:sz w:val="22"/>
          <w:szCs w:val="22"/>
        </w:rPr>
        <w:t xml:space="preserve">Status legend: Complete = the requirement is being carried out and the evidence set contains records of it having been carried out, not merely a document describing it; for the context and leadership clauses the policy document itself is the requirement, so the policy is sufficient. In Progress = partially addressed by an existing document. Not Started = no supporting document produced yet. Not Achievable at Documentation Stage = the supporting procedure is defined, but the requirement can only be evidenced by an operating organisation over time (an audit conducted, a review held, measurement data collected, real nonconformities raised), which is outside the scope of this documentation-stage build. Out of Scope = formally excluded by the Statement of Applicability.</w:t>
      </w:r>
    </w:p>
    <w:p>
      <w:pPr>
        <w:spacing w:after="200" w:line="300"/>
      </w:pPr>
      <w:r>
        <w:rPr>
          <w:rFonts w:ascii="Times New Roman" w:cs="Times New Roman" w:eastAsia="Times New Roman" w:hAnsi="Times New Roman"/>
          <w:color w:val="1f1f1f"/>
          <w:sz w:val="22"/>
          <w:szCs w:val="22"/>
        </w:rPr>
        <w:t xml:space="preserve">Statement of Applicability: the authoritative record of which Annex A controls apply to Abionic Inc.'s ISMS, with in-scope/out-of-scope determinations and justifications for every control, is 02-Planning/Abionic_Assets_Risk_Assessment_SoA.xlsx (SOA tab). Where a control below is marked Out of Scope, that determination follows the SoA even if an existing policy document happens to touch on the same topic; where a policy document's own citation conflicted with the SoA's scope decision, the SoA was treated as authoritative.</w:t>
      </w:r>
    </w:p>
    <w:p>
      <w:pPr>
        <w:pStyle w:val="Heading1"/>
        <w:spacing w:after="160" w:before="200"/>
      </w:pPr>
      <w:r>
        <w:rPr>
          <w:rFonts w:ascii="Liberation Sans" w:cs="Liberation Sans" w:eastAsia="Liberation Sans" w:hAnsi="Liberation Sans"/>
          <w:b/>
          <w:bCs/>
          <w:color w:val="2e75b6"/>
          <w:sz w:val="30"/>
          <w:szCs w:val="30"/>
        </w:rPr>
        <w:t xml:space="preserve">Clause-to-Evidence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200"/>
        <w:gridCol w:w="186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Clause</w:t>
            </w:r>
          </w:p>
        </w:tc>
        <w:tc>
          <w:tcPr>
            <w:tcW w:type="dxa" w:w="34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ISO/IEC 27001:2022 Requirement</w:t>
            </w:r>
          </w:p>
        </w:tc>
        <w:tc>
          <w:tcPr>
            <w:tcW w:type="dxa" w:w="32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Evidence Document(s)</w:t>
            </w:r>
          </w:p>
        </w:tc>
        <w:tc>
          <w:tcPr>
            <w:tcW w:type="dxa" w:w="186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center"/>
          </w:tcPr>
          <w:p>
            <w:r>
              <w:rPr>
                <w:rFonts w:ascii="Times New Roman" w:cs="Times New Roman" w:eastAsia="Times New Roman" w:hAnsi="Times New Roman"/>
                <w:b/>
                <w:bCs/>
                <w:color w:val="1f1f1f"/>
                <w:sz w:val="20"/>
                <w:szCs w:val="20"/>
              </w:rPr>
              <w:t xml:space="preserve">Status</w:t>
            </w:r>
          </w:p>
        </w:tc>
      </w:tr>
      <w:tr>
        <w:tc>
          <w:tcPr>
            <w:tcW w:type="dxa" w:w="9360"/>
            <w:gridSpan w:val="4"/>
            <w:tcBorders>
              <w:top w:val="single" w:color="BFBFBF" w:sz="4"/>
              <w:left w:val="single" w:color="BFBFBF" w:sz="4"/>
              <w:bottom w:val="single" w:color="BFBFBF" w:sz="4"/>
              <w:right w:val="single" w:color="BFBFBF" w:sz="4"/>
            </w:tcBorders>
            <w:shd w:fill="BFD3E8" w:color="auto" w:val="clear"/>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4  Context of the Organization</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4.1</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Understanding the organization and its context</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01-Context-and-Leadership/ISMS_Scope_Abionic_Inc.docx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4.2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Understanding the needs and expectations of interested parties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01-Context-and-Leadership/ISMS_Scope_Abionic_Inc.docx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4.3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Determining the scope of the ISMS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01-Context-and-Leadership/ISMS_Scope_Abionic_Inc.docx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4.4</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Information security management system</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01-Context-and-Leadership/ISMS_Scope_Abionic_Inc.docx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360"/>
            <w:gridSpan w:val="4"/>
            <w:tcBorders>
              <w:top w:val="single" w:color="BFBFBF" w:sz="4"/>
              <w:left w:val="single" w:color="BFBFBF" w:sz="4"/>
              <w:bottom w:val="single" w:color="BFBFBF" w:sz="4"/>
              <w:right w:val="single" w:color="BFBFBF" w:sz="4"/>
            </w:tcBorders>
            <w:shd w:fill="BFD3E8" w:color="auto" w:val="clear"/>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5  Leadership</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5.1</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Leadership and commitment</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01-Context-and-Leadership/InfoSec_Policy_Abionic_Inc.docx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5.2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Policy</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01-Context-and-Leadership/InfoSec_Policy_Abionic_Inc.docx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5.3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Organizational roles, responsibilities and authorities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01-Context-and-Leadership/Roles_Responsibilities_Abionic_Inc.docx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360"/>
            <w:gridSpan w:val="4"/>
            <w:tcBorders>
              <w:top w:val="single" w:color="BFBFBF" w:sz="4"/>
              <w:left w:val="single" w:color="BFBFBF" w:sz="4"/>
              <w:bottom w:val="single" w:color="BFBFBF" w:sz="4"/>
              <w:right w:val="single" w:color="BFBFBF" w:sz="4"/>
            </w:tcBorders>
            <w:shd w:fill="BFD3E8" w:color="auto" w:val="clear"/>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6  Planning</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6.1.1</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Actions to address risks and opportunities – General</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02-Planning/RiskOpportunities_Register_Abionic_Inc.docx (5 ISMS-level risks and 3 opportunities derived from the clause 4.1 and 4.2 issues, each with a planned action and named owner; integration and evaluation via management review).</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6.1.2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Information security risk assessment</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02-Planning/RiskAssessment_Process_Abionic_Inc.docx; 02-Planning/Abionic_Assets_Risk_Assessment_SoA.xlsx (Asset Register + Risk Assessment: 5 assets, 5 risks identified and scored)</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6.1.3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Information security risk treatment</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02-Planning/RiskTreatment_Process_Plan_Abionic_Inc.docx (methodology); 02-Planning/Abionic_Assets_Risk_Assessment_SoA.xlsx (treatment plan now complete for all 5 risks: proposed controls, residual risk score and level, risk owner and status recorded).</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6.2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Information security objectives and planning to achieve them</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02-Planning/ISMS_Objectives_Abionic_Inc.docx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6.3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Planning of changes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02-Planning/ChangeManagement_Procedure_Abionic_Inc.docx (Standard, Normal and Emergency change types with approval and record requirements; pre-change assessment questions; change record fields; treatment of unintended changes).</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360"/>
            <w:gridSpan w:val="4"/>
            <w:tcBorders>
              <w:top w:val="single" w:color="BFBFBF" w:sz="4"/>
              <w:left w:val="single" w:color="BFBFBF" w:sz="4"/>
              <w:bottom w:val="single" w:color="BFBFBF" w:sz="4"/>
              <w:right w:val="single" w:color="BFBFBF" w:sz="4"/>
            </w:tcBorders>
            <w:shd w:fill="BFD3E8" w:color="auto" w:val="clear"/>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7  Support</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7.1</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Resources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03-Support/ISMS_Resources_Statement_Abionic_Inc.docx (people and time allocation per role, tooling, budget and external support, with adequacy reviewed at management review).</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7.2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Competence</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03-Support/Competence_Records_Abionic_Inc.docx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7.3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Awareness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03-Support/Awareness_Programme_Abionic_Inc.docx (activities mapped to the three clause 7.3 awareness outcomes, with audience, frequency, owner and record; effectiveness measures feeding clause 9.1); supported by 04-Annex-A-Policies/Training_Awareness_Policy_Abionic_Inc.docx.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7.4</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Communication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03-Support/Communication_Plan_Abionic_Inc.docx (internal and external communication matrices specifying what, when, with whom, by whom and by what method, plus incident communication authority). Clause 7.4 is a determination requirement, and the determination is documented.</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7.5.1</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Documented information – General</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03-Support/DocumentControl_Procedure_Abionic_Inc.docx (lists the documented information the ISMS maintains, mapped to the clause each item satisfies).</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7.5.2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Creating and updating</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03-Support/DocumentControl_Procedure_Abionic_Inc.docx (identification and description, format and media, review and approval attributes, plus the file naming and clause-group filing convention). Practice is evidenced by the Change Log and version block carried in every document in this set.</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7.5.3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Control of documented information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03-Support/DocumentControl_Procedure_Abionic_Inc.docx (distribution and access, storage and preservation, version and change control, retention and disposal schedule, and treatment of documents of external origin). The Clause-to-Evidence Map serves as the operating document register.</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360"/>
            <w:gridSpan w:val="4"/>
            <w:tcBorders>
              <w:top w:val="single" w:color="BFBFBF" w:sz="4"/>
              <w:left w:val="single" w:color="BFBFBF" w:sz="4"/>
              <w:bottom w:val="single" w:color="BFBFBF" w:sz="4"/>
              <w:right w:val="single" w:color="BFBFBF" w:sz="4"/>
            </w:tcBorders>
            <w:shd w:fill="BFD3E8" w:color="auto" w:val="clear"/>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8  Operation</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8.1</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Operational planning and control</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07-Operation/OperationalPlanning_Control_Procedure_Abionic_Inc.docx (8 operational processes with cadence, owner and evidence to retain; control of externally provided processes). Evidence accumulates as each process runs to its stated cadence; first operating cycle in progress.</w:t>
            </w:r>
          </w:p>
        </w:tc>
        <w:tc>
          <w:tcPr>
            <w:tcW w:type="dxa" w:w="186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 Progress</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8.2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Information security risk assessment</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02-Planning/Abionic_Assets_Risk_Assessment_SoA.xlsx (Asset Register and Risk Assessment tabs: risk assessment performed and results retained, 5 assets and 5 risks identified and scored for likelihood, impact and risk level against the criteria established under 6.1.2). First assessment cycle only; the planned-interval requirement is evidenced from the second cycle onward.</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8.3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Information security risk treatment</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02-Planning/Abionic_Assets_Risk_Assessment_SoA.xlsx (risk treatment plan complete, see 6.1.3). Implementing the plan against live systems and retaining records of the results requires an operating organisation.</w:t>
            </w:r>
          </w:p>
        </w:tc>
        <w:tc>
          <w:tcPr>
            <w:tcW w:type="dxa" w:w="1860"/>
            <w:tcBorders>
              <w:top w:val="single" w:color="BFBFBF" w:sz="4"/>
              <w:left w:val="single" w:color="BFBFBF" w:sz="4"/>
              <w:bottom w:val="single" w:color="BFBFBF" w:sz="4"/>
              <w:right w:val="single" w:color="BFBFBF" w:sz="4"/>
            </w:tcBorders>
            <w:shd w:fill="D0E0E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Not Achievable at Documentation Stage</w:t>
            </w:r>
          </w:p>
        </w:tc>
      </w:tr>
      <w:tr>
        <w:tc>
          <w:tcPr>
            <w:tcW w:type="dxa" w:w="9360"/>
            <w:gridSpan w:val="4"/>
            <w:tcBorders>
              <w:top w:val="single" w:color="BFBFBF" w:sz="4"/>
              <w:left w:val="single" w:color="BFBFBF" w:sz="4"/>
              <w:bottom w:val="single" w:color="BFBFBF" w:sz="4"/>
              <w:right w:val="single" w:color="BFBFBF" w:sz="4"/>
            </w:tcBorders>
            <w:shd w:fill="BFD3E8" w:color="auto" w:val="clear"/>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9  Performance Evaluation</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9.1</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Monitoring, measurement, analysis and evaluation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05-Performance-Evaluation/MonitoringMeasurementAnalysisEvaluation_Procedure_Abionic_Inc.docx (procedure, methods and responsibilities defined). Evidencing the requirement needs measurement data generated by an operating organisation over time.</w:t>
            </w:r>
          </w:p>
        </w:tc>
        <w:tc>
          <w:tcPr>
            <w:tcW w:type="dxa" w:w="1860"/>
            <w:tcBorders>
              <w:top w:val="single" w:color="BFBFBF" w:sz="4"/>
              <w:left w:val="single" w:color="BFBFBF" w:sz="4"/>
              <w:bottom w:val="single" w:color="BFBFBF" w:sz="4"/>
              <w:right w:val="single" w:color="BFBFBF" w:sz="4"/>
            </w:tcBorders>
            <w:shd w:fill="D0E0E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Not Achievable at Documentation Stage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9.2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Internal audit</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05-Performance-Evaluation/InternalAudit_Program_Abionic_Inc.docx (audit programme, scope, criteria and schedule defined). Evidencing the requirement needs an audit actually conducted against a live ISMS.</w:t>
            </w:r>
          </w:p>
        </w:tc>
        <w:tc>
          <w:tcPr>
            <w:tcW w:type="dxa" w:w="1860"/>
            <w:tcBorders>
              <w:top w:val="single" w:color="BFBFBF" w:sz="4"/>
              <w:left w:val="single" w:color="BFBFBF" w:sz="4"/>
              <w:bottom w:val="single" w:color="BFBFBF" w:sz="4"/>
              <w:right w:val="single" w:color="BFBFBF" w:sz="4"/>
            </w:tcBorders>
            <w:shd w:fill="D0E0E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Not Achievable at Documentation Stage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9.3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Management review</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05-Performance-Evaluation/ManagementReview_Procedure_Abionic_Inc.docx; 05-Performance-Evaluation/ISMS_Management_Review_Meeting_Agenda_Minutes_Abionic_Inc.xlsx (procedure and record template defined). Evidencing the requirement needs a management review meeting held with real inputs.</w:t>
            </w:r>
          </w:p>
        </w:tc>
        <w:tc>
          <w:tcPr>
            <w:tcW w:type="dxa" w:w="1860"/>
            <w:tcBorders>
              <w:top w:val="single" w:color="BFBFBF" w:sz="4"/>
              <w:left w:val="single" w:color="BFBFBF" w:sz="4"/>
              <w:bottom w:val="single" w:color="BFBFBF" w:sz="4"/>
              <w:right w:val="single" w:color="BFBFBF" w:sz="4"/>
            </w:tcBorders>
            <w:shd w:fill="D0E0E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Not Achievable at Documentation Stage</w:t>
            </w:r>
          </w:p>
        </w:tc>
      </w:tr>
      <w:tr>
        <w:tc>
          <w:tcPr>
            <w:tcW w:type="dxa" w:w="9360"/>
            <w:gridSpan w:val="4"/>
            <w:tcBorders>
              <w:top w:val="single" w:color="BFBFBF" w:sz="4"/>
              <w:left w:val="single" w:color="BFBFBF" w:sz="4"/>
              <w:bottom w:val="single" w:color="BFBFBF" w:sz="4"/>
              <w:right w:val="single" w:color="BFBFBF" w:sz="4"/>
            </w:tcBorders>
            <w:shd w:fill="BFD3E8" w:color="auto" w:val="clear"/>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10  Improvement</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10.1</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Continual improvement</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No document. Continual improvement is evidenced through the outputs of clause 9 and 10.2. With no audit conducted, no review held and no nonconformities raised, there is nothing yet to improve from.</w:t>
            </w:r>
          </w:p>
        </w:tc>
        <w:tc>
          <w:tcPr>
            <w:tcW w:type="dxa" w:w="1860"/>
            <w:tcBorders>
              <w:top w:val="single" w:color="BFBFBF" w:sz="4"/>
              <w:left w:val="single" w:color="BFBFBF" w:sz="4"/>
              <w:bottom w:val="single" w:color="BFBFBF" w:sz="4"/>
              <w:right w:val="single" w:color="BFBFBF" w:sz="4"/>
            </w:tcBorders>
            <w:shd w:fill="D0E0E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Not Achievable at Documentation Stage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10.2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Nonconformity and corrective action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06-Improvement/Abionic_ISMS_NonConformity_Log.xlsx (tracking mechanism created and correctly empty). Evidencing the requirement needs real nonconformities raised against an operating ISMS.</w:t>
            </w:r>
          </w:p>
        </w:tc>
        <w:tc>
          <w:tcPr>
            <w:tcW w:type="dxa" w:w="1860"/>
            <w:tcBorders>
              <w:top w:val="single" w:color="BFBFBF" w:sz="4"/>
              <w:left w:val="single" w:color="BFBFBF" w:sz="4"/>
              <w:bottom w:val="single" w:color="BFBFBF" w:sz="4"/>
              <w:right w:val="single" w:color="BFBFBF" w:sz="4"/>
            </w:tcBorders>
            <w:shd w:fill="D0E0E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Not Achievable at Documentation Stage</w:t>
            </w:r>
          </w:p>
        </w:tc>
      </w:tr>
      <w:tr>
        <w:tc>
          <w:tcPr>
            <w:tcW w:type="dxa" w:w="9360"/>
            <w:gridSpan w:val="4"/>
            <w:tcBorders>
              <w:top w:val="single" w:color="BFBFBF" w:sz="4"/>
              <w:left w:val="single" w:color="BFBFBF" w:sz="4"/>
              <w:bottom w:val="single" w:color="BFBFBF" w:sz="4"/>
              <w:right w:val="single" w:color="BFBFBF" w:sz="4"/>
            </w:tcBorders>
            <w:shd w:fill="BFD3E8" w:color="auto" w:val="clear"/>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Annex A  Selected Organizational &amp; Technological Controls</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Segregation of duties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04-Annex-A-Policies/AccessControl_Policy_Abionic_Inc.docx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A.5.9</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Inventory of information and other associated assets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04-Annex-A-Policies/AssetMgmt_DataClassification_Policy_Abionic_Inc.docx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A.5.10</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Acceptable use of information and other associated assets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04-Annex-A-Policies/AssetMgmt_DataClassification_Policy_Abionic_Inc.docx; 04-Annex-A-Policies/AcceptableUse_Policy_Abionic_Inc.docx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A.5.12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Classification of information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04-Annex-A-Policies/AssetMgmt_DataClassification_Policy_Abionic_Inc.docx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A.5.13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Labelling of information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04-Annex-A-Policies/AssetMgmt_DataClassification_Policy_Abionic_Inc.docx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A.5.15</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Access control</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04-Annex-A-Policies/AssetMgmt_DataClassification_Policy_Abionic_Inc.docx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A.5.16</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Identity management</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04-Annex-A-Policies/AccessControl_Policy_Abionic_Inc.docx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A.5.22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Monitoring, review and change management of supplier services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t>Out of scope per SoA ("no changes in the service delivery or information security practices of the supplier (AWS)"). Policy content exists in Supplier_VendorManagement_Policy_Abionic_Inc.docx, but the control is formally excluded.</w:t>
            </w:r>
          </w:p>
        </w:tc>
        <w:tc>
          <w:tcPr>
            <w:tcW w:type="dxa" w:w="1860"/>
            <w:tcBorders>
              <w:top w:val="single" w:color="BFBFBF" w:sz="4"/>
              <w:left w:val="single" w:color="BFBFBF" w:sz="4"/>
              <w:bottom w:val="single" w:color="BFBFBF" w:sz="4"/>
              <w:right w:val="single" w:color="BFBFBF" w:sz="4"/>
            </w:tcBorders>
            <w:shd w:fill="D9D2E9"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Out of Scope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A.5.24</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Information security incident management planning and preparation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04-Annex-A-Policies/IncidentManagement_Policy_Abionic_Inc.docx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A.5.25 – A.5.26</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Assessment and decision on information security events / Response to information security incidents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04-Annex-A-Policies/IncidentManagement_Policy_Abionic_Inc.docx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A.5.27</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Learning from information security incidents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04-Annex-A-Policies/IncidentManagement_Policy_Abionic_Inc.docx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A.5.28</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Collection of evidence</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04-Annex-A-Policies/IncidentManagement_Policy_Abionic_Inc.docx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A.5.29</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Information security during disruption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04-Annex-A-Policies/BusinessContinuity_DisasterRecovery_Policy_Abionic_Inc.docx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A.5.30</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ICT readiness for business continuity</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04-Annex-A-Policies/BusinessContinuity_DisasterRecovery_Policy_Abionic_Inc.docx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A.5.33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Protection of records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t>Out of scope per SoA ("the application doesn’t store records"). Retention and disposal content exists in DataRetention_Disposal_Policy_Abionic_Inc.docx, but the control is formally excluded.</w:t>
            </w:r>
          </w:p>
        </w:tc>
        <w:tc>
          <w:tcPr>
            <w:tcW w:type="dxa" w:w="1860"/>
            <w:tcBorders>
              <w:top w:val="single" w:color="BFBFBF" w:sz="4"/>
              <w:left w:val="single" w:color="BFBFBF" w:sz="4"/>
              <w:bottom w:val="single" w:color="BFBFBF" w:sz="4"/>
              <w:right w:val="single" w:color="BFBFBF" w:sz="4"/>
            </w:tcBorders>
            <w:shd w:fill="D9D2E9"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Out of Scope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A.6.3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Information security awareness, education and training</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04-Annex-A-Policies/Training_Awareness_Policy_Abionic_Inc.docx; 04-Annex-A-Policies/SecureDevelopment_Policy_SDLC_Abionic_Inc.docx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A.7.14</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Secure disposal or re-use of equipment</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t>Out of scope per SoA (all physical controls A.7.1–A.7.14 excluded; no owned facility). Some overlapping media-handling content exists in DataRetention_Disposal_Policy_Abionic_Inc.docx, but the control is formally excluded.</w:t>
            </w:r>
          </w:p>
        </w:tc>
        <w:tc>
          <w:tcPr>
            <w:tcW w:type="dxa" w:w="1860"/>
            <w:tcBorders>
              <w:top w:val="single" w:color="BFBFBF" w:sz="4"/>
              <w:left w:val="single" w:color="BFBFBF" w:sz="4"/>
              <w:bottom w:val="single" w:color="BFBFBF" w:sz="4"/>
              <w:right w:val="single" w:color="BFBFBF" w:sz="4"/>
            </w:tcBorders>
            <w:shd w:fill="D9D2E9"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Out of Scope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A.8.2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Privileged access rights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04-Annex-A-Policies/AssetMgmt_DataClassification_Policy_Abionic_Inc.docx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A.8.3</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Information access restriction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04-Annex-A-Policies/AssetMgmt_DataClassification_Policy_Abionic_Inc.docx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A.8.10</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Information deletion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04-Annex-A-Policies/AssetMgmt_DataClassification_Policy_Abionic_Inc.docx; 04-Annex-A-Policies/DataRetention_Disposal_Policy_Abionic_Inc.docx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A.8.11</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Data masking</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t>Out of scope per SoA. Media-handling content exists in AssetMgmt_DataClassification_Policy_Abionic_Inc.docx, but the control is formally excluded.</w:t>
            </w:r>
          </w:p>
        </w:tc>
        <w:tc>
          <w:tcPr>
            <w:tcW w:type="dxa" w:w="1860"/>
            <w:tcBorders>
              <w:top w:val="single" w:color="BFBFBF" w:sz="4"/>
              <w:left w:val="single" w:color="BFBFBF" w:sz="4"/>
              <w:bottom w:val="single" w:color="BFBFBF" w:sz="4"/>
              <w:right w:val="single" w:color="BFBFBF" w:sz="4"/>
            </w:tcBorders>
            <w:shd w:fill="D9D2E9"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Out of Scope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A.8.12</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Data leakage prevention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t>Out of scope per SoA ("the application doesn’t store confidential data"). Media-handling content exists in AssetMgmt_DataClassification_Policy_Abionic_Inc.docx, but the control is formally excluded.</w:t>
            </w:r>
          </w:p>
        </w:tc>
        <w:tc>
          <w:tcPr>
            <w:tcW w:type="dxa" w:w="1860"/>
            <w:tcBorders>
              <w:top w:val="single" w:color="BFBFBF" w:sz="4"/>
              <w:left w:val="single" w:color="BFBFBF" w:sz="4"/>
              <w:bottom w:val="single" w:color="BFBFBF" w:sz="4"/>
              <w:right w:val="single" w:color="BFBFBF" w:sz="4"/>
            </w:tcBorders>
            <w:shd w:fill="D9D2E9"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Out of Scope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A.8.15 – A.8.16</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Logging / Monitoring activities</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04-Annex-A-Policies/Monitoring_Logging_Policy_Abionic_Inc.docx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A.8.17</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Clock synchronisation</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04-Annex-A-Policies/Monitoring_Logging_Policy_Abionic_Inc.docx, Clock Synchronisation section (UTC standard, Amazon Time Sync Service and NTP reference, systems in scope, 5-second drift tolerance, provider-controlled timestamps).</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A.8.24</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Use of cryptography</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04-Annex-A-Policies/Cryptography_Policy_Abionic_Inc.docx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A.8.25</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Secure development life cycle</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04-Annex-A-Policies/SecureDevelopment_Policy_SDLC_Abionic_Inc.docx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bCs/>
                <w:color w:val="1f1f1f"/>
                <w:sz w:val="20"/>
                <w:szCs w:val="20"/>
              </w:rPr>
              <w:t xml:space="preserve">A.8.28</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Secure coding</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04-Annex-A-Policies/SecureDevelopment_Policy_SDLC_Abionic_Inc.docx</w:t>
            </w:r>
          </w:p>
        </w:tc>
        <w:tc>
          <w:tcPr>
            <w:tcW w:type="dxa" w:w="1860"/>
            <w:tcBorders>
              <w:top w:val="single" w:color="BFBFBF" w:sz="4"/>
              <w:left w:val="single" w:color="BFBFBF" w:sz="4"/>
              <w:bottom w:val="single" w:color="BFBFBF" w:sz="4"/>
              <w:right w:val="single" w:color="BFBFBF" w:sz="4"/>
            </w:tcBorders>
            <w:shd w:fill="D9EAD3" w:color="auto" w:val="clear"/>
            <w:tcMar>
              <w:top w:type="dxa" w:w="80"/>
              <w:left w:type="dxa" w:w="100"/>
              <w:bottom w:type="dxa" w:w="80"/>
              <w:right w:type="dxa" w:w="100"/>
            </w:tcMar>
          </w:tcPr>
          <w:p>
            <w:r>
              <w:rPr>
                <w:rFonts w:ascii="Times New Roman" w:cs="Times New Roman" w:eastAsia="Times New Roman" w:hAnsi="Times New Roman"/>
                <w:b w:val="false"/>
                <w:bCs w:val="false"/>
                <w:color w:val="1f1f1f"/>
                <w:sz w:val="20"/>
                <w:szCs w:val="20"/>
              </w:rPr>
              <w:t xml:space="preserve">Complete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Abionic Inc. - ISO/IEC 27001:2022 Clause-to-Evidence Map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Abionic Inc.</dc:creator>
  <cp:lastModifiedBy>Abionic Inc.</cp:lastModifiedBy>
  <cp:revision>1</cp:revision>
  <dcterms:created xsi:type="dcterms:W3CDTF">2026-08-30T19:49:03.629Z</dcterms:created>
  <dcterms:modified xsi:type="dcterms:W3CDTF">2026-08-30T19:49:03.645Z</dcterms:modified>
</cp:coreProperties>
</file>

<file path=docProps/custom.xml><?xml version="1.0" encoding="utf-8"?>
<Properties xmlns="http://schemas.openxmlformats.org/officeDocument/2006/custom-properties" xmlns:vt="http://schemas.openxmlformats.org/officeDocument/2006/docPropsVTypes"/>
</file>