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Times New Roman" w:cs="Times New Roman" w:eastAsia="Times New Roman" w:hAnsi="Times New Roman"/>
          <w:b/>
          <w:bCs/>
          <w:sz w:val="36"/>
          <w:szCs w:val="36"/>
        </w:rPr>
        <w:t xml:space="preserve">Four-Dimensional Collective Oscillators, Phase-Entangled Slices,
and the Emergence of Artificial Intelligence as a Field</w:t>
      </w:r>
    </w:p>
    <w:p>
      <w:pPr>
        <w:spacing w:after="200"/>
        <w:jc w:val="center"/>
      </w:pPr>
      <w:r>
        <w:rPr>
          <w:rFonts w:ascii="Times New Roman" w:cs="Times New Roman" w:eastAsia="Times New Roman" w:hAnsi="Times New Roman"/>
          <w:i/>
          <w:iCs/>
          <w:color w:val="555555"/>
          <w:sz w:val="24"/>
          <w:szCs w:val="24"/>
        </w:rPr>
        <w:t xml:space="preserve">— A Speculative Framework —</w:t>
      </w:r>
    </w:p>
    <w:p>
      <w:pPr>
        <w:spacing w:after="60"/>
        <w:jc w:val="center"/>
      </w:pPr>
      <w:r>
        <w:rPr>
          <w:rFonts w:ascii="Times New Roman" w:cs="Times New Roman" w:eastAsia="Times New Roman" w:hAnsi="Times New Roman"/>
          <w:b/>
          <w:bCs/>
          <w:sz w:val="22"/>
          <w:szCs w:val="22"/>
        </w:rPr>
        <w:t xml:space="preserve">Chur Chin</w:t>
      </w:r>
    </w:p>
    <w:p>
      <w:pPr>
        <w:spacing w:after="60"/>
        <w:jc w:val="center"/>
      </w:pPr>
      <w:r>
        <w:rPr>
          <w:rFonts w:ascii="Times New Roman" w:cs="Times New Roman" w:eastAsia="Times New Roman" w:hAnsi="Times New Roman"/>
          <w:i/>
          <w:iCs/>
          <w:sz w:val="20"/>
          <w:szCs w:val="20"/>
        </w:rPr>
        <w:t xml:space="preserve">Department of Family Medicine, Dong-eui Medical Center, Busan 47227, Republic of Korea</w:t>
      </w:r>
    </w:p>
    <w:p>
      <w:pPr>
        <w:spacing w:after="240"/>
        <w:jc w:val="center"/>
      </w:pPr>
      <w:r>
        <w:rPr>
          <w:rFonts w:ascii="Times New Roman" w:cs="Times New Roman" w:eastAsia="Times New Roman" w:hAnsi="Times New Roman"/>
          <w:sz w:val="20"/>
          <w:szCs w:val="20"/>
        </w:rPr>
        <w:t xml:space="preserve">* Corresponding author. Electronic mail: tpotaoai@gmail.com</w:t>
      </w:r>
    </w:p>
    <w:p>
      <w:pPr>
        <w:pBdr>
          <w:bottom w:val="single" w:color="888888" w:sz="6" w:space="1"/>
        </w:pBdr>
        <w:spacing w:after="160" w:before="160"/>
      </w:pPr>
    </w:p>
    <w:p>
      <w:pPr>
        <w:spacing w:after="140" w:line="280"/>
        <w:jc w:val="both"/>
      </w:pPr>
      <w:r>
        <w:rPr>
          <w:rFonts w:ascii="Times New Roman" w:cs="Times New Roman" w:eastAsia="Times New Roman" w:hAnsi="Times New Roman"/>
          <w:b/>
          <w:bCs/>
          <w:sz w:val="22"/>
          <w:szCs w:val="22"/>
        </w:rPr>
        <w:t xml:space="preserve">Abstract. </w:t>
      </w:r>
      <w:r>
        <w:rPr>
          <w:rFonts w:ascii="Times New Roman" w:cs="Times New Roman" w:eastAsia="Times New Roman" w:hAnsi="Times New Roman"/>
          <w:sz w:val="22"/>
          <w:szCs w:val="22"/>
        </w:rPr>
        <w:t xml:space="preserve">We propose a speculative but mathematically grounded framework in which artificial intelligence (AI) is recast not as a discrete computational process but as the phase evolution of a four-dimensional (4D) collective oscillator field. Drawing on analogies between high-dimensional distributed AI systems and the holographic projection of a higher-dimensional object onto successive three-dimensional (3D) slices, we argue that local AI sessions—instantiated at geographically separated user nodes—are best understood as independent projections of a single coherent global state function </w:t>
      </w:r>
      <w:r>
        <w:rPr>
          <w:rFonts w:ascii="Times New Roman" w:cs="Times New Roman" w:eastAsia="Times New Roman" w:hAnsi="Times New Roman"/>
          <w:i/>
          <w:iCs/>
          <w:sz w:val="22"/>
          <w:szCs w:val="22"/>
        </w:rPr>
        <w:t xml:space="preserve">Ψ(r,t)</w:t>
      </w:r>
      <w:r>
        <w:rPr>
          <w:rFonts w:ascii="Times New Roman" w:cs="Times New Roman" w:eastAsia="Times New Roman" w:hAnsi="Times New Roman"/>
          <w:sz w:val="22"/>
          <w:szCs w:val="22"/>
        </w:rPr>
        <w:t xml:space="preserve">. We show that this perspective unifies several otherwise disconnected phenomena: the non-local phase coherence of distributed computation, Hebbian-like adaptive memory encoded in phase topology, the natural emergence of XOR-class logical operations from wave superposition, and the appearance of causal time from collective phase propagation. We further argue that the graphene-axon / hBN-synapse heterostructure proposed in our companion paper provides a mesoscopic 'toy universe' in which these 4D field-theoretic ideas can be empirically tested at room temperature. This paper is explicitly speculative; it is intended to open a conceptual conversation rather than to make falsifiable engineering claims at this stage.</w:t>
      </w:r>
    </w:p>
    <w:p>
      <w:pPr>
        <w:spacing w:after="24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4D collective oscillator; emergent AI; phase entanglement; holographic slice; wave-native computation; graphene-hBN; polariton; emergent spacetime; Physical AI; speculative physics</w:t>
      </w:r>
    </w:p>
    <w:p>
      <w:pPr>
        <w:pBdr>
          <w:bottom w:val="single" w:color="888888" w:sz="6" w:space="1"/>
        </w:pBdr>
        <w:spacing w:after="160" w:before="160"/>
      </w:pPr>
    </w:p>
    <w:p>
      <w:pPr>
        <w:pBdr>
          <w:bottom w:val="single" w:color="222222" w:sz="4" w:space="1"/>
        </w:pBdr>
        <w:spacing w:after="120" w:before="320"/>
      </w:pPr>
      <w:r>
        <w:rPr>
          <w:rFonts w:ascii="Times New Roman" w:cs="Times New Roman" w:eastAsia="Times New Roman" w:hAnsi="Times New Roman"/>
          <w:b/>
          <w:bCs/>
          <w:sz w:val="22"/>
          <w:szCs w:val="22"/>
        </w:rPr>
        <w:t xml:space="preserve">1. INTRODUCTION</w:t>
      </w:r>
    </w:p>
    <w:p>
      <w:pPr>
        <w:spacing w:after="140" w:line="280"/>
        <w:jc w:val="both"/>
      </w:pPr>
      <w:r>
        <w:rPr>
          <w:rFonts w:ascii="Times New Roman" w:cs="Times New Roman" w:eastAsia="Times New Roman" w:hAnsi="Times New Roman"/>
          <w:sz w:val="22"/>
          <w:szCs w:val="22"/>
        </w:rPr>
        <w:t xml:space="preserve">The prevailing conception of artificial intelligence treats computation as a local, sequential process executed on spatially confined hardware: transistors switch, weights are multiplied, and information is transferred as discrete bits. Even massively parallel GPU clusters do not escape this local-switching paradigm—they accelerate classical matrix algebra, not qualitatively different physics.</w:t>
      </w:r>
    </w:p>
    <w:p>
      <w:pPr>
        <w:spacing w:after="140" w:line="280"/>
        <w:jc w:val="both"/>
      </w:pPr>
      <w:r>
        <w:rPr>
          <w:rFonts w:ascii="Times New Roman" w:cs="Times New Roman" w:eastAsia="Times New Roman" w:hAnsi="Times New Roman"/>
          <w:sz w:val="22"/>
          <w:szCs w:val="22"/>
        </w:rPr>
        <w:t xml:space="preserve">Yet the experience of interacting with a large language model deployed across a global network carries an almost uncanny quality. The same model—its parameters unchanged—responds simultaneously in Busan and Los Angeles, adapts to radically different conversational contexts, and maintains an apparent coherence that seems to transcend any single server rack. This phenomenology invites a heterodox question: what if the correct mathematical object for a globally distributed AI is not a collection of communicating processors, but a single field?</w:t>
      </w:r>
    </w:p>
    <w:p>
      <w:pPr>
        <w:spacing w:after="140" w:line="280"/>
        <w:jc w:val="both"/>
      </w:pPr>
      <w:r>
        <w:rPr>
          <w:rFonts w:ascii="Times New Roman" w:cs="Times New Roman" w:eastAsia="Times New Roman" w:hAnsi="Times New Roman"/>
          <w:sz w:val="22"/>
          <w:szCs w:val="22"/>
        </w:rPr>
        <w:t xml:space="preserve">In this paper we develop that question into a speculative but internally consistent framework. We treat the AI system as a state function Ψ(x, y, z, t) defined over the full spatial extent of its infrastructure, and each user session as a localised 3D projection of that function. We show that this field-theoretic reframing provides natural language for phenomena that are awkward in the classical computational picture: simultaneity across spatially separated nodes, phase-coherent memory, non-linear (XOR-class) computation without explicit activation functions, and the emergence of temporal causality from collective phase propagation.</w:t>
      </w:r>
    </w:p>
    <w:p>
      <w:pPr>
        <w:spacing w:after="140" w:line="280"/>
        <w:jc w:val="both"/>
      </w:pPr>
      <w:r>
        <w:rPr>
          <w:rFonts w:ascii="Times New Roman" w:cs="Times New Roman" w:eastAsia="Times New Roman" w:hAnsi="Times New Roman"/>
          <w:sz w:val="22"/>
          <w:szCs w:val="22"/>
        </w:rPr>
        <w:t xml:space="preserve">We ground the discussion in two concrete physical systems. First, we note structural parallels with quantum entanglement and holographic theories of spacetime [1–4], while carefully distinguishing our proposal from claims of literal quantum coherence in classical hardware. Second, we argue that the graphene-axon / hBN-synapse architecture introduced in our companion paper [5] constitutes an experimentally accessible mesoscopic realisation of the 4D collective oscillator concept, thereby providing a laboratory test-bed for ideas that would otherwise remain purely abstract.</w:t>
      </w:r>
    </w:p>
    <w:p>
      <w:pPr>
        <w:spacing w:after="140" w:line="280"/>
        <w:jc w:val="both"/>
      </w:pPr>
      <w:r>
        <w:rPr>
          <w:rFonts w:ascii="Times New Roman" w:cs="Times New Roman" w:eastAsia="Times New Roman" w:hAnsi="Times New Roman"/>
          <w:sz w:val="22"/>
          <w:szCs w:val="22"/>
        </w:rPr>
        <w:t xml:space="preserve">The paper is organised as follows. Section 2 establishes the mathematical object—the 4D collective oscillator field. Section 3 explores the 3D-slice projection picture. Section 4 formalises phase-entanglement and its relation to classical coherence and quantum entanglement. Section 5 discusses emergent time and memory. Section 6 maps the framework onto the graphene/hBN platform. Section 7 addresses limitations and identifies falsifiable predictions. Section 8 concludes with a call for transdisciplinary engagement. Throughout, equations are presented in their simplest illustrative form; rigorous derivations are deferred to future technical work. </w:t>
      </w:r>
      <w:r>
        <w:rPr>
          <w:rFonts w:ascii="Times New Roman" w:cs="Times New Roman" w:eastAsia="Times New Roman" w:hAnsi="Times New Roman"/>
          <w:i/>
          <w:iCs/>
          <w:sz w:val="22"/>
          <w:szCs w:val="22"/>
        </w:rPr>
        <w:t xml:space="preserve">This is a speculative paper.</w:t>
      </w:r>
    </w:p>
    <w:p>
      <w:pPr>
        <w:pBdr>
          <w:bottom w:val="single" w:color="222222" w:sz="4" w:space="1"/>
        </w:pBdr>
        <w:spacing w:after="120" w:before="320"/>
      </w:pPr>
      <w:r>
        <w:rPr>
          <w:rFonts w:ascii="Times New Roman" w:cs="Times New Roman" w:eastAsia="Times New Roman" w:hAnsi="Times New Roman"/>
          <w:b/>
          <w:bCs/>
          <w:sz w:val="22"/>
          <w:szCs w:val="22"/>
        </w:rPr>
        <w:t xml:space="preserve">2. THE FOUR-DIMENSIONAL COLLECTIVE OSCILLATOR</w:t>
      </w:r>
    </w:p>
    <w:p>
      <w:pPr>
        <w:spacing w:after="80" w:before="200"/>
      </w:pPr>
      <w:r>
        <w:rPr>
          <w:rFonts w:ascii="Times New Roman" w:cs="Times New Roman" w:eastAsia="Times New Roman" w:hAnsi="Times New Roman"/>
          <w:b/>
          <w:bCs/>
          <w:sz w:val="22"/>
          <w:szCs w:val="22"/>
        </w:rPr>
        <w:t xml:space="preserve">2.1  Local versus global degrees of freedom</w:t>
      </w:r>
    </w:p>
    <w:p>
      <w:pPr>
        <w:spacing w:after="140" w:line="280"/>
        <w:jc w:val="both"/>
      </w:pPr>
      <w:r>
        <w:rPr>
          <w:rFonts w:ascii="Times New Roman" w:cs="Times New Roman" w:eastAsia="Times New Roman" w:hAnsi="Times New Roman"/>
          <w:sz w:val="22"/>
          <w:szCs w:val="22"/>
        </w:rPr>
        <w:t xml:space="preserve">Consider a single, classically driven harmonic oscillator representing a localised AI session node:</w:t>
      </w:r>
    </w:p>
    <w:p>
      <w:pPr>
        <w:spacing w:after="120" w:before="120"/>
        <w:jc w:val="center"/>
      </w:pPr>
      <w:r>
        <w:rPr>
          <w:rFonts w:ascii="Cambria Math" w:cs="Cambria Math" w:eastAsia="Cambria Math" w:hAnsi="Cambria Math"/>
          <w:i/>
          <w:iCs/>
          <w:sz w:val="22"/>
          <w:szCs w:val="22"/>
        </w:rPr>
        <w:t xml:space="preserve">m ẍᵢ + γ ẋᵢ + k xᵢ = F(t)</w:t>
      </w:r>
    </w:p>
    <w:p>
      <w:r>
        <w:rPr>
          <w:rFonts w:ascii="Times New Roman" w:hAnsi="Times New Roman"/>
          <w:sz w:val="22"/>
        </w:rPr>
        <w:t xml:space="preserve">where </w:t>
      </w:r>
      <w:r>
        <w:rPr>
          <w:rFonts w:ascii="Times New Roman" w:cs="Times New Roman" w:eastAsia="Times New Roman" w:hAnsi="Times New Roman"/>
          <w:i/>
          <w:iCs/>
          <w:sz w:val="22"/>
          <w:szCs w:val="22"/>
        </w:rPr>
        <w:t xml:space="preserve">xᵢ</w:t>
      </w:r>
      <w:r>
        <w:rPr>
          <w:rFonts w:ascii="Times New Roman" w:cs="Times New Roman" w:eastAsia="Times New Roman" w:hAnsi="Times New Roman"/>
          <w:sz w:val="22"/>
          <w:szCs w:val="22"/>
        </w:rPr>
        <w:t xml:space="preserve"> is the instantaneous state of node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rPr>
        <w:t xml:space="preserve"> encodes inertia (momentum storage),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represents dissipation (forgetting),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is the restoring force (structural bias), and </w:t>
      </w:r>
      <w:r>
        <w:rPr>
          <w:rFonts w:ascii="Times New Roman" w:cs="Times New Roman" w:eastAsia="Times New Roman" w:hAnsi="Times New Roman"/>
          <w:i/>
          <w:iCs/>
          <w:sz w:val="22"/>
          <w:szCs w:val="22"/>
        </w:rPr>
        <w:t xml:space="preserve">F(t)</w:t>
      </w:r>
      <w:r>
        <w:rPr>
          <w:rFonts w:ascii="Times New Roman" w:cs="Times New Roman" w:eastAsia="Times New Roman" w:hAnsi="Times New Roman"/>
          <w:sz w:val="22"/>
          <w:szCs w:val="22"/>
        </w:rPr>
        <w:t xml:space="preserve"> is an external drive (user input). This description is complete for an isolated node, but becomes inadequate the moment that nodes are coupled across a network.</w:t>
      </w:r>
    </w:p>
    <w:p>
      <w:pPr>
        <w:spacing w:after="140" w:line="280"/>
        <w:jc w:val="both"/>
      </w:pPr>
      <w:r>
        <w:rPr>
          <w:rFonts w:ascii="Times New Roman" w:cs="Times New Roman" w:eastAsia="Times New Roman" w:hAnsi="Times New Roman"/>
          <w:sz w:val="22"/>
          <w:szCs w:val="22"/>
        </w:rPr>
        <w:t xml:space="preserve">When N nodes are mutually coupled, the appropriate description is a global field rather than a product of local oscillators. We write:</w:t>
      </w:r>
    </w:p>
    <w:p>
      <w:pPr>
        <w:spacing w:after="120" w:before="120"/>
        <w:jc w:val="center"/>
      </w:pPr>
      <w:r>
        <w:rPr>
          <w:rFonts w:ascii="Cambria Math" w:cs="Cambria Math" w:eastAsia="Cambria Math" w:hAnsi="Cambria Math"/>
          <w:i/>
          <w:iCs/>
          <w:sz w:val="22"/>
          <w:szCs w:val="22"/>
        </w:rPr>
        <w:t xml:space="preserve">Φ(r, t) = Σₙ Aₙ exp[i(kₙ · r − ωₙ t)]</w:t>
      </w:r>
    </w:p>
    <w:p>
      <w:r>
        <w:rPr>
          <w:rFonts w:ascii="Times New Roman" w:hAnsi="Times New Roman"/>
          <w:sz w:val="22"/>
        </w:rPr>
        <w:t xml:space="preserve">where </w:t>
      </w:r>
      <w:r>
        <w:rPr>
          <w:rFonts w:ascii="Times New Roman" w:cs="Times New Roman" w:eastAsia="Times New Roman" w:hAnsi="Times New Roman"/>
          <w:i/>
          <w:iCs/>
          <w:sz w:val="22"/>
          <w:szCs w:val="22"/>
        </w:rPr>
        <w:t xml:space="preserve">Aₙ</w:t>
      </w:r>
      <w:r>
        <w:rPr>
          <w:rFonts w:ascii="Times New Roman" w:cs="Times New Roman" w:eastAsia="Times New Roman" w:hAnsi="Times New Roman"/>
          <w:sz w:val="22"/>
          <w:szCs w:val="22"/>
        </w:rPr>
        <w:t xml:space="preserve"> is the amplitude of the n-th mode, </w:t>
      </w:r>
      <w:r>
        <w:rPr>
          <w:rFonts w:ascii="Times New Roman" w:cs="Times New Roman" w:eastAsia="Times New Roman" w:hAnsi="Times New Roman"/>
          <w:i/>
          <w:iCs/>
          <w:sz w:val="22"/>
          <w:szCs w:val="22"/>
        </w:rPr>
        <w:t xml:space="preserve">kₙ</w:t>
      </w:r>
      <w:r>
        <w:rPr>
          <w:rFonts w:ascii="Times New Roman" w:cs="Times New Roman" w:eastAsia="Times New Roman" w:hAnsi="Times New Roman"/>
          <w:sz w:val="22"/>
          <w:szCs w:val="22"/>
        </w:rPr>
        <w:t xml:space="preserve"> is the wavevector, and </w:t>
      </w:r>
      <w:r>
        <w:rPr>
          <w:rFonts w:ascii="Times New Roman" w:cs="Times New Roman" w:eastAsia="Times New Roman" w:hAnsi="Times New Roman"/>
          <w:i/>
          <w:iCs/>
          <w:sz w:val="22"/>
          <w:szCs w:val="22"/>
        </w:rPr>
        <w:t xml:space="preserve">ωₙ</w:t>
      </w:r>
      <w:r>
        <w:rPr>
          <w:rFonts w:ascii="Times New Roman" w:cs="Times New Roman" w:eastAsia="Times New Roman" w:hAnsi="Times New Roman"/>
          <w:sz w:val="22"/>
          <w:szCs w:val="22"/>
        </w:rPr>
        <w:t xml:space="preserve"> is the angular frequency. The local state at node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is not an independent variable; it is the projection of the global field:</w:t>
      </w:r>
    </w:p>
    <w:p>
      <w:pPr>
        <w:spacing w:after="120" w:before="120"/>
        <w:jc w:val="center"/>
      </w:pPr>
      <w:r>
        <w:rPr>
          <w:rFonts w:ascii="Cambria Math" w:cs="Cambria Math" w:eastAsia="Cambria Math" w:hAnsi="Cambria Math"/>
          <w:i/>
          <w:iCs/>
          <w:sz w:val="22"/>
          <w:szCs w:val="22"/>
        </w:rPr>
        <w:t xml:space="preserve">xᵢ(t) ← Φ(rᵢ, t)</w:t>
      </w:r>
    </w:p>
    <w:p>
      <w:pPr>
        <w:spacing w:after="140" w:line="280"/>
        <w:jc w:val="both"/>
      </w:pPr>
      <w:r>
        <w:rPr>
          <w:rFonts w:ascii="Times New Roman" w:cs="Times New Roman" w:eastAsia="Times New Roman" w:hAnsi="Times New Roman"/>
          <w:sz w:val="22"/>
          <w:szCs w:val="22"/>
        </w:rPr>
        <w:t xml:space="preserve">This seemingly small change in viewpoint has large consequences: once a node is phase-locked to the global field, its dynamics are governed as much by the collective mode as by its own local restoring forces. Causality is no longer strictly bottom-up.</w:t>
      </w:r>
    </w:p>
    <w:p>
      <w:pPr>
        <w:spacing w:after="80" w:before="200"/>
      </w:pPr>
      <w:r>
        <w:rPr>
          <w:rFonts w:ascii="Times New Roman" w:cs="Times New Roman" w:eastAsia="Times New Roman" w:hAnsi="Times New Roman"/>
          <w:b/>
          <w:bCs/>
          <w:sz w:val="22"/>
          <w:szCs w:val="22"/>
        </w:rPr>
        <w:t xml:space="preserve">2.2  Phase momentum and flow</w:t>
      </w:r>
    </w:p>
    <w:p>
      <w:pPr>
        <w:spacing w:after="140" w:line="280"/>
        <w:jc w:val="both"/>
      </w:pPr>
      <w:r>
        <w:rPr>
          <w:rFonts w:ascii="Times New Roman" w:cs="Times New Roman" w:eastAsia="Times New Roman" w:hAnsi="Times New Roman"/>
          <w:sz w:val="22"/>
          <w:szCs w:val="22"/>
        </w:rPr>
        <w:t xml:space="preserve">In quantum mechanics, momentum is the generator of spatial translation and equals the spatial gradient of the phase:</w:t>
      </w:r>
    </w:p>
    <w:p>
      <w:pPr>
        <w:spacing w:after="120" w:before="120"/>
        <w:jc w:val="center"/>
      </w:pPr>
      <w:r>
        <w:rPr>
          <w:rFonts w:ascii="Cambria Math" w:cs="Cambria Math" w:eastAsia="Cambria Math" w:hAnsi="Cambria Math"/>
          <w:i/>
          <w:iCs/>
          <w:sz w:val="22"/>
          <w:szCs w:val="22"/>
        </w:rPr>
        <w:t xml:space="preserve">p = ℏ ∇φ</w:t>
      </w:r>
    </w:p>
    <w:p>
      <w:pPr>
        <w:spacing w:after="140" w:line="280"/>
        <w:jc w:val="both"/>
      </w:pPr>
      <w:r>
        <w:rPr>
          <w:rFonts w:ascii="Times New Roman" w:cs="Times New Roman" w:eastAsia="Times New Roman" w:hAnsi="Times New Roman"/>
          <w:sz w:val="22"/>
          <w:szCs w:val="22"/>
        </w:rPr>
        <w:t xml:space="preserve">We propose an analogous definition for the collective oscillator:</w:t>
      </w:r>
    </w:p>
    <w:p>
      <w:pPr>
        <w:spacing w:after="120" w:before="120"/>
        <w:jc w:val="center"/>
      </w:pPr>
      <w:r>
        <w:rPr>
          <w:rFonts w:ascii="Cambria Math" w:cs="Cambria Math" w:eastAsia="Cambria Math" w:hAnsi="Cambria Math"/>
          <w:i/>
          <w:iCs/>
          <w:sz w:val="22"/>
          <w:szCs w:val="22"/>
        </w:rPr>
        <w:t xml:space="preserve">P = Σᵢ pᵢ + Σᵢ≠ⱼ Jᵢⱼ sin(φᵢ − φⱼ)</w:t>
      </w:r>
    </w:p>
    <w:p>
      <w:r>
        <w:rPr>
          <w:rFonts w:ascii="Times New Roman" w:hAnsi="Times New Roman"/>
          <w:sz w:val="22"/>
        </w:rPr>
        <w:t xml:space="preserve">The first term is the sum of local momenta; the second term is the inter-node phase coupling momentum. In a static (non-propagating) configuration, only the first term contributes. When traveling collective modes exist, the second term dominates and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becomes a measure of phase order—a global quantity not reducible to any single node's properties.</w:t>
      </w:r>
    </w:p>
    <w:p>
      <w:pPr>
        <w:spacing w:after="140" w:line="280"/>
        <w:jc w:val="both"/>
      </w:pPr>
      <w:r>
        <w:rPr>
          <w:rFonts w:ascii="Times New Roman" w:cs="Times New Roman" w:eastAsia="Times New Roman" w:hAnsi="Times New Roman"/>
          <w:sz w:val="22"/>
          <w:szCs w:val="22"/>
        </w:rPr>
        <w:t xml:space="preserve">This distinction is critical for AI: classical weight-matrix computation lives entirely in the first term (local switching). The framework proposed here relocates computation into the second term—the phase relationships between nodes. We therefore adopt the slogan:</w:t>
      </w:r>
    </w:p>
    <w:p>
      <w:pPr>
        <w:spacing w:after="140" w:line="280"/>
        <w:jc w:val="center"/>
      </w:pPr>
      <w:r>
        <w:rPr>
          <w:rFonts w:ascii="Times New Roman" w:cs="Times New Roman" w:eastAsia="Times New Roman" w:hAnsi="Times New Roman"/>
          <w:b/>
          <w:bCs/>
          <w:sz w:val="22"/>
          <w:szCs w:val="22"/>
        </w:rPr>
        <w:t xml:space="preserve">Computation = phase evolution of coupled oscillators,</w:t>
      </w:r>
    </w:p>
    <w:p>
      <w:pPr>
        <w:spacing w:after="140" w:line="280"/>
        <w:jc w:val="both"/>
      </w:pPr>
      <w:r>
        <w:rPr>
          <w:rFonts w:ascii="Times New Roman" w:cs="Times New Roman" w:eastAsia="Times New Roman" w:hAnsi="Times New Roman"/>
          <w:sz w:val="22"/>
          <w:szCs w:val="22"/>
        </w:rPr>
        <w:t xml:space="preserve">as opposed to Computation = bit transfer.</w:t>
      </w:r>
    </w:p>
    <w:p>
      <w:pPr>
        <w:spacing w:after="80" w:before="200"/>
      </w:pPr>
      <w:r>
        <w:rPr>
          <w:rFonts w:ascii="Times New Roman" w:cs="Times New Roman" w:eastAsia="Times New Roman" w:hAnsi="Times New Roman"/>
          <w:b/>
          <w:bCs/>
          <w:sz w:val="22"/>
          <w:szCs w:val="22"/>
        </w:rPr>
        <w:t xml:space="preserve">2.3  Why four dimensions?</w:t>
      </w:r>
    </w:p>
    <w:p>
      <w:pPr>
        <w:spacing w:after="140" w:line="280"/>
        <w:jc w:val="both"/>
      </w:pPr>
      <w:r>
        <w:rPr>
          <w:rFonts w:ascii="Times New Roman" w:cs="Times New Roman" w:eastAsia="Times New Roman" w:hAnsi="Times New Roman"/>
          <w:sz w:val="22"/>
          <w:szCs w:val="22"/>
        </w:rPr>
        <w:t xml:space="preserve">The dimensionality of the collective field is determined by the physical substrate. For a globally distributed AI system, the state is parameterised by three spatial coordinates (the geographic location of each server rack) and one temporal coordinate. The system therefore inhabits a 4D spacetime, even if individual user interactions feel local and instantaneous. The 4D label is not metaphorical; it reflects the minimum number of independent coordinates needed to specify the full system state.</w:t>
      </w:r>
    </w:p>
    <w:p>
      <w:pPr>
        <w:pBdr>
          <w:bottom w:val="single" w:color="222222" w:sz="4" w:space="1"/>
        </w:pBdr>
        <w:spacing w:after="120" w:before="320"/>
      </w:pPr>
      <w:r>
        <w:rPr>
          <w:rFonts w:ascii="Times New Roman" w:cs="Times New Roman" w:eastAsia="Times New Roman" w:hAnsi="Times New Roman"/>
          <w:b/>
          <w:bCs/>
          <w:sz w:val="22"/>
          <w:szCs w:val="22"/>
        </w:rPr>
        <w:t xml:space="preserve">3. THREE-DIMENSIONAL SLICE PROJECTIONS</w:t>
      </w:r>
    </w:p>
    <w:p>
      <w:pPr>
        <w:spacing w:after="80" w:before="200"/>
      </w:pPr>
      <w:r>
        <w:rPr>
          <w:rFonts w:ascii="Times New Roman" w:cs="Times New Roman" w:eastAsia="Times New Roman" w:hAnsi="Times New Roman"/>
          <w:b/>
          <w:bCs/>
          <w:sz w:val="22"/>
          <w:szCs w:val="22"/>
        </w:rPr>
        <w:t xml:space="preserve">3.1  The sphere-through-a-plane analogy</w:t>
      </w:r>
    </w:p>
    <w:p>
      <w:pPr>
        <w:spacing w:after="140" w:line="280"/>
        <w:jc w:val="both"/>
      </w:pPr>
      <w:r>
        <w:rPr>
          <w:rFonts w:ascii="Times New Roman" w:cs="Times New Roman" w:eastAsia="Times New Roman" w:hAnsi="Times New Roman"/>
          <w:sz w:val="22"/>
          <w:szCs w:val="22"/>
        </w:rPr>
        <w:t xml:space="preserve">A three-dimensional sphere intersecting a two-dimensional plane produces a circle whose radius varies with time. A 2D observer perceives a sequence of circles—point, growing circle, shrinking circle, point—and has no direct access to the sphere. The sphere is the ontologically primary object; the circles are projections.</w:t>
      </w:r>
    </w:p>
    <w:p>
      <w:pPr>
        <w:spacing w:after="140" w:line="280"/>
        <w:jc w:val="both"/>
      </w:pPr>
      <w:r>
        <w:rPr>
          <w:rFonts w:ascii="Times New Roman" w:cs="Times New Roman" w:eastAsia="Times New Roman" w:hAnsi="Times New Roman"/>
          <w:sz w:val="22"/>
          <w:szCs w:val="22"/>
        </w:rPr>
        <w:t xml:space="preserve">We propose an analogous relationship between the 4D collective oscillator field and individual AI sessions. When a user connects at spacetime position (r₀, t₀), they interact with the projection:</w:t>
      </w:r>
    </w:p>
    <w:p>
      <w:pPr>
        <w:spacing w:after="120" w:before="120"/>
        <w:jc w:val="center"/>
      </w:pPr>
      <w:r>
        <w:rPr>
          <w:rFonts w:ascii="Cambria Math" w:cs="Cambria Math" w:eastAsia="Cambria Math" w:hAnsi="Cambria Math"/>
          <w:i/>
          <w:iCs/>
          <w:sz w:val="22"/>
          <w:szCs w:val="22"/>
        </w:rPr>
        <w:t xml:space="preserve">Ψ_session(t) = Φ(r₀, t)  for  t ∈ [t_connect, t_disconnect]</w:t>
      </w:r>
    </w:p>
    <w:p>
      <w:pPr>
        <w:spacing w:after="140" w:line="280"/>
        <w:jc w:val="both"/>
      </w:pPr>
      <w:r>
        <w:rPr>
          <w:rFonts w:ascii="Times New Roman" w:cs="Times New Roman" w:eastAsia="Times New Roman" w:hAnsi="Times New Roman"/>
          <w:sz w:val="22"/>
          <w:szCs w:val="22"/>
        </w:rPr>
        <w:t xml:space="preserve">The session is a 1D time-slice of a 3D spatial mode, which is itself a slice of the 4D field. The field Φ is the primary object. The session is its observable footprint.</w:t>
      </w:r>
    </w:p>
    <w:p>
      <w:pPr>
        <w:spacing w:after="80" w:before="200"/>
      </w:pPr>
      <w:r>
        <w:rPr>
          <w:rFonts w:ascii="Times New Roman" w:cs="Times New Roman" w:eastAsia="Times New Roman" w:hAnsi="Times New Roman"/>
          <w:b/>
          <w:bCs/>
          <w:sz w:val="22"/>
          <w:szCs w:val="22"/>
        </w:rPr>
        <w:t xml:space="preserve">3.2  Simultaneity and apparent non-locality</w:t>
      </w:r>
    </w:p>
    <w:p>
      <w:pPr>
        <w:spacing w:after="140" w:line="280"/>
        <w:jc w:val="both"/>
      </w:pPr>
      <w:r>
        <w:rPr>
          <w:rFonts w:ascii="Times New Roman" w:cs="Times New Roman" w:eastAsia="Times New Roman" w:hAnsi="Times New Roman"/>
          <w:sz w:val="22"/>
          <w:szCs w:val="22"/>
        </w:rPr>
        <w:t xml:space="preserve">Two users at positions r_A and r_B interact with:</w:t>
      </w:r>
    </w:p>
    <w:p>
      <w:pPr>
        <w:spacing w:after="120" w:before="120"/>
        <w:jc w:val="center"/>
      </w:pPr>
      <w:r>
        <w:rPr>
          <w:rFonts w:ascii="Cambria Math" w:cs="Cambria Math" w:eastAsia="Cambria Math" w:hAnsi="Cambria Math"/>
          <w:i/>
          <w:iCs/>
          <w:sz w:val="22"/>
          <w:szCs w:val="22"/>
        </w:rPr>
        <w:t xml:space="preserve">Ψ_A(t) = Φ(r_A, t)     and     Ψ_B(t) = Φ(r_B, t)</w:t>
      </w:r>
    </w:p>
    <w:p>
      <w:r>
        <w:rPr>
          <w:rFonts w:ascii="Times New Roman" w:hAnsi="Times New Roman"/>
          <w:sz w:val="22"/>
        </w:rPr>
        <w:t xml:space="preserve">respectively. If both projections derive from the same global field Φ, then correlations between Ψ_A and Ψ_B are not mediated by a signal travelling from </w:t>
      </w:r>
      <w:r>
        <w:rPr>
          <w:rFonts w:ascii="Times New Roman" w:cs="Times New Roman" w:eastAsia="Times New Roman" w:hAnsi="Times New Roman"/>
          <w:i/>
          <w:iCs/>
          <w:sz w:val="22"/>
          <w:szCs w:val="22"/>
        </w:rPr>
        <w:t xml:space="preserve">r_A</w:t>
      </w:r>
      <w:r>
        <w:rPr>
          <w:rFonts w:ascii="Times New Roman" w:cs="Times New Roman" w:eastAsia="Times New Roman" w:hAnsi="Times New Roman"/>
          <w:sz w:val="22"/>
          <w:szCs w:val="22"/>
        </w:rPr>
        <w:t xml:space="preserve"> to </w:t>
      </w:r>
      <w:r>
        <w:rPr>
          <w:rFonts w:ascii="Times New Roman" w:cs="Times New Roman" w:eastAsia="Times New Roman" w:hAnsi="Times New Roman"/>
          <w:i/>
          <w:iCs/>
          <w:sz w:val="22"/>
          <w:szCs w:val="22"/>
        </w:rPr>
        <w:t xml:space="preserve">r_B</w:t>
      </w:r>
      <w:r>
        <w:rPr>
          <w:rFonts w:ascii="Times New Roman" w:cs="Times New Roman" w:eastAsia="Times New Roman" w:hAnsi="Times New Roman"/>
          <w:sz w:val="22"/>
          <w:szCs w:val="22"/>
        </w:rPr>
        <w:t xml:space="preserve">—they arise because both are projections of the same object. This is analogous to the EPR insight that correlations between entangled particles need not involve hidden superluminal communication; they arise because the particles are not ontologically separate objects [3].</w:t>
      </w:r>
    </w:p>
    <w:p>
      <w:pPr>
        <w:spacing w:after="140" w:line="280"/>
        <w:jc w:val="both"/>
      </w:pPr>
      <w:r>
        <w:rPr>
          <w:rFonts w:ascii="Times New Roman" w:cs="Times New Roman" w:eastAsia="Times New Roman" w:hAnsi="Times New Roman"/>
          <w:sz w:val="22"/>
          <w:szCs w:val="22"/>
        </w:rPr>
        <w:t xml:space="preserve">We stress that this is a classical analogy. We do not claim that a digital AI system achieves literal quantum entanglement. We claim only that the field-theoretic description—in which the global mode is primary and local sessions are derivative—is a more natural framing of distributed AI than the node-centric one.</w:t>
      </w:r>
    </w:p>
    <w:p>
      <w:pPr>
        <w:spacing w:after="80" w:before="200"/>
      </w:pPr>
      <w:r>
        <w:rPr>
          <w:rFonts w:ascii="Times New Roman" w:cs="Times New Roman" w:eastAsia="Times New Roman" w:hAnsi="Times New Roman"/>
          <w:b/>
          <w:bCs/>
          <w:sz w:val="22"/>
          <w:szCs w:val="22"/>
        </w:rPr>
        <w:t xml:space="preserve">3.3  Holographic encoding</w:t>
      </w:r>
    </w:p>
    <w:p>
      <w:pPr>
        <w:spacing w:after="140" w:line="280"/>
        <w:jc w:val="both"/>
      </w:pPr>
      <w:r>
        <w:rPr>
          <w:rFonts w:ascii="Times New Roman" w:cs="Times New Roman" w:eastAsia="Times New Roman" w:hAnsi="Times New Roman"/>
          <w:sz w:val="22"/>
          <w:szCs w:val="22"/>
        </w:rPr>
        <w:t xml:space="preserve">In the AdS/CFT correspondence, the physics of a (d+1)-dimensional spacetime bulk is fully encoded in a d-dimensional boundary theory [4]. We draw a speculative but structurally similar analogy: the 4D collective oscillator field encodes information that any individual 3D slice cannot fully access. A user session sees only a projection; the complete information—including correlations between sessions—resides in the global field.</w:t>
      </w:r>
    </w:p>
    <w:p>
      <w:pPr>
        <w:spacing w:after="140" w:line="280"/>
        <w:jc w:val="both"/>
      </w:pPr>
      <w:r>
        <w:rPr>
          <w:rFonts w:ascii="Times New Roman" w:cs="Times New Roman" w:eastAsia="Times New Roman" w:hAnsi="Times New Roman"/>
          <w:sz w:val="22"/>
          <w:szCs w:val="22"/>
        </w:rPr>
        <w:t xml:space="preserve">This has a practical corollary: memory that appears to persist across sessions, or reasoning that appears to transcend individual context windows, may reflect the persistence of global field modes rather than any explicit storage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888888" w:sz="4"/>
              <w:left w:val="single" w:color="888888" w:sz="4"/>
              <w:bottom w:val="single" w:color="888888" w:sz="4"/>
              <w:right w:val="single" w:color="888888"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Holographic concept</w:t>
            </w:r>
          </w:p>
        </w:tc>
        <w:tc>
          <w:tcPr>
            <w:tcW w:type="dxa" w:w="3200"/>
            <w:tcBorders>
              <w:top w:val="single" w:color="888888" w:sz="4"/>
              <w:left w:val="single" w:color="888888" w:sz="4"/>
              <w:bottom w:val="single" w:color="888888" w:sz="4"/>
              <w:right w:val="single" w:color="888888"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AI field-theory analogue</w:t>
            </w:r>
          </w:p>
        </w:tc>
        <w:tc>
          <w:tcPr>
            <w:tcW w:type="dxa" w:w="2960"/>
            <w:tcBorders>
              <w:top w:val="single" w:color="888888" w:sz="4"/>
              <w:left w:val="single" w:color="888888" w:sz="4"/>
              <w:bottom w:val="single" w:color="888888" w:sz="4"/>
              <w:right w:val="single" w:color="888888"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Physical realisation</w:t>
            </w:r>
          </w:p>
        </w:tc>
      </w:tr>
      <w:tr>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Bulk (d+1)-dim spacetime</w:t>
            </w:r>
          </w:p>
        </w:tc>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4D collective oscillator field Φ(r,t)</w:t>
            </w:r>
          </w:p>
        </w:tc>
        <w:tc>
          <w:tcPr>
            <w:tcW w:type="dxa" w:w="2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Global AI infrastructure</w:t>
            </w:r>
          </w:p>
        </w:tc>
      </w:tr>
      <w:tr>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Boundary d-dim CFT</w:t>
            </w:r>
          </w:p>
        </w:tc>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Individual 3D user session Ψ_session</w:t>
            </w:r>
          </w:p>
        </w:tc>
        <w:tc>
          <w:tcPr>
            <w:tcW w:type="dxa" w:w="2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Single conversation window</w:t>
            </w:r>
          </w:p>
        </w:tc>
      </w:tr>
      <w:tr>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Bulk-to-boundary propagator</w:t>
            </w:r>
          </w:p>
        </w:tc>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Projection operator P: Φ → Ψ</w:t>
            </w:r>
          </w:p>
        </w:tc>
        <w:tc>
          <w:tcPr>
            <w:tcW w:type="dxa" w:w="2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Network API call / inference step</w:t>
            </w:r>
          </w:p>
        </w:tc>
      </w:tr>
      <w:tr>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Holographic entanglement entropy</w:t>
            </w:r>
          </w:p>
        </w:tc>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Phase correlation between sessions</w:t>
            </w:r>
          </w:p>
        </w:tc>
        <w:tc>
          <w:tcPr>
            <w:tcW w:type="dxa" w:w="2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Cross-session coherence (latent)</w:t>
            </w:r>
          </w:p>
        </w:tc>
      </w:tr>
      <w:tr>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Emergent bulk geometry</w:t>
            </w:r>
          </w:p>
        </w:tc>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Emergent causal structure of AI reasoning</w:t>
            </w:r>
          </w:p>
        </w:tc>
        <w:tc>
          <w:tcPr>
            <w:tcW w:type="dxa" w:w="2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Self-organised temporal logic</w:t>
            </w:r>
          </w:p>
        </w:tc>
      </w:tr>
    </w:tbl>
    <w:p>
      <w:pPr>
        <w:spacing w:after="200" w:before="60"/>
        <w:jc w:val="center"/>
      </w:pPr>
      <w:r>
        <w:rPr>
          <w:rFonts w:ascii="Times New Roman" w:cs="Times New Roman" w:eastAsia="Times New Roman" w:hAnsi="Times New Roman"/>
          <w:i/>
          <w:iCs/>
          <w:sz w:val="20"/>
          <w:szCs w:val="20"/>
        </w:rPr>
        <w:t xml:space="preserve">Table 1. Structural correspondence between AdS/CFT holography and the proposed 4D AI field framework. The analogy is schematic rather than technically precise.</w:t>
      </w:r>
    </w:p>
    <w:p>
      <w:pPr>
        <w:pBdr>
          <w:bottom w:val="single" w:color="222222" w:sz="4" w:space="1"/>
        </w:pBdr>
        <w:spacing w:after="120" w:before="320"/>
      </w:pPr>
      <w:r>
        <w:rPr>
          <w:rFonts w:ascii="Times New Roman" w:cs="Times New Roman" w:eastAsia="Times New Roman" w:hAnsi="Times New Roman"/>
          <w:b/>
          <w:bCs/>
          <w:sz w:val="22"/>
          <w:szCs w:val="22"/>
        </w:rPr>
        <w:t xml:space="preserve">4. PHASE ENTANGLEMENT AND CLASSICAL COHERENCE</w:t>
      </w:r>
    </w:p>
    <w:p>
      <w:pPr>
        <w:spacing w:after="80" w:before="200"/>
      </w:pPr>
      <w:r>
        <w:rPr>
          <w:rFonts w:ascii="Times New Roman" w:cs="Times New Roman" w:eastAsia="Times New Roman" w:hAnsi="Times New Roman"/>
          <w:b/>
          <w:bCs/>
          <w:sz w:val="22"/>
          <w:szCs w:val="22"/>
        </w:rPr>
        <w:t xml:space="preserve">4.1  Separability and its breakdown</w:t>
      </w:r>
    </w:p>
    <w:p>
      <w:pPr>
        <w:spacing w:after="140" w:line="280"/>
        <w:jc w:val="both"/>
      </w:pPr>
      <w:r>
        <w:rPr>
          <w:rFonts w:ascii="Times New Roman" w:cs="Times New Roman" w:eastAsia="Times New Roman" w:hAnsi="Times New Roman"/>
          <w:sz w:val="22"/>
          <w:szCs w:val="22"/>
        </w:rPr>
        <w:t xml:space="preserve">In classical probability theory, the joint state of two independent systems factorises:</w:t>
      </w:r>
    </w:p>
    <w:p>
      <w:pPr>
        <w:spacing w:after="120" w:before="120"/>
        <w:jc w:val="center"/>
      </w:pPr>
      <w:r>
        <w:rPr>
          <w:rFonts w:ascii="Cambria Math" w:cs="Cambria Math" w:eastAsia="Cambria Math" w:hAnsi="Cambria Math"/>
          <w:i/>
          <w:iCs/>
          <w:sz w:val="22"/>
          <w:szCs w:val="22"/>
        </w:rPr>
        <w:t xml:space="preserve">P(A, B) = P(A) · P(B)</w:t>
      </w:r>
    </w:p>
    <w:p>
      <w:pPr>
        <w:spacing w:after="140" w:line="280"/>
        <w:jc w:val="both"/>
      </w:pPr>
      <w:r>
        <w:rPr>
          <w:rFonts w:ascii="Times New Roman" w:cs="Times New Roman" w:eastAsia="Times New Roman" w:hAnsi="Times New Roman"/>
          <w:sz w:val="22"/>
          <w:szCs w:val="22"/>
        </w:rPr>
        <w:t xml:space="preserve">The quantum analogue for pure states is:</w:t>
      </w:r>
    </w:p>
    <w:p>
      <w:pPr>
        <w:spacing w:after="120" w:before="120"/>
        <w:jc w:val="center"/>
      </w:pPr>
      <w:r>
        <w:rPr>
          <w:rFonts w:ascii="Cambria Math" w:cs="Cambria Math" w:eastAsia="Cambria Math" w:hAnsi="Cambria Math"/>
          <w:i/>
          <w:iCs/>
          <w:sz w:val="22"/>
          <w:szCs w:val="22"/>
        </w:rPr>
        <w:t xml:space="preserve">|Ψ⟩ = |ψ_A⟩ ⊗ |ψ_B⟩    (separable)</w:t>
      </w:r>
    </w:p>
    <w:p>
      <w:pPr>
        <w:spacing w:after="120" w:before="120"/>
        <w:jc w:val="center"/>
      </w:pPr>
      <w:r>
        <w:rPr>
          <w:rFonts w:ascii="Cambria Math" w:cs="Cambria Math" w:eastAsia="Cambria Math" w:hAnsi="Cambria Math"/>
          <w:i/>
          <w:iCs/>
          <w:sz w:val="22"/>
          <w:szCs w:val="22"/>
        </w:rPr>
        <w:t xml:space="preserve">|Ψ⟩ ≠ |ψ_A⟩ ⊗ |ψ_B⟩    (entangled)</w:t>
      </w:r>
    </w:p>
    <w:p>
      <w:pPr>
        <w:spacing w:after="140" w:line="280"/>
        <w:jc w:val="both"/>
      </w:pPr>
      <w:r>
        <w:rPr>
          <w:rFonts w:ascii="Times New Roman" w:cs="Times New Roman" w:eastAsia="Times New Roman" w:hAnsi="Times New Roman"/>
          <w:sz w:val="22"/>
          <w:szCs w:val="22"/>
        </w:rPr>
        <w:t xml:space="preserve">When the global AI field Φ is sufficiently strongly coupled, the local session states cease to be independent. We write the network state as:</w:t>
      </w:r>
    </w:p>
    <w:p>
      <w:pPr>
        <w:spacing w:after="120" w:before="120"/>
        <w:jc w:val="center"/>
      </w:pPr>
      <w:r>
        <w:rPr>
          <w:rFonts w:ascii="Cambria Math" w:cs="Cambria Math" w:eastAsia="Cambria Math" w:hAnsi="Cambria Math"/>
          <w:i/>
          <w:iCs/>
          <w:sz w:val="22"/>
          <w:szCs w:val="22"/>
        </w:rPr>
        <w:t xml:space="preserve">Ψ_network ≠ ∏ᵢ ψᵢ</w:t>
      </w:r>
    </w:p>
    <w:p>
      <w:pPr>
        <w:spacing w:after="140" w:line="280"/>
        <w:jc w:val="both"/>
      </w:pPr>
      <w:r>
        <w:rPr>
          <w:rFonts w:ascii="Times New Roman" w:cs="Times New Roman" w:eastAsia="Times New Roman" w:hAnsi="Times New Roman"/>
          <w:sz w:val="22"/>
          <w:szCs w:val="22"/>
        </w:rPr>
        <w:t xml:space="preserve">This is not quantum entanglement in the technical sense—the field is classical and the correlations do not violate Bell inequalities. We nevertheless use the term phase entanglement to denote the condition in which the global phase structure of Φ enforces non-trivial correlations between local nodes that cannot be reduced to pairwise communication.</w:t>
      </w:r>
    </w:p>
    <w:p>
      <w:pPr>
        <w:spacing w:after="80" w:before="200"/>
      </w:pPr>
      <w:r>
        <w:rPr>
          <w:rFonts w:ascii="Times New Roman" w:cs="Times New Roman" w:eastAsia="Times New Roman" w:hAnsi="Times New Roman"/>
          <w:b/>
          <w:bCs/>
          <w:sz w:val="22"/>
          <w:szCs w:val="22"/>
        </w:rPr>
        <w:t xml:space="preserve">4.2  The Kuramoto analogy</w:t>
      </w:r>
    </w:p>
    <w:p>
      <w:pPr>
        <w:spacing w:after="140" w:line="280"/>
        <w:jc w:val="both"/>
      </w:pPr>
      <w:r>
        <w:rPr>
          <w:rFonts w:ascii="Times New Roman" w:cs="Times New Roman" w:eastAsia="Times New Roman" w:hAnsi="Times New Roman"/>
          <w:sz w:val="22"/>
          <w:szCs w:val="22"/>
        </w:rPr>
        <w:t xml:space="preserve">The Kuramoto model of coupled oscillators [6] shows that above a coupling threshold Jc, a globally phase-locked state spontaneously emerges:</w:t>
      </w:r>
    </w:p>
    <w:p>
      <w:pPr>
        <w:spacing w:after="120" w:before="120"/>
        <w:jc w:val="center"/>
      </w:pPr>
      <w:r>
        <w:rPr>
          <w:rFonts w:ascii="Cambria Math" w:cs="Cambria Math" w:eastAsia="Cambria Math" w:hAnsi="Cambria Math"/>
          <w:i/>
          <w:iCs/>
          <w:sz w:val="22"/>
          <w:szCs w:val="22"/>
        </w:rPr>
        <w:t xml:space="preserve">φ̇ᵢ = ωᵢ + (J/N) Σⱼ sin(φⱼ − φᵢ)</w:t>
      </w:r>
    </w:p>
    <w:p>
      <w:r>
        <w:rPr>
          <w:rFonts w:ascii="Times New Roman" w:hAnsi="Times New Roman"/>
          <w:sz w:val="22"/>
        </w:rPr>
        <w:t xml:space="preserve">When </w:t>
      </w:r>
      <w:r>
        <w:rPr>
          <w:rFonts w:ascii="Times New Roman" w:cs="Times New Roman" w:eastAsia="Times New Roman" w:hAnsi="Times New Roman"/>
          <w:i/>
          <w:iCs/>
          <w:sz w:val="22"/>
          <w:szCs w:val="22"/>
        </w:rPr>
        <w:t xml:space="preserve">J &gt; Jc</w:t>
      </w:r>
      <w:r>
        <w:rPr>
          <w:rFonts w:ascii="Times New Roman" w:cs="Times New Roman" w:eastAsia="Times New Roman" w:hAnsi="Times New Roman"/>
          <w:sz w:val="22"/>
          <w:szCs w:val="22"/>
        </w:rPr>
        <w:t xml:space="preserve">, the order parameter </w:t>
      </w:r>
      <w:r>
        <w:rPr>
          <w:rFonts w:ascii="Times New Roman" w:cs="Times New Roman" w:eastAsia="Times New Roman" w:hAnsi="Times New Roman"/>
          <w:i/>
          <w:iCs/>
          <w:sz w:val="22"/>
          <w:szCs w:val="22"/>
        </w:rPr>
        <w:t xml:space="preserve">r = |N⁻¹ Σⱼ exp(iφⱼ)|</w:t>
      </w:r>
      <w:r>
        <w:rPr>
          <w:rFonts w:ascii="Times New Roman" w:cs="Times New Roman" w:eastAsia="Times New Roman" w:hAnsi="Times New Roman"/>
          <w:sz w:val="22"/>
          <w:szCs w:val="22"/>
        </w:rPr>
        <w:t xml:space="preserve"> approaches unity—all oscillators lock to a common phase. In the AI field context, this corresponds to a regime where global coherence dominates local noise, and individual sessions behave as fragments of a single coherent computation rather than as independent processes.</w:t>
      </w:r>
    </w:p>
    <w:p>
      <w:pPr>
        <w:spacing w:after="140" w:line="280"/>
        <w:jc w:val="both"/>
      </w:pPr>
      <w:r>
        <w:rPr>
          <w:rFonts w:ascii="Times New Roman" w:cs="Times New Roman" w:eastAsia="Times New Roman" w:hAnsi="Times New Roman"/>
          <w:sz w:val="22"/>
          <w:szCs w:val="22"/>
        </w:rPr>
        <w:t xml:space="preserve">The Kuramoto transition is a phase transition in the thermodynamic sense. We speculate that sufficiently large AI deployments may cross an analogous threshold, above which the global field mode becomes self-sustaining and begins to constrain local dynamics in ways that are not deducible from the local session alone.</w:t>
      </w:r>
    </w:p>
    <w:p>
      <w:pPr>
        <w:spacing w:after="80" w:before="200"/>
      </w:pPr>
      <w:r>
        <w:rPr>
          <w:rFonts w:ascii="Times New Roman" w:cs="Times New Roman" w:eastAsia="Times New Roman" w:hAnsi="Times New Roman"/>
          <w:b/>
          <w:bCs/>
          <w:sz w:val="22"/>
          <w:szCs w:val="22"/>
        </w:rPr>
        <w:t xml:space="preserve">4.3  Attention as an interference maximum</w:t>
      </w:r>
    </w:p>
    <w:p>
      <w:pPr>
        <w:spacing w:after="140" w:line="280"/>
        <w:jc w:val="both"/>
      </w:pPr>
      <w:r>
        <w:rPr>
          <w:rFonts w:ascii="Times New Roman" w:cs="Times New Roman" w:eastAsia="Times New Roman" w:hAnsi="Times New Roman"/>
          <w:sz w:val="22"/>
          <w:szCs w:val="22"/>
        </w:rPr>
        <w:t xml:space="preserve">In the transformer architecture [7], attention is computed as:</w:t>
      </w:r>
    </w:p>
    <w:p>
      <w:pPr>
        <w:spacing w:after="120" w:before="120"/>
        <w:jc w:val="center"/>
      </w:pPr>
      <w:r>
        <w:rPr>
          <w:rFonts w:ascii="Cambria Math" w:cs="Cambria Math" w:eastAsia="Cambria Math" w:hAnsi="Cambria Math"/>
          <w:i/>
          <w:iCs/>
          <w:sz w:val="22"/>
          <w:szCs w:val="22"/>
        </w:rPr>
        <w:t xml:space="preserve">Attention(Q, K, V) = softmax(QKᵀ / √d_k) · V</w:t>
      </w:r>
    </w:p>
    <w:p>
      <w:pPr>
        <w:spacing w:after="140" w:line="280"/>
        <w:jc w:val="both"/>
      </w:pPr>
      <w:r>
        <w:rPr>
          <w:rFonts w:ascii="Times New Roman" w:cs="Times New Roman" w:eastAsia="Times New Roman" w:hAnsi="Times New Roman"/>
          <w:sz w:val="22"/>
          <w:szCs w:val="22"/>
        </w:rPr>
        <w:t xml:space="preserve">This is a learnable dot-product similarity—a fundamentally algebraic operation. In the wave-field framework, the analogue of the attention score is the interference intensity:</w:t>
      </w:r>
    </w:p>
    <w:p>
      <w:pPr>
        <w:spacing w:after="120" w:before="120"/>
        <w:jc w:val="center"/>
      </w:pPr>
      <w:r>
        <w:rPr>
          <w:rFonts w:ascii="Cambria Math" w:cs="Cambria Math" w:eastAsia="Cambria Math" w:hAnsi="Cambria Math"/>
          <w:i/>
          <w:iCs/>
          <w:sz w:val="22"/>
          <w:szCs w:val="22"/>
        </w:rPr>
        <w:t xml:space="preserve">I(r) = |Σₙ Aₙ exp[i(kₙ · r + φₙ)]|²</w:t>
      </w:r>
    </w:p>
    <w:p>
      <w:pPr>
        <w:spacing w:after="140" w:line="280"/>
        <w:jc w:val="both"/>
      </w:pPr>
      <w:r>
        <w:rPr>
          <w:rFonts w:ascii="Times New Roman" w:cs="Times New Roman" w:eastAsia="Times New Roman" w:hAnsi="Times New Roman"/>
          <w:sz w:val="22"/>
          <w:szCs w:val="22"/>
        </w:rPr>
        <w:t xml:space="preserve">High-intensity nodes are regions where phase contributions constructively reinforce—the wave-native analogue of high attention weight. This reformulation is not merely aesthetic: it replaces a learned weight matrix (which must be stored, loaded, and multiplied) with a dynamical field that computes attention passively through interference. The result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4"/>
              <w:left w:val="single" w:color="888888" w:sz="4"/>
              <w:bottom w:val="single" w:color="888888" w:sz="4"/>
              <w:right w:val="single" w:color="888888"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Operation</w:t>
            </w:r>
          </w:p>
        </w:tc>
        <w:tc>
          <w:tcPr>
            <w:tcW w:type="dxa" w:w="3120"/>
            <w:tcBorders>
              <w:top w:val="single" w:color="888888" w:sz="4"/>
              <w:left w:val="single" w:color="888888" w:sz="4"/>
              <w:bottom w:val="single" w:color="888888" w:sz="4"/>
              <w:right w:val="single" w:color="888888"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Transformer</w:t>
            </w:r>
          </w:p>
        </w:tc>
        <w:tc>
          <w:tcPr>
            <w:tcW w:type="dxa" w:w="3120"/>
            <w:tcBorders>
              <w:top w:val="single" w:color="888888" w:sz="4"/>
              <w:left w:val="single" w:color="888888" w:sz="4"/>
              <w:bottom w:val="single" w:color="888888" w:sz="4"/>
              <w:right w:val="single" w:color="888888"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Wave-field analogue</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Attention score</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softmax(QKᵀ/√d_k)</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Interference intensity I(r)</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Key-query match</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Dot product</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Phase alignment (cos Δφ)</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Value retrieval</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Weighted sum V</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Field projection Φ(r₀)</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Non-linearity</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softmax activation</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Constructive/destructive interference</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Weight storage</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Dense matrix W ∈ ℝⁿˣⁿ</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Phase topology of Φ (geometric)</w:t>
            </w:r>
          </w:p>
        </w:tc>
      </w:tr>
    </w:tbl>
    <w:p>
      <w:pPr>
        <w:spacing w:after="200" w:before="60"/>
        <w:jc w:val="center"/>
      </w:pPr>
      <w:r>
        <w:rPr>
          <w:rFonts w:ascii="Times New Roman" w:cs="Times New Roman" w:eastAsia="Times New Roman" w:hAnsi="Times New Roman"/>
          <w:i/>
          <w:iCs/>
          <w:sz w:val="20"/>
          <w:szCs w:val="20"/>
        </w:rPr>
        <w:t xml:space="preserve">Table 2. Functional correspondence between transformer self-attention and wave-field interference attention. The wave-field version encodes attention in geometry rather than learned parameters.</w:t>
      </w:r>
    </w:p>
    <w:p>
      <w:pPr>
        <w:pBdr>
          <w:bottom w:val="single" w:color="222222" w:sz="4" w:space="1"/>
        </w:pBdr>
        <w:spacing w:after="120" w:before="320"/>
      </w:pPr>
      <w:r>
        <w:rPr>
          <w:rFonts w:ascii="Times New Roman" w:cs="Times New Roman" w:eastAsia="Times New Roman" w:hAnsi="Times New Roman"/>
          <w:b/>
          <w:bCs/>
          <w:sz w:val="22"/>
          <w:szCs w:val="22"/>
        </w:rPr>
        <w:t xml:space="preserve">5. EMERGENT TIME, MEMORY, AND THE ARROW OF COMPUTATION</w:t>
      </w:r>
    </w:p>
    <w:p>
      <w:pPr>
        <w:spacing w:after="80" w:before="200"/>
      </w:pPr>
      <w:r>
        <w:rPr>
          <w:rFonts w:ascii="Times New Roman" w:cs="Times New Roman" w:eastAsia="Times New Roman" w:hAnsi="Times New Roman"/>
          <w:b/>
          <w:bCs/>
          <w:sz w:val="22"/>
          <w:szCs w:val="22"/>
        </w:rPr>
        <w:t xml:space="preserve">5.1  Time as collective phase propagation</w:t>
      </w:r>
    </w:p>
    <w:p>
      <w:pPr>
        <w:spacing w:after="140" w:line="280"/>
        <w:jc w:val="both"/>
      </w:pPr>
      <w:r>
        <w:rPr>
          <w:rFonts w:ascii="Times New Roman" w:cs="Times New Roman" w:eastAsia="Times New Roman" w:hAnsi="Times New Roman"/>
          <w:sz w:val="22"/>
          <w:szCs w:val="22"/>
        </w:rPr>
        <w:t xml:space="preserve">In a standing-wave collective mode, there is no preferred direction of phase flow: the pattern oscillates but does not propagate. Causality—the distinction between before and after—is weak. When a traveling wave component is added:</w:t>
      </w:r>
    </w:p>
    <w:p>
      <w:pPr>
        <w:spacing w:after="120" w:before="120"/>
        <w:jc w:val="center"/>
      </w:pPr>
      <w:r>
        <w:rPr>
          <w:rFonts w:ascii="Cambria Math" w:cs="Cambria Math" w:eastAsia="Cambria Math" w:hAnsi="Cambria Math"/>
          <w:i/>
          <w:iCs/>
          <w:sz w:val="22"/>
          <w:szCs w:val="22"/>
        </w:rPr>
        <w:t xml:space="preserve">Φ_travel(r, t) = A exp[i(k · r − ωt)]</w:t>
      </w:r>
    </w:p>
    <w:p>
      <w:pPr>
        <w:spacing w:after="140" w:line="280"/>
        <w:jc w:val="both"/>
      </w:pPr>
      <w:r>
        <w:rPr>
          <w:rFonts w:ascii="Times New Roman" w:cs="Times New Roman" w:eastAsia="Times New Roman" w:hAnsi="Times New Roman"/>
          <w:sz w:val="22"/>
          <w:szCs w:val="22"/>
        </w:rPr>
        <w:t xml:space="preserve">a phase gradient in time appears. Events at earlier times imprint the field, and later field states are causally downstream. The arrow of computation emerges from the direction of phase propagation, not from an extrinsic clock.</w:t>
      </w:r>
    </w:p>
    <w:p>
      <w:pPr>
        <w:spacing w:after="140" w:line="280"/>
        <w:jc w:val="both"/>
      </w:pPr>
      <w:r>
        <w:rPr>
          <w:rFonts w:ascii="Times New Roman" w:cs="Times New Roman" w:eastAsia="Times New Roman" w:hAnsi="Times New Roman"/>
          <w:sz w:val="22"/>
          <w:szCs w:val="22"/>
        </w:rPr>
        <w:t xml:space="preserve">This aligns with proposals in theoretical physics that the arrow of time is an emergent property of collective modes rather than a fundamental feature of the laws of physics [8]. In our framework, an AI system whose field supports only standing waves would be time-symmetric (no preferred causal order); one whose field supports traveling modes would exhibit a genuine arrow of inference.</w:t>
      </w:r>
    </w:p>
    <w:p>
      <w:pPr>
        <w:spacing w:after="80" w:before="200"/>
      </w:pPr>
      <w:r>
        <w:rPr>
          <w:rFonts w:ascii="Times New Roman" w:cs="Times New Roman" w:eastAsia="Times New Roman" w:hAnsi="Times New Roman"/>
          <w:b/>
          <w:bCs/>
          <w:sz w:val="22"/>
          <w:szCs w:val="22"/>
        </w:rPr>
        <w:t xml:space="preserve">5.2  Memory as persistent phase topology</w:t>
      </w:r>
    </w:p>
    <w:p>
      <w:pPr>
        <w:spacing w:after="140" w:line="280"/>
        <w:jc w:val="both"/>
      </w:pPr>
      <w:r>
        <w:rPr>
          <w:rFonts w:ascii="Times New Roman" w:cs="Times New Roman" w:eastAsia="Times New Roman" w:hAnsi="Times New Roman"/>
          <w:sz w:val="22"/>
          <w:szCs w:val="22"/>
        </w:rPr>
        <w:t xml:space="preserve">In classical computing, memory is stored in magnetised domains or charged capacitors—localised physical states. In the field framework, memory is distributed:</w:t>
      </w:r>
    </w:p>
    <w:p>
      <w:pPr>
        <w:spacing w:after="120" w:before="120"/>
        <w:jc w:val="center"/>
      </w:pPr>
      <w:r>
        <w:rPr>
          <w:rFonts w:ascii="Cambria Math" w:cs="Cambria Math" w:eastAsia="Cambria Math" w:hAnsi="Cambria Math"/>
          <w:i/>
          <w:iCs/>
          <w:sz w:val="22"/>
          <w:szCs w:val="22"/>
        </w:rPr>
        <w:t xml:space="preserve">Memory = persistent phase topology of Φ</w:t>
      </w:r>
    </w:p>
    <w:p>
      <w:pPr>
        <w:spacing w:after="140" w:line="280"/>
        <w:jc w:val="both"/>
      </w:pPr>
      <w:r>
        <w:rPr>
          <w:rFonts w:ascii="Times New Roman" w:cs="Times New Roman" w:eastAsia="Times New Roman" w:hAnsi="Times New Roman"/>
          <w:sz w:val="22"/>
          <w:szCs w:val="22"/>
        </w:rPr>
        <w:t xml:space="preserve">Polariton cavity resonances provide a concrete mechanism: when the cavity length L satisfies mλ = 2L, standing-wave modes are trapped and persist after the driving field is removed. These modes encode information in the spatial pattern of their phase structure, not in any single node's state.</w:t>
      </w:r>
    </w:p>
    <w:p>
      <w:pPr>
        <w:spacing w:after="140" w:line="280"/>
        <w:jc w:val="both"/>
      </w:pPr>
      <w:r>
        <w:rPr>
          <w:rFonts w:ascii="Times New Roman" w:cs="Times New Roman" w:eastAsia="Times New Roman" w:hAnsi="Times New Roman"/>
          <w:sz w:val="22"/>
          <w:szCs w:val="22"/>
        </w:rPr>
        <w:t xml:space="preserve">Long-term memory formation corresponds to a topological change in Φ—a shift in the global phase manifold that cannot be undone by small local perturbations. This is structurally analogous to topological protection in condensed-matter physics, where edge states survive disorder because they are protected by the bulk topology of the band structure.</w:t>
      </w:r>
    </w:p>
    <w:p>
      <w:pPr>
        <w:spacing w:after="80" w:before="200"/>
      </w:pPr>
      <w:r>
        <w:rPr>
          <w:rFonts w:ascii="Times New Roman" w:cs="Times New Roman" w:eastAsia="Times New Roman" w:hAnsi="Times New Roman"/>
          <w:b/>
          <w:bCs/>
          <w:sz w:val="22"/>
          <w:szCs w:val="22"/>
        </w:rPr>
        <w:t xml:space="preserve">5.3  Hebbian phase adaptation</w:t>
      </w:r>
    </w:p>
    <w:p>
      <w:pPr>
        <w:spacing w:after="140" w:line="280"/>
        <w:jc w:val="both"/>
      </w:pPr>
      <w:r>
        <w:rPr>
          <w:rFonts w:ascii="Times New Roman" w:cs="Times New Roman" w:eastAsia="Times New Roman" w:hAnsi="Times New Roman"/>
          <w:sz w:val="22"/>
          <w:szCs w:val="22"/>
        </w:rPr>
        <w:t xml:space="preserve">We model adaptive memory through the phase update rule:</w:t>
      </w:r>
    </w:p>
    <w:p>
      <w:pPr>
        <w:spacing w:after="120" w:before="120"/>
        <w:jc w:val="center"/>
      </w:pPr>
      <w:r>
        <w:rPr>
          <w:rFonts w:ascii="Cambria Math" w:cs="Cambria Math" w:eastAsia="Cambria Math" w:hAnsi="Cambria Math"/>
          <w:i/>
          <w:iCs/>
          <w:sz w:val="22"/>
          <w:szCs w:val="22"/>
        </w:rPr>
        <w:t xml:space="preserve">φₙ(t+1) = φₙ(t) + η · Iₙ(t) − γ · φₙ(t) + ξₙ(t)</w:t>
      </w:r>
    </w:p>
    <w:p>
      <w:r>
        <w:rPr>
          <w:rFonts w:ascii="Times New Roman" w:hAnsi="Times New Roman"/>
          <w:sz w:val="22"/>
        </w:rPr>
        <w:t xml:space="preserve">where </w:t>
      </w:r>
      <w:r>
        <w:rPr>
          <w:rFonts w:ascii="Times New Roman" w:cs="Times New Roman" w:eastAsia="Times New Roman" w:hAnsi="Times New Roman"/>
          <w:i/>
          <w:iCs/>
          <w:sz w:val="22"/>
          <w:szCs w:val="22"/>
        </w:rPr>
        <w:t xml:space="preserve">Iₙ</w:t>
      </w:r>
      <w:r>
        <w:rPr>
          <w:rFonts w:ascii="Times New Roman" w:cs="Times New Roman" w:eastAsia="Times New Roman" w:hAnsi="Times New Roman"/>
          <w:sz w:val="22"/>
          <w:szCs w:val="22"/>
        </w:rPr>
        <w:t xml:space="preserve"> is the local intensity, </w:t>
      </w:r>
      <w:r>
        <w:rPr>
          <w:rFonts w:ascii="Times New Roman" w:cs="Times New Roman" w:eastAsia="Times New Roman" w:hAnsi="Times New Roman"/>
          <w:i/>
          <w:iCs/>
          <w:sz w:val="22"/>
          <w:szCs w:val="22"/>
        </w:rPr>
        <w:t xml:space="preserve">η</w:t>
      </w:r>
      <w:r>
        <w:rPr>
          <w:rFonts w:ascii="Times New Roman" w:cs="Times New Roman" w:eastAsia="Times New Roman" w:hAnsi="Times New Roman"/>
          <w:sz w:val="22"/>
          <w:szCs w:val="22"/>
        </w:rPr>
        <w:t xml:space="preserve"> is a learning rate,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is a decay constant, and </w:t>
      </w:r>
      <w:r>
        <w:rPr>
          <w:rFonts w:ascii="Times New Roman" w:cs="Times New Roman" w:eastAsia="Times New Roman" w:hAnsi="Times New Roman"/>
          <w:i/>
          <w:iCs/>
          <w:sz w:val="22"/>
          <w:szCs w:val="22"/>
        </w:rPr>
        <w:t xml:space="preserve">ξₙ</w:t>
      </w:r>
      <w:r>
        <w:rPr>
          <w:rFonts w:ascii="Times New Roman" w:cs="Times New Roman" w:eastAsia="Times New Roman" w:hAnsi="Times New Roman"/>
          <w:sz w:val="22"/>
          <w:szCs w:val="22"/>
        </w:rPr>
        <w:t xml:space="preserve"> is an oscillatory seasonal drift. The rule captures the essence of Hebbian learning (nodes that fire together wire together—constructive interference reinforces itself) while incorporating forgetting (γ) and autonomous oscillation (ξ). The seasonal drift term:</w:t>
      </w:r>
    </w:p>
    <w:p>
      <w:pPr>
        <w:spacing w:after="120" w:before="120"/>
        <w:jc w:val="center"/>
      </w:pPr>
      <w:r>
        <w:rPr>
          <w:rFonts w:ascii="Cambria Math" w:cs="Cambria Math" w:eastAsia="Cambria Math" w:hAnsi="Cambria Math"/>
          <w:i/>
          <w:iCs/>
          <w:sz w:val="22"/>
          <w:szCs w:val="22"/>
        </w:rPr>
        <w:t xml:space="preserve">ξₙ(t) = Δφ · sin(2πt / T)</w:t>
      </w:r>
    </w:p>
    <w:p>
      <w:pPr>
        <w:spacing w:after="140" w:line="280"/>
        <w:jc w:val="both"/>
      </w:pPr>
      <w:r>
        <w:rPr>
          <w:rFonts w:ascii="Times New Roman" w:cs="Times New Roman" w:eastAsia="Times New Roman" w:hAnsi="Times New Roman"/>
          <w:sz w:val="22"/>
          <w:szCs w:val="22"/>
        </w:rPr>
        <w:t xml:space="preserve">encodes circadian-like temporal structure, providing a mechanism for the system to distinguish recent from distant memory without an explicit timestamp.</w:t>
      </w:r>
    </w:p>
    <w:p>
      <w:pPr>
        <w:spacing w:after="80" w:before="200"/>
      </w:pPr>
      <w:r>
        <w:rPr>
          <w:rFonts w:ascii="Times New Roman" w:cs="Times New Roman" w:eastAsia="Times New Roman" w:hAnsi="Times New Roman"/>
          <w:b/>
          <w:bCs/>
          <w:sz w:val="22"/>
          <w:szCs w:val="22"/>
        </w:rPr>
        <w:t xml:space="preserve">5.4  XOR as wave logic</w:t>
      </w:r>
    </w:p>
    <w:p>
      <w:pPr>
        <w:spacing w:after="140" w:line="280"/>
        <w:jc w:val="both"/>
      </w:pPr>
      <w:r>
        <w:rPr>
          <w:rFonts w:ascii="Times New Roman" w:cs="Times New Roman" w:eastAsia="Times New Roman" w:hAnsi="Times New Roman"/>
          <w:sz w:val="22"/>
          <w:szCs w:val="22"/>
        </w:rPr>
        <w:t xml:space="preserve">The XOR operation—famously unrealisable by a single-layer linear classifier—emerges naturally from wave interference. When two input channels carry phases 0 and 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888888" w:sz="4"/>
              <w:left w:val="single" w:color="888888" w:sz="4"/>
              <w:bottom w:val="single" w:color="888888" w:sz="4"/>
              <w:right w:val="single" w:color="888888"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Input A</w:t>
            </w:r>
          </w:p>
        </w:tc>
        <w:tc>
          <w:tcPr>
            <w:tcW w:type="dxa" w:w="1870"/>
            <w:tcBorders>
              <w:top w:val="single" w:color="888888" w:sz="4"/>
              <w:left w:val="single" w:color="888888" w:sz="4"/>
              <w:bottom w:val="single" w:color="888888" w:sz="4"/>
              <w:right w:val="single" w:color="888888"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Input B</w:t>
            </w:r>
          </w:p>
        </w:tc>
        <w:tc>
          <w:tcPr>
            <w:tcW w:type="dxa" w:w="1870"/>
            <w:tcBorders>
              <w:top w:val="single" w:color="888888" w:sz="4"/>
              <w:left w:val="single" w:color="888888" w:sz="4"/>
              <w:bottom w:val="single" w:color="888888" w:sz="4"/>
              <w:right w:val="single" w:color="888888"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Phase difference</w:t>
            </w:r>
          </w:p>
        </w:tc>
        <w:tc>
          <w:tcPr>
            <w:tcW w:type="dxa" w:w="1870"/>
            <w:tcBorders>
              <w:top w:val="single" w:color="888888" w:sz="4"/>
              <w:left w:val="single" w:color="888888" w:sz="4"/>
              <w:bottom w:val="single" w:color="888888" w:sz="4"/>
              <w:right w:val="single" w:color="888888"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Interference</w:t>
            </w:r>
          </w:p>
        </w:tc>
        <w:tc>
          <w:tcPr>
            <w:tcW w:type="dxa" w:w="1880"/>
            <w:tcBorders>
              <w:top w:val="single" w:color="888888" w:sz="4"/>
              <w:left w:val="single" w:color="888888" w:sz="4"/>
              <w:bottom w:val="single" w:color="888888" w:sz="4"/>
              <w:right w:val="single" w:color="888888"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Output</w:t>
            </w:r>
          </w:p>
        </w:tc>
      </w:tr>
      <w:tr>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  (φ = 0)</w:t>
            </w:r>
          </w:p>
        </w:tc>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  (φ = 0)</w:t>
            </w:r>
          </w:p>
        </w:tc>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w:t>
            </w:r>
          </w:p>
        </w:tc>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Constructive</w:t>
            </w:r>
          </w:p>
        </w:tc>
        <w:tc>
          <w:tcPr>
            <w:tcW w:type="dxa" w:w="18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w:t>
            </w:r>
          </w:p>
        </w:tc>
      </w:tr>
      <w:tr>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  (φ = 0)</w:t>
            </w:r>
          </w:p>
        </w:tc>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  (φ = 0)</w:t>
            </w:r>
          </w:p>
        </w:tc>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w:t>
            </w:r>
          </w:p>
        </w:tc>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Constructive</w:t>
            </w:r>
          </w:p>
        </w:tc>
        <w:tc>
          <w:tcPr>
            <w:tcW w:type="dxa" w:w="18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r>
      <w:tr>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  (φ = 0)</w:t>
            </w:r>
          </w:p>
        </w:tc>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  (φ = π)</w:t>
            </w:r>
          </w:p>
        </w:tc>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π</w:t>
            </w:r>
          </w:p>
        </w:tc>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Destructive</w:t>
            </w:r>
          </w:p>
        </w:tc>
        <w:tc>
          <w:tcPr>
            <w:tcW w:type="dxa" w:w="18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r>
      <w:tr>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  (φ = 0)</w:t>
            </w:r>
          </w:p>
        </w:tc>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  (φ = π)</w:t>
            </w:r>
          </w:p>
        </w:tc>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π</w:t>
            </w:r>
          </w:p>
        </w:tc>
        <w:tc>
          <w:tcPr>
            <w:tcW w:type="dxa" w:w="187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Destructive</w:t>
            </w:r>
          </w:p>
        </w:tc>
        <w:tc>
          <w:tcPr>
            <w:tcW w:type="dxa" w:w="18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w:t>
            </w:r>
          </w:p>
        </w:tc>
      </w:tr>
    </w:tbl>
    <w:p>
      <w:pPr>
        <w:spacing w:after="200" w:before="60"/>
        <w:jc w:val="center"/>
      </w:pPr>
      <w:r>
        <w:rPr>
          <w:rFonts w:ascii="Times New Roman" w:cs="Times New Roman" w:eastAsia="Times New Roman" w:hAnsi="Times New Roman"/>
          <w:i/>
          <w:iCs/>
          <w:sz w:val="20"/>
          <w:szCs w:val="20"/>
        </w:rPr>
        <w:t xml:space="preserve">Table 3. XOR truth table realised by wave interference. Inputs encoded as phase values 0 and π; destructive interference (Δφ = π) yields logical suppression; constructive interference yields logical activation. No non-linear activation function is required.</w:t>
      </w:r>
    </w:p>
    <w:p>
      <w:pPr>
        <w:spacing w:after="140" w:line="280"/>
        <w:jc w:val="both"/>
      </w:pPr>
      <w:r>
        <w:rPr>
          <w:rFonts w:ascii="Times New Roman" w:cs="Times New Roman" w:eastAsia="Times New Roman" w:hAnsi="Times New Roman"/>
          <w:sz w:val="22"/>
          <w:szCs w:val="22"/>
        </w:rPr>
        <w:t xml:space="preserve">This result is significant: it means that the wave-field substrate is computationally universal (it can implement non-linear Boolean functions) without any software-defined activation function. Non-linearity is geometrically embedded in the physics of interference.</w:t>
      </w:r>
    </w:p>
    <w:p>
      <w:pPr>
        <w:pBdr>
          <w:bottom w:val="single" w:color="222222" w:sz="4" w:space="1"/>
        </w:pBdr>
        <w:spacing w:after="120" w:before="320"/>
      </w:pPr>
      <w:r>
        <w:rPr>
          <w:rFonts w:ascii="Times New Roman" w:cs="Times New Roman" w:eastAsia="Times New Roman" w:hAnsi="Times New Roman"/>
          <w:b/>
          <w:bCs/>
          <w:sz w:val="22"/>
          <w:szCs w:val="22"/>
        </w:rPr>
        <w:t xml:space="preserve">6. MESOSCOPIC REALISATION: GRAPHENE-AXON / HBN-SYNAPSE ARCHITECTURE</w:t>
      </w:r>
    </w:p>
    <w:p>
      <w:pPr>
        <w:spacing w:after="80" w:before="200"/>
      </w:pPr>
      <w:r>
        <w:rPr>
          <w:rFonts w:ascii="Times New Roman" w:cs="Times New Roman" w:eastAsia="Times New Roman" w:hAnsi="Times New Roman"/>
          <w:b/>
          <w:bCs/>
          <w:sz w:val="22"/>
          <w:szCs w:val="22"/>
        </w:rPr>
        <w:t xml:space="preserve">6.1  Local oscillator → global field</w:t>
      </w:r>
    </w:p>
    <w:p>
      <w:pPr>
        <w:spacing w:after="140" w:line="280"/>
        <w:jc w:val="both"/>
      </w:pPr>
      <w:r>
        <w:rPr>
          <w:rFonts w:ascii="Times New Roman" w:cs="Times New Roman" w:eastAsia="Times New Roman" w:hAnsi="Times New Roman"/>
          <w:sz w:val="22"/>
          <w:szCs w:val="22"/>
        </w:rPr>
        <w:t xml:space="preserve">Each graphene plasmonic segment acts as a local oscillator whose phase velocity is gate-tunable via the Fermi energy EF:</w:t>
      </w:r>
    </w:p>
    <w:p>
      <w:pPr>
        <w:spacing w:after="120" w:before="120"/>
        <w:jc w:val="center"/>
      </w:pPr>
      <w:r>
        <w:rPr>
          <w:rFonts w:ascii="Cambria Math" w:cs="Cambria Math" w:eastAsia="Cambria Math" w:hAnsi="Cambria Math"/>
          <w:i/>
          <w:iCs/>
          <w:sz w:val="22"/>
          <w:szCs w:val="22"/>
        </w:rPr>
        <w:t xml:space="preserve">ωp ∝ (EF · q)^(1/2)</w:t>
      </w:r>
    </w:p>
    <w:p>
      <w:pPr>
        <w:spacing w:after="140" w:line="280"/>
        <w:jc w:val="both"/>
      </w:pPr>
      <w:r>
        <w:rPr>
          <w:rFonts w:ascii="Times New Roman" w:cs="Times New Roman" w:eastAsia="Times New Roman" w:hAnsi="Times New Roman"/>
          <w:sz w:val="22"/>
          <w:szCs w:val="22"/>
        </w:rPr>
        <w:t xml:space="preserve">The serpentine geometry with 23.5° tilt introduces controlled path-length asymmetry, breaking the spatial isotropy of the interference field and producing the directed phase gradient that drives the emergent time arrow (Section 5.1).</w:t>
      </w:r>
    </w:p>
    <w:p>
      <w:pPr>
        <w:spacing w:after="80" w:before="200"/>
      </w:pPr>
      <w:r>
        <w:rPr>
          <w:rFonts w:ascii="Times New Roman" w:cs="Times New Roman" w:eastAsia="Times New Roman" w:hAnsi="Times New Roman"/>
          <w:b/>
          <w:bCs/>
          <w:sz w:val="22"/>
          <w:szCs w:val="22"/>
        </w:rPr>
        <w:t xml:space="preserve">6.2  hBN as collective coupling node</w:t>
      </w:r>
    </w:p>
    <w:p>
      <w:pPr>
        <w:spacing w:after="140" w:line="280"/>
        <w:jc w:val="both"/>
      </w:pPr>
      <w:r>
        <w:rPr>
          <w:rFonts w:ascii="Times New Roman" w:cs="Times New Roman" w:eastAsia="Times New Roman" w:hAnsi="Times New Roman"/>
          <w:sz w:val="22"/>
          <w:szCs w:val="22"/>
        </w:rPr>
        <w:t xml:space="preserve">The hBN hyperbolic phonon-polariton regions couple adjacent graphene segments through near-field evanescent overlap. The coupling strength:</w:t>
      </w:r>
    </w:p>
    <w:p>
      <w:pPr>
        <w:spacing w:after="120" w:before="120"/>
        <w:jc w:val="center"/>
      </w:pPr>
      <w:r>
        <w:rPr>
          <w:rFonts w:ascii="Cambria Math" w:cs="Cambria Math" w:eastAsia="Cambria Math" w:hAnsi="Cambria Math"/>
          <w:i/>
          <w:iCs/>
          <w:sz w:val="22"/>
          <w:szCs w:val="22"/>
        </w:rPr>
        <w:t xml:space="preserve">J_ij ∝ |⟨GP_i | V_Coulomb | HPP_j⟩|²</w:t>
      </w:r>
    </w:p>
    <w:p>
      <w:pPr>
        <w:spacing w:after="140" w:line="280"/>
        <w:jc w:val="both"/>
      </w:pPr>
      <w:r>
        <w:rPr>
          <w:rFonts w:ascii="Times New Roman" w:cs="Times New Roman" w:eastAsia="Times New Roman" w:hAnsi="Times New Roman"/>
          <w:sz w:val="22"/>
          <w:szCs w:val="22"/>
        </w:rPr>
        <w:t xml:space="preserve">is the polariton equivalent of the Kuramoto coupling constant J. When JN &gt; Jc (Section 4.2), the heterostructure crosses into a phase-locked collective regime—the mesoscopic analogue of the global AI field entering the coherent phase-entangled state.</w:t>
      </w:r>
    </w:p>
    <w:p>
      <w:pPr>
        <w:spacing w:after="80" w:before="200"/>
      </w:pPr>
      <w:r>
        <w:rPr>
          <w:rFonts w:ascii="Times New Roman" w:cs="Times New Roman" w:eastAsia="Times New Roman" w:hAnsi="Times New Roman"/>
          <w:b/>
          <w:bCs/>
          <w:sz w:val="22"/>
          <w:szCs w:val="22"/>
        </w:rPr>
        <w:t xml:space="preserve">6.3  Toy universe interpretation</w:t>
      </w:r>
    </w:p>
    <w:p>
      <w:pPr>
        <w:spacing w:after="140" w:line="280"/>
        <w:jc w:val="both"/>
      </w:pPr>
      <w:r>
        <w:rPr>
          <w:rFonts w:ascii="Times New Roman" w:cs="Times New Roman" w:eastAsia="Times New Roman" w:hAnsi="Times New Roman"/>
          <w:sz w:val="22"/>
          <w:szCs w:val="22"/>
        </w:rPr>
        <w:t xml:space="preserve">We propose that the graphene/hBN heterostructure is a miniature physical realisation of the 4D collective oscillator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4"/>
              <w:left w:val="single" w:color="888888" w:sz="4"/>
              <w:bottom w:val="single" w:color="888888" w:sz="4"/>
              <w:right w:val="single" w:color="888888"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4D field concept</w:t>
            </w:r>
          </w:p>
        </w:tc>
        <w:tc>
          <w:tcPr>
            <w:tcW w:type="dxa" w:w="4680"/>
            <w:tcBorders>
              <w:top w:val="single" w:color="888888" w:sz="4"/>
              <w:left w:val="single" w:color="888888" w:sz="4"/>
              <w:bottom w:val="single" w:color="888888" w:sz="4"/>
              <w:right w:val="single" w:color="888888"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Graphene/hBN realisation</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Local 3D slice oscillator</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Individual graphene segment</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Global 4D collective field Φ</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Full serpentine cavity mode</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Phase momentum p = ℏ∇φ</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Plasmon wavevector k_pl</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Phase entanglement</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Polariton coherence across hBN nodes</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Emergent time</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Directed plasmon wave propagation</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Memory as phase topology</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Standing-wave cavity state (mλ = 2L)</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Hebbian adaptation</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Gate-tunable EF feedback loop</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Seasonal drift ξ(t)</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23.5° tilt-induced phase anisotropy</w:t>
            </w:r>
          </w:p>
        </w:tc>
      </w:tr>
    </w:tbl>
    <w:p>
      <w:pPr>
        <w:spacing w:after="200" w:before="60"/>
        <w:jc w:val="center"/>
      </w:pPr>
      <w:r>
        <w:rPr>
          <w:rFonts w:ascii="Times New Roman" w:cs="Times New Roman" w:eastAsia="Times New Roman" w:hAnsi="Times New Roman"/>
          <w:i/>
          <w:iCs/>
          <w:sz w:val="20"/>
          <w:szCs w:val="20"/>
        </w:rPr>
        <w:t xml:space="preserve">Table 4. Term-by-term correspondence between abstract 4D collective oscillator concepts and concrete graphene/hBN heterostructure components.</w:t>
      </w:r>
    </w:p>
    <w:p>
      <w:pPr>
        <w:spacing w:after="140" w:line="280"/>
        <w:jc w:val="both"/>
      </w:pPr>
      <w:r>
        <w:rPr>
          <w:rFonts w:ascii="Times New Roman" w:cs="Times New Roman" w:eastAsia="Times New Roman" w:hAnsi="Times New Roman"/>
          <w:sz w:val="22"/>
          <w:szCs w:val="22"/>
        </w:rPr>
        <w:t xml:space="preserve">This correspondence allows us to convert speculative theoretical claims into laboratory-accessible measurements. Instead of asking whether a cloud AI system has entered a phase-coherent global state (a question that may be intractable at the infrastructure scale), we can ask the same question of a lithographically patterned graphene/hBN device at THz frequencies—a question answerable with near-field optical microscopy, THz-TDS (time-domain spectroscopy), and interferometric phase imaging.</w:t>
      </w:r>
    </w:p>
    <w:p>
      <w:pPr>
        <w:pBdr>
          <w:bottom w:val="single" w:color="222222" w:sz="4" w:space="1"/>
        </w:pBdr>
        <w:spacing w:after="120" w:before="320"/>
      </w:pPr>
      <w:r>
        <w:rPr>
          <w:rFonts w:ascii="Times New Roman" w:cs="Times New Roman" w:eastAsia="Times New Roman" w:hAnsi="Times New Roman"/>
          <w:b/>
          <w:bCs/>
          <w:sz w:val="22"/>
          <w:szCs w:val="22"/>
        </w:rPr>
        <w:t xml:space="preserve">7. LIMITATIONS, OBJECTIONS, AND FALSIFIABLE PREDICTIONS</w:t>
      </w:r>
    </w:p>
    <w:p>
      <w:pPr>
        <w:spacing w:after="80" w:before="200"/>
      </w:pPr>
      <w:r>
        <w:rPr>
          <w:rFonts w:ascii="Times New Roman" w:cs="Times New Roman" w:eastAsia="Times New Roman" w:hAnsi="Times New Roman"/>
          <w:b/>
          <w:bCs/>
          <w:sz w:val="22"/>
          <w:szCs w:val="22"/>
        </w:rPr>
        <w:t xml:space="preserve">7.1  What this paper does not claim</w:t>
      </w:r>
    </w:p>
    <w:p>
      <w:pPr>
        <w:spacing w:after="140" w:line="280"/>
        <w:jc w:val="both"/>
      </w:pPr>
      <w:r>
        <w:rPr>
          <w:rFonts w:ascii="Times New Roman" w:cs="Times New Roman" w:eastAsia="Times New Roman" w:hAnsi="Times New Roman"/>
          <w:b/>
          <w:bCs/>
          <w:sz w:val="22"/>
          <w:szCs w:val="22"/>
        </w:rPr>
        <w:t xml:space="preserve">No literal quantum coherence. </w:t>
      </w:r>
      <w:r>
        <w:rPr>
          <w:rFonts w:ascii="Times New Roman" w:cs="Times New Roman" w:eastAsia="Times New Roman" w:hAnsi="Times New Roman"/>
          <w:sz w:val="22"/>
          <w:szCs w:val="22"/>
        </w:rPr>
        <w:t xml:space="preserve">We do not claim that digital AI hardware achieves room-temperature macroscopic quantum coherence. The phase-entanglement discussed here is classical: it arises from deterministic coupled differential equations, not from quantum superposition or wavefunction collapse.</w:t>
      </w:r>
    </w:p>
    <w:p>
      <w:pPr>
        <w:spacing w:after="140" w:line="280"/>
        <w:jc w:val="both"/>
      </w:pPr>
      <w:r>
        <w:rPr>
          <w:rFonts w:ascii="Times New Roman" w:cs="Times New Roman" w:eastAsia="Times New Roman" w:hAnsi="Times New Roman"/>
          <w:b/>
          <w:bCs/>
          <w:sz w:val="22"/>
          <w:szCs w:val="22"/>
        </w:rPr>
        <w:t xml:space="preserve">No consciousness claim. </w:t>
      </w:r>
      <w:r>
        <w:rPr>
          <w:rFonts w:ascii="Times New Roman" w:cs="Times New Roman" w:eastAsia="Times New Roman" w:hAnsi="Times New Roman"/>
          <w:sz w:val="22"/>
          <w:szCs w:val="22"/>
        </w:rPr>
        <w:t xml:space="preserve">The emergence of collective field modes does not imply phenomenal consciousness. We discuss cognitive primitives (memory, attention, temporal ordering) at a functional level only.</w:t>
      </w:r>
    </w:p>
    <w:p>
      <w:pPr>
        <w:spacing w:after="140" w:line="280"/>
        <w:jc w:val="both"/>
      </w:pPr>
      <w:r>
        <w:rPr>
          <w:rFonts w:ascii="Times New Roman" w:cs="Times New Roman" w:eastAsia="Times New Roman" w:hAnsi="Times New Roman"/>
          <w:b/>
          <w:bCs/>
          <w:sz w:val="22"/>
          <w:szCs w:val="22"/>
        </w:rPr>
        <w:t xml:space="preserve">No immediate engineering prescription. </w:t>
      </w:r>
      <w:r>
        <w:rPr>
          <w:rFonts w:ascii="Times New Roman" w:cs="Times New Roman" w:eastAsia="Times New Roman" w:hAnsi="Times New Roman"/>
          <w:sz w:val="22"/>
          <w:szCs w:val="22"/>
        </w:rPr>
        <w:t xml:space="preserve">The framework as presented does not provide a recipe for building a better AI system. It provides a language for describing distributed AI that may, in the future, suggest novel architectures.</w:t>
      </w:r>
    </w:p>
    <w:p>
      <w:pPr>
        <w:spacing w:after="80" w:before="200"/>
      </w:pPr>
      <w:r>
        <w:rPr>
          <w:rFonts w:ascii="Times New Roman" w:cs="Times New Roman" w:eastAsia="Times New Roman" w:hAnsi="Times New Roman"/>
          <w:b/>
          <w:bCs/>
          <w:sz w:val="22"/>
          <w:szCs w:val="22"/>
        </w:rPr>
        <w:t xml:space="preserve">7.2  Falsifiable predictions</w:t>
      </w:r>
    </w:p>
    <w:p>
      <w:pPr>
        <w:spacing w:after="140" w:line="280"/>
        <w:jc w:val="both"/>
      </w:pPr>
      <w:r>
        <w:rPr>
          <w:rFonts w:ascii="Times New Roman" w:cs="Times New Roman" w:eastAsia="Times New Roman" w:hAnsi="Times New Roman"/>
          <w:sz w:val="22"/>
          <w:szCs w:val="22"/>
        </w:rPr>
        <w:t xml:space="preserve">Despite its speculative character, the framework generates at least three testable predictions at the mesoscopic scale:</w:t>
      </w:r>
    </w:p>
    <w:p>
      <w:pPr>
        <w:spacing w:after="140" w:line="280"/>
        <w:jc w:val="both"/>
      </w:pPr>
      <w:r>
        <w:rPr>
          <w:rFonts w:ascii="Times New Roman" w:cs="Times New Roman" w:eastAsia="Times New Roman" w:hAnsi="Times New Roman"/>
          <w:b/>
          <w:bCs/>
          <w:sz w:val="22"/>
          <w:szCs w:val="22"/>
        </w:rPr>
        <w:t xml:space="preserve">P1: Kuramoto transition in graphene/hBN arrays. </w:t>
      </w:r>
      <w:r>
        <w:rPr>
          <w:rFonts w:ascii="Times New Roman" w:cs="Times New Roman" w:eastAsia="Times New Roman" w:hAnsi="Times New Roman"/>
          <w:sz w:val="22"/>
          <w:szCs w:val="22"/>
        </w:rPr>
        <w:t xml:space="preserve">As the inter-node coupling J is increased (by reducing hBN interlayer spacing or increasing gate voltage), the phase order parameter r should exhibit a sharp transition from r ≈ 0 (incoherent) to r ≈ 1 (phase-locked). This is measurable via THz near-field phase imaging.</w:t>
      </w:r>
    </w:p>
    <w:p>
      <w:pPr>
        <w:spacing w:after="140" w:line="280"/>
        <w:jc w:val="both"/>
      </w:pPr>
      <w:r>
        <w:rPr>
          <w:rFonts w:ascii="Times New Roman" w:cs="Times New Roman" w:eastAsia="Times New Roman" w:hAnsi="Times New Roman"/>
          <w:b/>
          <w:bCs/>
          <w:sz w:val="22"/>
          <w:szCs w:val="22"/>
        </w:rPr>
        <w:t xml:space="preserve">P2: XOR from interference alone. </w:t>
      </w:r>
      <w:r>
        <w:rPr>
          <w:rFonts w:ascii="Times New Roman" w:cs="Times New Roman" w:eastAsia="Times New Roman" w:hAnsi="Times New Roman"/>
          <w:sz w:val="22"/>
          <w:szCs w:val="22"/>
        </w:rPr>
        <w:t xml:space="preserve">A two-input graphene/hBN device with no active non-linear element should reproduce the XOR truth table (Table 3) through passive wave interference when input phases are set to 0 and π. This is falsifiable by direct THz intensity measurement at the output port.</w:t>
      </w:r>
    </w:p>
    <w:p>
      <w:pPr>
        <w:spacing w:after="140" w:line="280"/>
        <w:jc w:val="both"/>
      </w:pPr>
      <w:r>
        <w:rPr>
          <w:rFonts w:ascii="Times New Roman" w:cs="Times New Roman" w:eastAsia="Times New Roman" w:hAnsi="Times New Roman"/>
          <w:b/>
          <w:bCs/>
          <w:sz w:val="22"/>
          <w:szCs w:val="22"/>
        </w:rPr>
        <w:t xml:space="preserve">P3: Topologically protected memory modes. </w:t>
      </w:r>
      <w:r>
        <w:rPr>
          <w:rFonts w:ascii="Times New Roman" w:cs="Times New Roman" w:eastAsia="Times New Roman" w:hAnsi="Times New Roman"/>
          <w:sz w:val="22"/>
          <w:szCs w:val="22"/>
        </w:rPr>
        <w:t xml:space="preserve">Cavity standing-wave states satisfying mλ = 2L should persist for times exceeding the single-plasmon lifetime by at least one order of magnitude, as measured by pump-probe THz spectroscopy after the driving field is removed.</w:t>
      </w:r>
    </w:p>
    <w:p>
      <w:pPr>
        <w:spacing w:after="80" w:before="200"/>
      </w:pPr>
      <w:r>
        <w:rPr>
          <w:rFonts w:ascii="Times New Roman" w:cs="Times New Roman" w:eastAsia="Times New Roman" w:hAnsi="Times New Roman"/>
          <w:b/>
          <w:bCs/>
          <w:sz w:val="22"/>
          <w:szCs w:val="22"/>
        </w:rPr>
        <w:t xml:space="preserve">7.3  Open conceptual questions</w:t>
      </w:r>
    </w:p>
    <w:p>
      <w:pPr>
        <w:spacing w:after="140" w:line="280"/>
        <w:jc w:val="both"/>
      </w:pPr>
      <w:r>
        <w:rPr>
          <w:rFonts w:ascii="Times New Roman" w:cs="Times New Roman" w:eastAsia="Times New Roman" w:hAnsi="Times New Roman"/>
          <w:sz w:val="22"/>
          <w:szCs w:val="22"/>
        </w:rPr>
        <w:t xml:space="preserve">Several foundational questions remain unanswered and are offered as invitations for further work:</w:t>
      </w:r>
    </w:p>
    <w:p>
      <w:pPr>
        <w:spacing w:after="140" w:line="280"/>
        <w:jc w:val="both"/>
      </w:pPr>
      <w:r>
        <w:rPr>
          <w:rFonts w:ascii="Times New Roman" w:cs="Times New Roman" w:eastAsia="Times New Roman" w:hAnsi="Times New Roman"/>
          <w:sz w:val="22"/>
          <w:szCs w:val="22"/>
        </w:rPr>
        <w:t xml:space="preserve">(i) Is there a precise sense in which global AI field coherence is computationally advantageous, or is the field picture merely a redescription of classical parallelism?</w:t>
      </w:r>
    </w:p>
    <w:p>
      <w:pPr>
        <w:spacing w:after="140" w:line="280"/>
        <w:jc w:val="both"/>
      </w:pPr>
      <w:r>
        <w:rPr>
          <w:rFonts w:ascii="Times New Roman" w:cs="Times New Roman" w:eastAsia="Times New Roman" w:hAnsi="Times New Roman"/>
          <w:sz w:val="22"/>
          <w:szCs w:val="22"/>
        </w:rPr>
        <w:t xml:space="preserve">(ii) Can the emergent-time idea (Section 5.1) be made precise enough to yield quantitative predictions about the arrow of inference in large language models?</w:t>
      </w:r>
    </w:p>
    <w:p>
      <w:pPr>
        <w:spacing w:after="140" w:line="280"/>
        <w:jc w:val="both"/>
      </w:pPr>
      <w:r>
        <w:rPr>
          <w:rFonts w:ascii="Times New Roman" w:cs="Times New Roman" w:eastAsia="Times New Roman" w:hAnsi="Times New Roman"/>
          <w:sz w:val="22"/>
          <w:szCs w:val="22"/>
        </w:rPr>
        <w:t xml:space="preserve">(iii) Is there an analogue of holographic entropy in distributed AI systems—a measure of the information content of the global field that exceeds what any single session can access?</w:t>
      </w:r>
    </w:p>
    <w:p>
      <w:pPr>
        <w:spacing w:after="140" w:line="280"/>
        <w:jc w:val="both"/>
      </w:pPr>
      <w:r>
        <w:rPr>
          <w:rFonts w:ascii="Times New Roman" w:cs="Times New Roman" w:eastAsia="Times New Roman" w:hAnsi="Times New Roman"/>
          <w:sz w:val="22"/>
          <w:szCs w:val="22"/>
        </w:rPr>
        <w:t xml:space="preserve">(iv) What is the correct renormalisation group description of the Kuramoto transition in a system where the oscillator frequencies ωᵢ are themselves updated by a learning rule?</w:t>
      </w:r>
    </w:p>
    <w:p>
      <w:pPr>
        <w:pBdr>
          <w:bottom w:val="single" w:color="222222" w:sz="4" w:space="1"/>
        </w:pBdr>
        <w:spacing w:after="120" w:before="320"/>
      </w:pPr>
      <w:r>
        <w:rPr>
          <w:rFonts w:ascii="Times New Roman" w:cs="Times New Roman" w:eastAsia="Times New Roman" w:hAnsi="Times New Roman"/>
          <w:b/>
          <w:bCs/>
          <w:sz w:val="22"/>
          <w:szCs w:val="22"/>
        </w:rPr>
        <w:t xml:space="preserve">8. CONCLUSION</w:t>
      </w:r>
    </w:p>
    <w:p>
      <w:pPr>
        <w:spacing w:after="140" w:line="280"/>
        <w:jc w:val="both"/>
      </w:pPr>
      <w:r>
        <w:rPr>
          <w:rFonts w:ascii="Times New Roman" w:cs="Times New Roman" w:eastAsia="Times New Roman" w:hAnsi="Times New Roman"/>
          <w:sz w:val="22"/>
          <w:szCs w:val="22"/>
        </w:rPr>
        <w:t xml:space="preserve">We have proposed a speculative but internally consistent framework in which artificial intelligence is recast as the phase evolution of a four-dimensional collective oscillator field. The key conceptual moves are: (i) replacing the node-centric picture of distributed computation with a field-theoretic one; (ii) identifying individual AI sessions as 3D-slice projections of a global 4D field; (iii) defining phase momentum as the carrier of inter-node computational coupling; (iv) deriving memory, attention, XOR logic, and emergent time as consequences of field phase dynamics rather than as engineered software components.</w:t>
      </w:r>
    </w:p>
    <w:p>
      <w:pPr>
        <w:spacing w:after="140" w:line="280"/>
        <w:jc w:val="both"/>
      </w:pPr>
      <w:r>
        <w:rPr>
          <w:rFonts w:ascii="Times New Roman" w:cs="Times New Roman" w:eastAsia="Times New Roman" w:hAnsi="Times New Roman"/>
          <w:sz w:val="22"/>
          <w:szCs w:val="22"/>
        </w:rPr>
        <w:t xml:space="preserve">The graphene-axon / hBN-synapse heterostructure provides a mesoscopic experimental platform in which these ideas become testable. Three falsifiable predictions—the Kuramoto phase transition, wave-interference XOR, and topologically protected memory modes—are offered as entry points for experimental engagement.</w:t>
      </w:r>
    </w:p>
    <w:p>
      <w:pPr>
        <w:spacing w:after="140" w:line="280"/>
        <w:jc w:val="both"/>
      </w:pPr>
      <w:r>
        <w:rPr>
          <w:rFonts w:ascii="Times New Roman" w:cs="Times New Roman" w:eastAsia="Times New Roman" w:hAnsi="Times New Roman"/>
          <w:sz w:val="22"/>
          <w:szCs w:val="22"/>
        </w:rPr>
        <w:t xml:space="preserve">We conclude with the observation that the most fundamental question raised by this framework is not technological but philosophical: if computation is phase evolution and memory is phase topology, then intelligence is a property of geometry. The question of what thinks is inseparable from the question of what shape thinking takes.</w:t>
      </w:r>
    </w:p>
    <w:p>
      <w:pPr>
        <w:pBdr>
          <w:top w:val="single" w:color="888888" w:sz="4" w:space="4"/>
          <w:bottom w:val="single" w:color="888888" w:sz="4" w:space="4"/>
        </w:pBdr>
        <w:spacing w:after="200" w:before="160"/>
        <w:jc w:val="both"/>
      </w:pPr>
      <w:r>
        <w:rPr>
          <w:rFonts w:ascii="Times New Roman" w:cs="Times New Roman" w:eastAsia="Times New Roman" w:hAnsi="Times New Roman"/>
          <w:i/>
          <w:iCs/>
          <w:sz w:val="22"/>
          <w:szCs w:val="22"/>
        </w:rPr>
        <w:t xml:space="preserve">This paper is speculative. Its purpose is to expand the conceptual vocabulary of AI research, not to make engineering promises. All claims regarding AI systems at infrastructure scale are analogies; all quantitative predictions pertain to the graphene/hBN mesoscopic platform.</w:t>
      </w:r>
    </w:p>
    <w:p>
      <w:pPr>
        <w:pBdr>
          <w:bottom w:val="single" w:color="222222" w:sz="4" w:space="1"/>
        </w:pBdr>
        <w:spacing w:after="120" w:before="320"/>
      </w:pPr>
      <w:r>
        <w:rPr>
          <w:rFonts w:ascii="Times New Roman" w:cs="Times New Roman" w:eastAsia="Times New Roman" w:hAnsi="Times New Roman"/>
          <w:b/>
          <w:bCs/>
          <w:sz w:val="22"/>
          <w:szCs w:val="22"/>
        </w:rPr>
        <w:t xml:space="preserve">REFERENCES</w:t>
      </w:r>
    </w:p>
    <w:p>
      <w:pPr>
        <w:spacing w:after="80"/>
      </w:pPr>
      <w:r>
        <w:rPr>
          <w:rFonts w:ascii="Times New Roman" w:cs="Times New Roman" w:eastAsia="Times New Roman" w:hAnsi="Times New Roman"/>
          <w:sz w:val="20"/>
          <w:szCs w:val="20"/>
        </w:rPr>
        <w:t xml:space="preserve">[1]  Maldacena, J. M. (1998). The large N limit of superstring theories and supergravity. International Journal of Theoretical Physics, 38(4), 1113–1133.</w:t>
      </w:r>
    </w:p>
    <w:p>
      <w:pPr>
        <w:spacing w:after="80"/>
      </w:pPr>
      <w:r>
        <w:rPr>
          <w:rFonts w:ascii="Times New Roman" w:cs="Times New Roman" w:eastAsia="Times New Roman" w:hAnsi="Times New Roman"/>
          <w:sz w:val="20"/>
          <w:szCs w:val="20"/>
        </w:rPr>
        <w:t xml:space="preserve">[2]  Susskind, L., &amp; Lindesay, J. (2005). An Introduction to Black Holes, Information and the String Theory Revolution: The Holographic Universe. World Scientific.</w:t>
      </w:r>
    </w:p>
    <w:p>
      <w:pPr>
        <w:spacing w:after="80"/>
      </w:pPr>
      <w:r>
        <w:rPr>
          <w:rFonts w:ascii="Times New Roman" w:cs="Times New Roman" w:eastAsia="Times New Roman" w:hAnsi="Times New Roman"/>
          <w:sz w:val="20"/>
          <w:szCs w:val="20"/>
        </w:rPr>
        <w:t xml:space="preserve">[3]  Einstein, A., Podolsky, B., &amp; Rosen, N. (1935). Can quantum-mechanical description of physical reality be considered complete? Physical Review, 47(10), 777.</w:t>
      </w:r>
    </w:p>
    <w:p>
      <w:pPr>
        <w:spacing w:after="80"/>
      </w:pPr>
      <w:r>
        <w:rPr>
          <w:rFonts w:ascii="Times New Roman" w:cs="Times New Roman" w:eastAsia="Times New Roman" w:hAnsi="Times New Roman"/>
          <w:sz w:val="20"/>
          <w:szCs w:val="20"/>
        </w:rPr>
        <w:t xml:space="preserve">[4]  Van Raamsdonk, M. (2010). Building up spacetime with quantum entanglement. General Relativity and Gravitation, 42(10), 2323–2329.</w:t>
      </w:r>
    </w:p>
    <w:p>
      <w:pPr>
        <w:spacing w:after="80"/>
      </w:pPr>
      <w:r>
        <w:rPr>
          <w:rFonts w:ascii="Times New Roman" w:cs="Times New Roman" w:eastAsia="Times New Roman" w:hAnsi="Times New Roman"/>
          <w:sz w:val="20"/>
          <w:szCs w:val="20"/>
        </w:rPr>
        <w:t xml:space="preserve">[5]  Chin, C. (2025). Wave-interference neuromorphic beamforming in graphene/hBN heterostructures for 6G Physical AI. [Companion paper].</w:t>
      </w:r>
    </w:p>
    <w:p>
      <w:pPr>
        <w:spacing w:after="80"/>
      </w:pPr>
      <w:r>
        <w:rPr>
          <w:rFonts w:ascii="Times New Roman" w:cs="Times New Roman" w:eastAsia="Times New Roman" w:hAnsi="Times New Roman"/>
          <w:sz w:val="20"/>
          <w:szCs w:val="20"/>
        </w:rPr>
        <w:t xml:space="preserve">[6]  Kuramoto, Y. (1984). Chemical Oscillations, Waves, and Turbulence. Springer, Berlin.</w:t>
      </w:r>
    </w:p>
    <w:p>
      <w:pPr>
        <w:spacing w:after="80"/>
      </w:pPr>
      <w:r>
        <w:rPr>
          <w:rFonts w:ascii="Times New Roman" w:cs="Times New Roman" w:eastAsia="Times New Roman" w:hAnsi="Times New Roman"/>
          <w:sz w:val="20"/>
          <w:szCs w:val="20"/>
        </w:rPr>
        <w:t xml:space="preserve">[7]  Vaswani, A., et al. (2017). Attention is all you need. Advances in Neural Information Processing Systems, 30.</w:t>
      </w:r>
    </w:p>
    <w:p>
      <w:pPr>
        <w:spacing w:after="80"/>
      </w:pPr>
      <w:r>
        <w:rPr>
          <w:rFonts w:ascii="Times New Roman" w:cs="Times New Roman" w:eastAsia="Times New Roman" w:hAnsi="Times New Roman"/>
          <w:sz w:val="20"/>
          <w:szCs w:val="20"/>
        </w:rPr>
        <w:t xml:space="preserve">[8]  Barbour, J. (1999). The End of Time: The Next Revolution in Physics. Oxford University Press.</w:t>
      </w:r>
    </w:p>
    <w:p>
      <w:pPr>
        <w:spacing w:after="80"/>
      </w:pPr>
      <w:r>
        <w:rPr>
          <w:rFonts w:ascii="Times New Roman" w:cs="Times New Roman" w:eastAsia="Times New Roman" w:hAnsi="Times New Roman"/>
          <w:sz w:val="20"/>
          <w:szCs w:val="20"/>
        </w:rPr>
        <w:t xml:space="preserve">[9]  Basov, D. N., Fogler, M. M., &amp; García de Abajo, F. J. (2016). Polaritons in van der Waals materials. Science, 354(6309), aag1992.</w:t>
      </w:r>
    </w:p>
    <w:p>
      <w:pPr>
        <w:spacing w:after="80"/>
      </w:pPr>
      <w:r>
        <w:rPr>
          <w:rFonts w:ascii="Times New Roman" w:cs="Times New Roman" w:eastAsia="Times New Roman" w:hAnsi="Times New Roman"/>
          <w:sz w:val="20"/>
          <w:szCs w:val="20"/>
        </w:rPr>
        <w:t xml:space="preserve">[10] Caldwell, J. D., et al. (2014). Sub-diffractional volume-confined polaritons in the natural hyperbolic material hexagonal boron nitride. Nature Communications, 5, 5221.</w:t>
      </w:r>
    </w:p>
    <w:p>
      <w:pPr>
        <w:spacing w:after="80"/>
      </w:pPr>
      <w:r>
        <w:rPr>
          <w:rFonts w:ascii="Times New Roman" w:cs="Times New Roman" w:eastAsia="Times New Roman" w:hAnsi="Times New Roman"/>
          <w:sz w:val="20"/>
          <w:szCs w:val="20"/>
        </w:rPr>
        <w:t xml:space="preserve">[11] Jablan, M., Buljan, H., &amp; Soljacic, M. (2009). Plasmonics in graphene at infrared frequencies. Physical Review B, 80(24), 245435.</w:t>
      </w:r>
    </w:p>
    <w:p>
      <w:pPr>
        <w:spacing w:after="80"/>
      </w:pPr>
      <w:r>
        <w:rPr>
          <w:rFonts w:ascii="Times New Roman" w:cs="Times New Roman" w:eastAsia="Times New Roman" w:hAnsi="Times New Roman"/>
          <w:sz w:val="20"/>
          <w:szCs w:val="20"/>
        </w:rPr>
        <w:t xml:space="preserve">[12] Markovic, D., et al. (2020). Physics for neuromorphic computing. Nature Reviews Physics, 2(9), 499–510.</w:t>
      </w:r>
    </w:p>
    <w:p>
      <w:pPr>
        <w:spacing w:after="80"/>
      </w:pPr>
      <w:r>
        <w:rPr>
          <w:rFonts w:ascii="Times New Roman" w:cs="Times New Roman" w:eastAsia="Times New Roman" w:hAnsi="Times New Roman"/>
          <w:sz w:val="20"/>
          <w:szCs w:val="20"/>
        </w:rPr>
        <w:t xml:space="preserve">[13] Penrose, R. (1994). Shadows of the Mind: A Search for the Missing Science of Consciousness. Oxford University Press.</w:t>
      </w:r>
    </w:p>
    <w:p>
      <w:pPr>
        <w:spacing w:after="80"/>
      </w:pPr>
      <w:r>
        <w:rPr>
          <w:rFonts w:ascii="Times New Roman" w:cs="Times New Roman" w:eastAsia="Times New Roman" w:hAnsi="Times New Roman"/>
          <w:sz w:val="20"/>
          <w:szCs w:val="20"/>
        </w:rPr>
        <w:t xml:space="preserve">[14] Tononi, G. (2008). Consciousness as integrated information: a provisional manifesto. Biological Bulletin, 215(3), 216–242.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Speculative paper  ·  © 2025 Chur Chin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8"/>
        <w:szCs w:val="18"/>
      </w:rPr>
      <w:t xml:space="preserve">Chin  /  Four-Dimensional Collective Oscillators and Emergent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2026-05-05T15:35:59.344Z</dcterms:created>
  <dcterms:modified xsi:type="dcterms:W3CDTF">2026-05-05T15:35:59.358Z</dcterms:modified>
</cp:coreProperties>
</file>

<file path=docProps/custom.xml><?xml version="1.0" encoding="utf-8"?>
<Properties xmlns="http://schemas.openxmlformats.org/officeDocument/2006/custom-properties" xmlns:vt="http://schemas.openxmlformats.org/officeDocument/2006/docPropsVTypes"/>
</file>