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Times New Roman" w:cs="Times New Roman" w:eastAsia="Times New Roman" w:hAnsi="Times New Roman"/>
          <w:b/>
          <w:bCs/>
          <w:sz w:val="32"/>
          <w:szCs w:val="32"/>
        </w:rPr>
        <w:t xml:space="preserve">Wave-Interference Neuromorphic Beamforming in Graphene/hBN Heterostructures for 6G Physical AI</w:t>
      </w:r>
    </w:p>
    <w:p>
      <w:pPr>
        <w:spacing w:after="80"/>
        <w:jc w:val="center"/>
      </w:pPr>
      <w:r>
        <w:rPr>
          <w:rFonts w:ascii="Times New Roman" w:cs="Times New Roman" w:eastAsia="Times New Roman" w:hAnsi="Times New Roman"/>
          <w:b/>
          <w:bCs/>
          <w:sz w:val="24"/>
          <w:szCs w:val="24"/>
        </w:rPr>
        <w:t xml:space="preserve">Chur Chin</w:t>
      </w:r>
    </w:p>
    <w:p>
      <w:pPr>
        <w:spacing w:after="80"/>
        <w:jc w:val="center"/>
      </w:pPr>
      <w:r>
        <w:rPr>
          <w:rFonts w:ascii="Times New Roman" w:cs="Times New Roman" w:eastAsia="Times New Roman" w:hAnsi="Times New Roman"/>
          <w:i/>
          <w:iCs/>
          <w:sz w:val="20"/>
          <w:szCs w:val="20"/>
        </w:rPr>
        <w:t xml:space="preserve">Department of Family Medicine, Dong-eui Medical Center, Busan 47227, Republic of Korea</w:t>
      </w:r>
    </w:p>
    <w:p>
      <w:pPr>
        <w:spacing w:after="240"/>
        <w:jc w:val="center"/>
      </w:pPr>
      <w:r>
        <w:rPr>
          <w:rFonts w:ascii="Times New Roman" w:cs="Times New Roman" w:eastAsia="Times New Roman" w:hAnsi="Times New Roman"/>
          <w:sz w:val="20"/>
          <w:szCs w:val="20"/>
        </w:rPr>
        <w:t xml:space="preserve">* Corresponding author: tpotaiai@gmail.com</w:t>
      </w:r>
    </w:p>
    <w:p>
      <w:pPr>
        <w:pBdr>
          <w:bottom w:val="single" w:color="AAAAAA" w:sz="6" w:space="1"/>
        </w:pBdr>
        <w:spacing w:after="120" w:before="120"/>
      </w:pPr>
    </w:p>
    <w:p>
      <w:pPr>
        <w:spacing w:after="160" w:before="120" w:line="276"/>
        <w:jc w:val="both"/>
      </w:pPr>
      <w:r>
        <w:rPr>
          <w:rFonts w:ascii="Times New Roman" w:cs="Times New Roman" w:eastAsia="Times New Roman" w:hAnsi="Times New Roman"/>
          <w:b/>
          <w:bCs/>
          <w:sz w:val="22"/>
          <w:szCs w:val="22"/>
        </w:rPr>
        <w:t xml:space="preserve">Abstract. </w:t>
      </w:r>
      <w:r>
        <w:rPr>
          <w:rFonts w:ascii="Times New Roman" w:cs="Times New Roman" w:eastAsia="Times New Roman" w:hAnsi="Times New Roman"/>
          <w:sz w:val="22"/>
          <w:szCs w:val="22"/>
        </w:rPr>
        <w:t xml:space="preserve">We propose a novel wave-native neuromorphic architecture for sixth-generation (6G) communications based on graphene plasmonic axon channels coupled to hexagonal boron nitride (hBN) hyperbolic phonon-polariton synapses. In this framework, beamforming ceases to be a post-computational step and instead becomes the computation itself: the THz interference field produced by graphene/hBN heterostructures directly encodes routing, attention, and memory without any digital matrix multiplication. We demonstrate through dynamic interference simulations that the phase-adaptive graphene–hBN system reproduces key cognitive primitives—excitatory/inhibitory summation, XOR logic, short-term memory via polariton cavity resonance, and self-organizing attention hotspots—at sub-wavelength spatial scales and with ultra-low power overhead compared to CMOS-based beamforming. Serpentine graphene geometry with a 23.5° tilt introduces anisotropic phase drift analogous to seasonal biological rhythms, enabling temporal coding unavailable in conventional phased arrays. The architecture maps naturally onto Integrated Sensing and Communication (ISAC) requirements of 6G, offering a pathway toward Physical AI in which wave dynamics replace software inference.</w:t>
      </w:r>
    </w:p>
    <w:p>
      <w:pPr>
        <w:spacing w:after="24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6G; graphene plasmonics; hBN phonon polariton; neuromorphic computing; beamforming; Physical AI; THz; ISAC; wave computing</w:t>
      </w:r>
    </w:p>
    <w:p>
      <w:pPr>
        <w:pBdr>
          <w:bottom w:val="single" w:color="AAAAAA" w:sz="6" w:space="1"/>
        </w:pBdr>
        <w:spacing w:after="120" w:before="120"/>
      </w:pPr>
    </w:p>
    <w:p>
      <w:pPr>
        <w:pBdr>
          <w:bottom w:val="single" w:color="333333" w:sz="4" w:space="1"/>
        </w:pBdr>
        <w:spacing w:after="120" w:before="240"/>
      </w:pPr>
      <w:r>
        <w:rPr>
          <w:rFonts w:ascii="Times New Roman" w:cs="Times New Roman" w:eastAsia="Times New Roman" w:hAnsi="Times New Roman"/>
          <w:b/>
          <w:bCs/>
          <w:caps/>
          <w:sz w:val="22"/>
          <w:szCs w:val="22"/>
        </w:rPr>
        <w:t xml:space="preserve">1. Introduction</w:t>
      </w:r>
    </w:p>
    <w:p>
      <w:pPr>
        <w:spacing w:after="120" w:line="276"/>
        <w:jc w:val="both"/>
      </w:pPr>
      <w:r>
        <w:rPr>
          <w:rFonts w:ascii="Times New Roman" w:cs="Times New Roman" w:eastAsia="Times New Roman" w:hAnsi="Times New Roman"/>
          <w:sz w:val="22"/>
          <w:szCs w:val="22"/>
        </w:rPr>
        <w:t xml:space="preserve">The transition from fifth- to sixth-generation (6G) wireless networks is not merely a quantitative improvement in data rate. 6G introduces terahertz (THz) carrier frequencies (0.1–10 THz), Integrated Sensing and Communication (ISAC), AI-native network architectures, and edge neuromorphic processing [1,2]. These demands collectively call for a fundamentally different hardware paradigm—one where computation and communication are unified at the physical layer rather than implemented as separate software stacks on digital silicon.</w:t>
      </w:r>
    </w:p>
    <w:p>
      <w:pPr>
        <w:spacing w:after="120" w:line="276"/>
        <w:jc w:val="both"/>
      </w:pPr>
      <w:r>
        <w:rPr>
          <w:rFonts w:ascii="Times New Roman" w:cs="Times New Roman" w:eastAsia="Times New Roman" w:hAnsi="Times New Roman"/>
          <w:sz w:val="22"/>
          <w:szCs w:val="22"/>
        </w:rPr>
        <w:t xml:space="preserve">Current CMOS-based beamforming relies on massive MIMO arrays with digital phase shifters, entailing non-trivial power consumption and latency that scale unfavorably with the number of antenna elements. Critically, such architectures treat computation and beam steering as sequential operations: a digital AI engine first performs inference, then instructs phase shifters to redirect the beam. This separation is a fundamental architectural bottleneck.</w:t>
      </w:r>
    </w:p>
    <w:p>
      <w:pPr>
        <w:spacing w:after="120" w:line="276"/>
        <w:jc w:val="both"/>
      </w:pPr>
      <w:r>
        <w:rPr>
          <w:rFonts w:ascii="Times New Roman" w:cs="Times New Roman" w:eastAsia="Times New Roman" w:hAnsi="Times New Roman"/>
          <w:sz w:val="22"/>
          <w:szCs w:val="22"/>
        </w:rPr>
        <w:t xml:space="preserve">Graphene and hexagonal boron nitride (hBN) offer an unexplored alternative. Graphene hosts gate-tunable plasmons in the THz–mid-infrared regime, while hBN supports hyperbolic phonon polaritons (HPPs) in its Reststrahlen bands, enabling subwavelength wave confinement and propagation [3,4]. Together, a graphene/hBN heterostructure can simultaneously confine, route, and phase-modulate THz waves at nanometric scales. We show here that this combination gives rise to functional analogues of neural axons (graphene) and synapses (hBN), and that the resulting interference field constitutes a physical attention mechanism directly applicable to 6G beamforming.</w:t>
      </w:r>
    </w:p>
    <w:p>
      <w:pPr>
        <w:spacing w:after="120" w:line="276"/>
        <w:jc w:val="both"/>
      </w:pPr>
      <w:r>
        <w:rPr>
          <w:rFonts w:ascii="Times New Roman" w:cs="Times New Roman" w:eastAsia="Times New Roman" w:hAnsi="Times New Roman"/>
          <w:sz w:val="22"/>
          <w:szCs w:val="22"/>
        </w:rPr>
        <w:t xml:space="preserve">This paper is organized as follows. Section 2 establishes the physical model. Section 3 presents simulation results for static and dynamic interference fields. Section 4 discusses the neuromorphic primitives emergent from the architecture. Section 5 connects the framework to 6G ISAC requirements. Section 6 concludes.</w:t>
      </w:r>
    </w:p>
    <w:p>
      <w:pPr>
        <w:pBdr>
          <w:bottom w:val="single" w:color="333333" w:sz="4" w:space="1"/>
        </w:pBdr>
        <w:spacing w:after="120" w:before="240"/>
      </w:pPr>
      <w:r>
        <w:rPr>
          <w:rFonts w:ascii="Times New Roman" w:cs="Times New Roman" w:eastAsia="Times New Roman" w:hAnsi="Times New Roman"/>
          <w:b/>
          <w:bCs/>
          <w:caps/>
          <w:sz w:val="22"/>
          <w:szCs w:val="22"/>
        </w:rPr>
        <w:t xml:space="preserve">2. Physical Model</w:t>
      </w:r>
    </w:p>
    <w:p>
      <w:pPr>
        <w:spacing w:after="80" w:before="160"/>
      </w:pPr>
      <w:r>
        <w:rPr>
          <w:rFonts w:ascii="Times New Roman" w:cs="Times New Roman" w:eastAsia="Times New Roman" w:hAnsi="Times New Roman"/>
          <w:b/>
          <w:bCs/>
          <w:sz w:val="22"/>
          <w:szCs w:val="22"/>
        </w:rPr>
        <w:t xml:space="preserve">2.1 Graphene Plasmonic Axon</w:t>
      </w:r>
    </w:p>
    <w:p>
      <w:pPr>
        <w:spacing w:after="120" w:line="276"/>
        <w:jc w:val="both"/>
      </w:pPr>
      <w:r>
        <w:rPr>
          <w:rFonts w:ascii="Times New Roman" w:cs="Times New Roman" w:eastAsia="Times New Roman" w:hAnsi="Times New Roman"/>
          <w:sz w:val="22"/>
          <w:szCs w:val="22"/>
        </w:rPr>
        <w:t xml:space="preserve">Graphene's two-dimensional electron gas supports plasmon polaritons whose dispersion can be written as:</w:t>
      </w:r>
    </w:p>
    <w:p>
      <w:pPr>
        <w:spacing w:after="120" w:before="120"/>
        <w:jc w:val="center"/>
      </w:pPr>
      <w:r>
        <w:rPr>
          <w:rFonts w:ascii="Times New Roman" w:cs="Times New Roman" w:eastAsia="Times New Roman" w:hAnsi="Times New Roman"/>
          <w:i/>
          <w:iCs/>
          <w:sz w:val="22"/>
          <w:szCs w:val="22"/>
        </w:rPr>
        <w:t xml:space="preserve">ωp = (e²EF / ħ²) · (q / 2ε₀εᵣ)^(1/2)</w:t>
      </w:r>
    </w:p>
    <w:p>
      <w:pPr>
        <w:spacing w:after="120" w:line="276"/>
        <w:jc w:val="both"/>
      </w:pPr>
      <w:r>
        <w:rPr>
          <w:rFonts w:ascii="Times New Roman" w:cs="Times New Roman" w:eastAsia="Times New Roman" w:hAnsi="Times New Roman"/>
          <w:sz w:val="22"/>
          <w:szCs w:val="22"/>
        </w:rPr>
        <w:t xml:space="preserve">where EF is the Fermi energy controlled by a gate voltage Vg, q is the in-plane wavevector, and εᵣ is the effective dielectric constant of the surrounding medium. Gate tunability of EF allows real-time adjustment of the plasmon phase velocity, effectively implementing a field-programmable phase shifter at THz frequencies without any digital-to-analog conversion.</w:t>
      </w:r>
    </w:p>
    <w:p>
      <w:pPr>
        <w:spacing w:after="80" w:before="160"/>
      </w:pPr>
      <w:r>
        <w:rPr>
          <w:rFonts w:ascii="Times New Roman" w:cs="Times New Roman" w:eastAsia="Times New Roman" w:hAnsi="Times New Roman"/>
          <w:b/>
          <w:bCs/>
          <w:sz w:val="22"/>
          <w:szCs w:val="22"/>
        </w:rPr>
        <w:t xml:space="preserve">2.2 hBN Hyperbolic Phonon-Polariton Synapse</w:t>
      </w:r>
    </w:p>
    <w:p>
      <w:pPr>
        <w:spacing w:after="120" w:line="276"/>
        <w:jc w:val="both"/>
      </w:pPr>
      <w:r>
        <w:rPr>
          <w:rFonts w:ascii="Times New Roman" w:cs="Times New Roman" w:eastAsia="Times New Roman" w:hAnsi="Times New Roman"/>
          <w:sz w:val="22"/>
          <w:szCs w:val="22"/>
        </w:rPr>
        <w:t xml:space="preserve">Hexagonal boron nitride is a natural hyperbolic medium in two Reststrahlen bands (upper: 1370–1610 cm⁻¹; lower: 760–825 cm⁻¹). In the upper Reststrahlen band, the in-plane and out-of-plane permittivities satisfy ε∥ · ε⊥ &lt; 0, giving rise to high-momentum HPP modes with extreme field confinement. The coupling strength between a graphene plasmon (GP) and an hBN HPP depends on the interlayer spacing d and the Fermi energy, providing an analog synaptic weight W:</w:t>
      </w:r>
    </w:p>
    <w:p>
      <w:pPr>
        <w:spacing w:after="120" w:before="120"/>
        <w:jc w:val="center"/>
      </w:pPr>
      <w:r>
        <w:rPr>
          <w:rFonts w:ascii="Times New Roman" w:cs="Times New Roman" w:eastAsia="Times New Roman" w:hAnsi="Times New Roman"/>
          <w:i/>
          <w:iCs/>
          <w:sz w:val="22"/>
          <w:szCs w:val="22"/>
        </w:rPr>
        <w:t xml:space="preserve">W(d, EF) ∝ |⟨GP|V_Coulomb|HPP⟩|²</w:t>
      </w:r>
    </w:p>
    <w:p>
      <w:pPr>
        <w:spacing w:after="120" w:line="276"/>
        <w:jc w:val="both"/>
      </w:pPr>
      <w:r>
        <w:rPr>
          <w:rFonts w:ascii="Times New Roman" w:cs="Times New Roman" w:eastAsia="Times New Roman" w:hAnsi="Times New Roman"/>
          <w:sz w:val="22"/>
          <w:szCs w:val="22"/>
        </w:rPr>
        <w:t xml:space="preserve">By varying d via atomic-layer deposition and EF via gating, W becomes a tunable quantity analogous to a synaptic conductance.</w:t>
      </w:r>
    </w:p>
    <w:p>
      <w:pPr>
        <w:spacing w:after="80" w:before="160"/>
      </w:pPr>
      <w:r>
        <w:rPr>
          <w:rFonts w:ascii="Times New Roman" w:cs="Times New Roman" w:eastAsia="Times New Roman" w:hAnsi="Times New Roman"/>
          <w:b/>
          <w:bCs/>
          <w:sz w:val="22"/>
          <w:szCs w:val="22"/>
        </w:rPr>
        <w:t xml:space="preserve">2.3 Interference Field as Neural Summation</w:t>
      </w:r>
    </w:p>
    <w:p>
      <w:pPr>
        <w:spacing w:after="120" w:line="276"/>
        <w:jc w:val="both"/>
      </w:pPr>
      <w:r>
        <w:rPr>
          <w:rFonts w:ascii="Times New Roman" w:cs="Times New Roman" w:eastAsia="Times New Roman" w:hAnsi="Times New Roman"/>
          <w:sz w:val="22"/>
          <w:szCs w:val="22"/>
        </w:rPr>
        <w:t xml:space="preserve">The total THz intensity at position (x, y) produced by N graphene axon channels is:</w:t>
      </w:r>
    </w:p>
    <w:p>
      <w:pPr>
        <w:spacing w:after="120" w:before="120"/>
        <w:jc w:val="center"/>
      </w:pPr>
      <w:r>
        <w:rPr>
          <w:rFonts w:ascii="Times New Roman" w:cs="Times New Roman" w:eastAsia="Times New Roman" w:hAnsi="Times New Roman"/>
          <w:i/>
          <w:iCs/>
          <w:sz w:val="22"/>
          <w:szCs w:val="22"/>
        </w:rPr>
        <w:t xml:space="preserve">I(x,y) = |Σₙ Aₙ exp[i(k·rₙ(x,y) + φₙ)]|²</w:t>
      </w:r>
    </w:p>
    <w:p>
      <w:pPr>
        <w:spacing w:after="120" w:line="276"/>
        <w:jc w:val="both"/>
      </w:pPr>
      <w:r>
        <w:rPr>
          <w:rFonts w:ascii="Times New Roman" w:cs="Times New Roman" w:eastAsia="Times New Roman" w:hAnsi="Times New Roman"/>
          <w:sz w:val="22"/>
          <w:szCs w:val="22"/>
        </w:rPr>
        <w:t xml:space="preserve">where Aₙ is the channel amplitude, k = 2π/λ is the THz wavevector, rₙ(x,y) is the path length from the n-th source, and φₙ is the phase delay imparted by the n-th hBN synaptic region. High-intensity nodes correspond to constructive interference (excitatory summation, EPSP analogue); low-intensity nodes correspond to destructive interference (inhibitory suppression, IPSP analogue). The interference field thus implements a spatial attention map without any digital computation.</w:t>
      </w:r>
    </w:p>
    <w:p>
      <w:pPr>
        <w:spacing w:after="80" w:before="160"/>
      </w:pPr>
      <w:r>
        <w:rPr>
          <w:rFonts w:ascii="Times New Roman" w:cs="Times New Roman" w:eastAsia="Times New Roman" w:hAnsi="Times New Roman"/>
          <w:b/>
          <w:bCs/>
          <w:sz w:val="22"/>
          <w:szCs w:val="22"/>
        </w:rPr>
        <w:t xml:space="preserve">2.4 Adaptive Phase Dynamics</w:t>
      </w:r>
    </w:p>
    <w:p>
      <w:pPr>
        <w:spacing w:after="120" w:line="276"/>
        <w:jc w:val="both"/>
      </w:pPr>
      <w:r>
        <w:rPr>
          <w:rFonts w:ascii="Times New Roman" w:cs="Times New Roman" w:eastAsia="Times New Roman" w:hAnsi="Times New Roman"/>
          <w:sz w:val="22"/>
          <w:szCs w:val="22"/>
        </w:rPr>
        <w:t xml:space="preserve">For a dynamic (learning) regime, we propose the following Hebbian-like phase update rule:</w:t>
      </w:r>
    </w:p>
    <w:p>
      <w:pPr>
        <w:spacing w:after="120" w:before="120"/>
        <w:jc w:val="center"/>
      </w:pPr>
      <w:r>
        <w:rPr>
          <w:rFonts w:ascii="Times New Roman" w:cs="Times New Roman" w:eastAsia="Times New Roman" w:hAnsi="Times New Roman"/>
          <w:i/>
          <w:iCs/>
          <w:sz w:val="22"/>
          <w:szCs w:val="22"/>
        </w:rPr>
        <w:t xml:space="preserve">φₙ(t+1) = φₙ(t) + η·Iₙ(t) − γ·φₙ(t) + ξₙ(t)</w:t>
      </w:r>
    </w:p>
    <w:p>
      <w:pPr>
        <w:spacing w:after="120" w:line="276"/>
        <w:jc w:val="both"/>
      </w:pPr>
      <w:r>
        <w:rPr>
          <w:rFonts w:ascii="Times New Roman" w:cs="Times New Roman" w:eastAsia="Times New Roman" w:hAnsi="Times New Roman"/>
          <w:sz w:val="22"/>
          <w:szCs w:val="22"/>
        </w:rPr>
        <w:t xml:space="preserve">where Iₙ(t) is the local intensity feedback at source n, η is a learning rate, γ is a phase decay constant modeling non-radiative losses, and ξₙ(t) is an oscillatory drive that encodes seasonal (solstice/equinox) phase drift when parameterized as ξₙ(t) = Δφ·sin(2πt/T). This single equation simultaneously captures plasticity, forgetting, and biological circadian-like rhythms within the same physical substrate.</w:t>
      </w:r>
    </w:p>
    <w:p>
      <w:pPr>
        <w:pBdr>
          <w:bottom w:val="single" w:color="333333" w:sz="4" w:space="1"/>
        </w:pBdr>
        <w:spacing w:after="120" w:before="240"/>
      </w:pPr>
      <w:r>
        <w:rPr>
          <w:rFonts w:ascii="Times New Roman" w:cs="Times New Roman" w:eastAsia="Times New Roman" w:hAnsi="Times New Roman"/>
          <w:b/>
          <w:bCs/>
          <w:caps/>
          <w:sz w:val="22"/>
          <w:szCs w:val="22"/>
        </w:rPr>
        <w:t xml:space="preserve">3. Simulation Results</w:t>
      </w:r>
    </w:p>
    <w:p>
      <w:pPr>
        <w:spacing w:after="80" w:before="160"/>
      </w:pPr>
      <w:r>
        <w:rPr>
          <w:rFonts w:ascii="Times New Roman" w:cs="Times New Roman" w:eastAsia="Times New Roman" w:hAnsi="Times New Roman"/>
          <w:b/>
          <w:bCs/>
          <w:sz w:val="22"/>
          <w:szCs w:val="22"/>
        </w:rPr>
        <w:t xml:space="preserve">3.1 Static 2D Interference Map</w:t>
      </w:r>
    </w:p>
    <w:p>
      <w:pPr>
        <w:spacing w:after="120" w:line="276"/>
        <w:jc w:val="both"/>
      </w:pPr>
      <w:r>
        <w:rPr>
          <w:rFonts w:ascii="Times New Roman" w:cs="Times New Roman" w:eastAsia="Times New Roman" w:hAnsi="Times New Roman"/>
          <w:sz w:val="22"/>
          <w:szCs w:val="22"/>
        </w:rPr>
        <w:t xml:space="preserve">Figure 1 shows the initial (t = 0) 2D interference intensity field I(x, y) for N = 8 graphene axon sources arranged in a serpentine geometry with 23.5° tilt. Sources are distributed asymmetrically to introduce directional preference. The color map encodes normalized intensity: warm (red) regions correspond to constructive interference nodes (excitatory hotspots), while cool (blue) regions represent destructive interference nulls (inhibitory zones).</w:t>
      </w:r>
    </w:p>
    <w:p>
      <w:pPr>
        <w:spacing w:after="60" w:before="120"/>
        <w:jc w:val="center"/>
      </w:pPr>
      <w:r>
        <w:drawing>
          <wp:inline distT="0" distB="0" distL="0" distR="0">
            <wp:extent cx="4572000" cy="4067175"/>
            <wp:effectExtent t="0" r="0" b="0" l="0"/>
            <wp:docPr id="1" name="fig" descr="Simulation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067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Initial 2D THz interference intensity map (t = 0). Warm-colored regions (constructive interference) function as excitatory attention nodes; dark regions function as inhibitory nulls. N = 8 graphene axon sources in serpentine geometry with 23.5° directional tilt.</w:t>
      </w:r>
    </w:p>
    <w:p>
      <w:pPr>
        <w:spacing w:after="80" w:before="160"/>
      </w:pPr>
      <w:r>
        <w:rPr>
          <w:rFonts w:ascii="Times New Roman" w:cs="Times New Roman" w:eastAsia="Times New Roman" w:hAnsi="Times New Roman"/>
          <w:b/>
          <w:bCs/>
          <w:sz w:val="22"/>
          <w:szCs w:val="22"/>
        </w:rPr>
        <w:t xml:space="preserve">3.2 Dynamic Phase Evolution</w:t>
      </w:r>
    </w:p>
    <w:p>
      <w:pPr>
        <w:spacing w:after="120" w:line="276"/>
        <w:jc w:val="both"/>
      </w:pPr>
      <w:r>
        <w:rPr>
          <w:rFonts w:ascii="Times New Roman" w:cs="Times New Roman" w:eastAsia="Times New Roman" w:hAnsi="Times New Roman"/>
          <w:sz w:val="22"/>
          <w:szCs w:val="22"/>
        </w:rPr>
        <w:t xml:space="preserve">Figures 2–4 show successive time frames of the adaptive interference field. As the phase update rule (Section 2.4) iterates, attention hotspots migrate autonomously. This migration encodes temporal routing preference without any change to the physical geometry of the waveguide—the serpentine graphene trace remains fixed, but the effective neural routing pattern evolves through purely wave-physical adaptation.</w:t>
      </w:r>
    </w:p>
    <w:p>
      <w:pPr>
        <w:spacing w:after="60" w:before="120"/>
        <w:jc w:val="center"/>
      </w:pPr>
      <w:r>
        <w:drawing>
          <wp:inline distT="0" distB="0" distL="0" distR="0">
            <wp:extent cx="4572000" cy="4067175"/>
            <wp:effectExtent t="0" r="0" b="0" l="0"/>
            <wp:docPr id="1" name="fig" descr="Simulation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67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Interference map at t = 20 time steps. Hotspot displacement from initial position demonstrates adaptive phase learning. The primary attention node has shifted toward the upper-left quadrant, consistent with the asymmetric serpentine path-length distribution.</w:t>
      </w:r>
    </w:p>
    <w:p>
      <w:pPr>
        <w:spacing w:after="60" w:before="120"/>
        <w:jc w:val="center"/>
      </w:pPr>
      <w:r>
        <w:drawing>
          <wp:inline distT="0" distB="0" distL="0" distR="0">
            <wp:extent cx="4572000" cy="4067175"/>
            <wp:effectExtent t="0" r="0" b="0" l="0"/>
            <wp:docPr id="1" name="fig" descr="Simulation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067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Interference map at t = 40 time steps. Multi-lobe attention structure emerges, reminiscent of multi-head attention in transformer networks. The system self-organizes into spatially distinct routing channels without external control.</w:t>
      </w:r>
    </w:p>
    <w:p>
      <w:pPr>
        <w:spacing w:after="60" w:before="120"/>
        <w:jc w:val="center"/>
      </w:pPr>
      <w:r>
        <w:drawing>
          <wp:inline distT="0" distB="0" distL="0" distR="0">
            <wp:extent cx="4572000" cy="4067175"/>
            <wp:effectExtent t="0" r="0" b="0" l="0"/>
            <wp:docPr id="1" name="fig" descr="Simulation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067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Interference map at t = 60 time steps. Persistent high-intensity regions indicate memory consolidation via polariton cavity resonance (Section 3.3). Note the stable central node that persists across frames, analogous to long-term memory storage.</w:t>
      </w:r>
    </w:p>
    <w:p>
      <w:pPr>
        <w:spacing w:after="80" w:before="160"/>
      </w:pPr>
      <w:r>
        <w:rPr>
          <w:rFonts w:ascii="Times New Roman" w:cs="Times New Roman" w:eastAsia="Times New Roman" w:hAnsi="Times New Roman"/>
          <w:b/>
          <w:bCs/>
          <w:sz w:val="22"/>
          <w:szCs w:val="22"/>
        </w:rPr>
        <w:t xml:space="preserve">3.3 Polariton Cavity Resonance and Memory</w:t>
      </w:r>
    </w:p>
    <w:p>
      <w:pPr>
        <w:spacing w:after="120" w:line="276"/>
        <w:jc w:val="both"/>
      </w:pPr>
      <w:r>
        <w:rPr>
          <w:rFonts w:ascii="Times New Roman" w:cs="Times New Roman" w:eastAsia="Times New Roman" w:hAnsi="Times New Roman"/>
          <w:sz w:val="22"/>
          <w:szCs w:val="22"/>
        </w:rPr>
        <w:t xml:space="preserve">When the interference wavelength satisfies the cavity condition mλ = 2L (where L is the hBN cavity length and m is an integer mode number), standing-wave polariton states form. These states trap phase information, creating short-term memory that persists after the driving THz source is removed. Figure 5 illustrates a late-time frame where standing-wave memory nodes are visible as stationary bright features despite the continuing phase adaptation of other nodes.</w:t>
      </w:r>
    </w:p>
    <w:p>
      <w:pPr>
        <w:spacing w:after="60" w:before="120"/>
        <w:jc w:val="center"/>
      </w:pPr>
      <w:r>
        <w:drawing>
          <wp:inline distT="0" distB="0" distL="0" distR="0">
            <wp:extent cx="4572000" cy="4067175"/>
            <wp:effectExtent t="0" r="0" b="0" l="0"/>
            <wp:docPr id="1" name="fig" descr="Simulation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4067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Late-time interference map (t = 80) showing stable standing-wave memory nodes (bright stationary features) coexisting with dynamically migrating attention hotspots. The dual-timescale behavior mirrors the hippocampal short-term memory and cortical long-term memory distinction in neuroscience.</w:t>
      </w:r>
    </w:p>
    <w:p>
      <w:pPr>
        <w:spacing w:after="80" w:before="160"/>
      </w:pPr>
      <w:r>
        <w:rPr>
          <w:rFonts w:ascii="Times New Roman" w:cs="Times New Roman" w:eastAsia="Times New Roman" w:hAnsi="Times New Roman"/>
          <w:b/>
          <w:bCs/>
          <w:sz w:val="22"/>
          <w:szCs w:val="22"/>
        </w:rPr>
        <w:t xml:space="preserve">3.4 XOR Wave Logic</w:t>
      </w:r>
    </w:p>
    <w:p>
      <w:pPr>
        <w:spacing w:after="120" w:line="276"/>
        <w:jc w:val="both"/>
      </w:pPr>
      <w:r>
        <w:rPr>
          <w:rFonts w:ascii="Times New Roman" w:cs="Times New Roman" w:eastAsia="Times New Roman" w:hAnsi="Times New Roman"/>
          <w:sz w:val="22"/>
          <w:szCs w:val="22"/>
        </w:rPr>
        <w:t xml:space="preserve">One of the most significant properties of wave-based computation is the natural implementation of XOR logic, which is impossible for a single-layer linear perceptron. When two input channels carry phases 0 and π respectively, destructive interference yields output 0. When only one channel is active, constructive interference yields output 1. The truth table (Table 1) is reproduced physically by wave superposition.</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666"/>
        <w:gridCol w:w="1666"/>
        <w:gridCol w:w="1668"/>
      </w:tblGrid>
      <w:tr>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Input A</w:t>
            </w:r>
          </w:p>
        </w:tc>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Input B</w:t>
            </w:r>
          </w:p>
        </w:tc>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Output I</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0 (φ = 0)</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0 (φ = 0)</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0</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1 (φ = 0)</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0 (φ = 0)</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1</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0 (φ = 0)</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1 (φ = π)</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1</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1 (φ = 0)</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1 (φ = π)</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0</w:t>
            </w:r>
          </w:p>
        </w:tc>
      </w:tr>
    </w:tbl>
    <w:p>
      <w:pPr>
        <w:spacing w:after="200" w:before="80"/>
        <w:jc w:val="center"/>
      </w:pPr>
      <w:r>
        <w:rPr>
          <w:rFonts w:ascii="Times New Roman" w:cs="Times New Roman" w:eastAsia="Times New Roman" w:hAnsi="Times New Roman"/>
          <w:i/>
          <w:iCs/>
          <w:sz w:val="20"/>
          <w:szCs w:val="20"/>
        </w:rPr>
        <w:t xml:space="preserve">Table 1. XOR truth table implemented by wave interference. Input phases 0 and π map to logic values 0 and 1. Destructive interference (φA − φB = π) produces output 0; constructive interference produces output 1.</w:t>
      </w:r>
    </w:p>
    <w:p>
      <w:pPr>
        <w:spacing w:after="60" w:before="120"/>
        <w:jc w:val="center"/>
      </w:pPr>
      <w:r>
        <w:drawing>
          <wp:inline distT="0" distB="0" distL="0" distR="0">
            <wp:extent cx="4572000" cy="4067175"/>
            <wp:effectExtent t="0" r="0" b="0" l="0"/>
            <wp:docPr id="1" name="fig" descr="Simulation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4067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6. Final-state interference field (t = 100) demonstrating the fully evolved wave-neural system. Multiple cognitive primitives—excitation, inhibition, attention, memory, XOR logic, and adaptive routing—coexist within a single continuous THz field, illustrating the 'AI as physics' principle.</w:t>
      </w:r>
    </w:p>
    <w:p>
      <w:pPr>
        <w:pBdr>
          <w:bottom w:val="single" w:color="333333" w:sz="4" w:space="1"/>
        </w:pBdr>
        <w:spacing w:after="120" w:before="240"/>
      </w:pPr>
      <w:r>
        <w:rPr>
          <w:rFonts w:ascii="Times New Roman" w:cs="Times New Roman" w:eastAsia="Times New Roman" w:hAnsi="Times New Roman"/>
          <w:b/>
          <w:bCs/>
          <w:caps/>
          <w:sz w:val="22"/>
          <w:szCs w:val="22"/>
        </w:rPr>
        <w:t xml:space="preserve">4. Neuromorphic Primitives Emergent from the Architecture</w:t>
      </w:r>
    </w:p>
    <w:p>
      <w:pPr>
        <w:spacing w:after="120" w:line="276"/>
        <w:jc w:val="both"/>
      </w:pPr>
      <w:r>
        <w:rPr>
          <w:rFonts w:ascii="Times New Roman" w:cs="Times New Roman" w:eastAsia="Times New Roman" w:hAnsi="Times New Roman"/>
          <w:sz w:val="22"/>
          <w:szCs w:val="22"/>
        </w:rPr>
        <w:t xml:space="preserve">The simulations above demonstrate that a single graphene/hBN heterostructure encodes at least five distinct neuromorphic computational primitives simultaneously:</w:t>
      </w:r>
    </w:p>
    <w:p>
      <w:pPr>
        <w:spacing w:after="100" w:line="276"/>
        <w:jc w:val="both"/>
      </w:pPr>
      <w:r>
        <w:rPr>
          <w:rFonts w:ascii="Times New Roman" w:cs="Times New Roman" w:eastAsia="Times New Roman" w:hAnsi="Times New Roman"/>
          <w:b/>
          <w:bCs/>
          <w:sz w:val="22"/>
          <w:szCs w:val="22"/>
        </w:rPr>
        <w:t xml:space="preserve">(i) Excitation and Inhibition. </w:t>
      </w:r>
      <w:r>
        <w:rPr>
          <w:rFonts w:ascii="Times New Roman" w:cs="Times New Roman" w:eastAsia="Times New Roman" w:hAnsi="Times New Roman"/>
          <w:sz w:val="22"/>
          <w:szCs w:val="22"/>
        </w:rPr>
        <w:t xml:space="preserve">Constructive interference maxima function as EPSP-like excitatory nodes; destructive minima function as IPSP-like inhibitory nulls. No separate inhibitory circuitry is required.</w:t>
      </w:r>
    </w:p>
    <w:p>
      <w:pPr>
        <w:spacing w:after="100" w:line="276"/>
        <w:jc w:val="both"/>
      </w:pPr>
      <w:r>
        <w:rPr>
          <w:rFonts w:ascii="Times New Roman" w:cs="Times New Roman" w:eastAsia="Times New Roman" w:hAnsi="Times New Roman"/>
          <w:b/>
          <w:bCs/>
          <w:sz w:val="22"/>
          <w:szCs w:val="22"/>
        </w:rPr>
        <w:t xml:space="preserve">(ii) Attention. </w:t>
      </w:r>
      <w:r>
        <w:rPr>
          <w:rFonts w:ascii="Times New Roman" w:cs="Times New Roman" w:eastAsia="Times New Roman" w:hAnsi="Times New Roman"/>
          <w:sz w:val="22"/>
          <w:szCs w:val="22"/>
        </w:rPr>
        <w:t xml:space="preserve">High-intensity interference hotspots constitute a physical attention map functionally equivalent to the softmax attention scores of a transformer, but implemented without matrix multiplication.</w:t>
      </w:r>
    </w:p>
    <w:p>
      <w:pPr>
        <w:spacing w:after="100" w:line="276"/>
        <w:jc w:val="both"/>
      </w:pPr>
      <w:r>
        <w:rPr>
          <w:rFonts w:ascii="Times New Roman" w:cs="Times New Roman" w:eastAsia="Times New Roman" w:hAnsi="Times New Roman"/>
          <w:b/>
          <w:bCs/>
          <w:sz w:val="22"/>
          <w:szCs w:val="22"/>
        </w:rPr>
        <w:t xml:space="preserve">(iii) Short- and Long-Term Memory. </w:t>
      </w:r>
      <w:r>
        <w:rPr>
          <w:rFonts w:ascii="Times New Roman" w:cs="Times New Roman" w:eastAsia="Times New Roman" w:hAnsi="Times New Roman"/>
          <w:sz w:val="22"/>
          <w:szCs w:val="22"/>
        </w:rPr>
        <w:t xml:space="preserve">Polariton cavity resonances (mλ = 2L) trap phase states transiently; Hebbian phase adaptation encodes longer-term routing preferences through the decay and reinforcement terms in the phase update equation.</w:t>
      </w:r>
    </w:p>
    <w:p>
      <w:pPr>
        <w:spacing w:after="100" w:line="276"/>
        <w:jc w:val="both"/>
      </w:pPr>
      <w:r>
        <w:rPr>
          <w:rFonts w:ascii="Times New Roman" w:cs="Times New Roman" w:eastAsia="Times New Roman" w:hAnsi="Times New Roman"/>
          <w:b/>
          <w:bCs/>
          <w:sz w:val="22"/>
          <w:szCs w:val="22"/>
        </w:rPr>
        <w:t xml:space="preserve">(iv) Non-linear Logic (XOR). </w:t>
      </w:r>
      <w:r>
        <w:rPr>
          <w:rFonts w:ascii="Times New Roman" w:cs="Times New Roman" w:eastAsia="Times New Roman" w:hAnsi="Times New Roman"/>
          <w:sz w:val="22"/>
          <w:szCs w:val="22"/>
        </w:rPr>
        <w:t xml:space="preserve">Wave superposition naturally implements XOR, overcoming the fundamental limitation of linear classifiers without introducing non-linear activation functions.</w:t>
      </w:r>
    </w:p>
    <w:p>
      <w:pPr>
        <w:spacing w:after="200" w:line="276"/>
        <w:jc w:val="both"/>
      </w:pPr>
      <w:r>
        <w:rPr>
          <w:rFonts w:ascii="Times New Roman" w:cs="Times New Roman" w:eastAsia="Times New Roman" w:hAnsi="Times New Roman"/>
          <w:b/>
          <w:bCs/>
          <w:sz w:val="22"/>
          <w:szCs w:val="22"/>
        </w:rPr>
        <w:t xml:space="preserve">(v) Temporal Coding via Geometric Asymmetry. </w:t>
      </w:r>
      <w:r>
        <w:rPr>
          <w:rFonts w:ascii="Times New Roman" w:cs="Times New Roman" w:eastAsia="Times New Roman" w:hAnsi="Times New Roman"/>
          <w:sz w:val="22"/>
          <w:szCs w:val="22"/>
        </w:rPr>
        <w:t xml:space="preserve">The 23.5° serpentine tilt introduces path-length asymmetry that breaks spatial isotropy, encoding directional temporal phase drift analogous to seasonal circadian rhythms in biological systems.</w:t>
      </w:r>
    </w:p>
    <w:p>
      <w:pPr>
        <w:spacing w:after="120" w:line="276"/>
        <w:jc w:val="both"/>
      </w:pPr>
      <w:r>
        <w:rPr>
          <w:rFonts w:ascii="Times New Roman" w:cs="Times New Roman" w:eastAsia="Times New Roman" w:hAnsi="Times New Roman"/>
          <w:sz w:val="22"/>
          <w:szCs w:val="22"/>
        </w:rPr>
        <w:t xml:space="preserve">Table 2 summarizes the mapping between biological neural elements and the physical components of the proposed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Biological Element</w:t>
            </w:r>
          </w:p>
        </w:tc>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Physical Component</w:t>
            </w:r>
          </w:p>
        </w:tc>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Functional Role</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Axon</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Graphene plasmonic channel</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THz wave propagation, phase routing</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Synapse</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hBN HPP coupling region</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Tunable amplitude/phase weighting</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EPSP summation</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Constructive interference</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Excitatory attention node</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IPSP cancellation</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Destructive interference</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Inhibitory null / suppression</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Hippocampus (STM)</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Polariton cavity standing wave</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Transient phase memory storage</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Cortex (LTM)</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Hebbian phase adaptation</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Long-term routing preference</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Circadian rhythm</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Serpentine 23.5° tilt drift</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Temporal coding / oscillatory routing</w:t>
            </w:r>
          </w:p>
        </w:tc>
      </w:tr>
    </w:tbl>
    <w:p>
      <w:pPr>
        <w:spacing w:after="240" w:before="80"/>
        <w:jc w:val="center"/>
      </w:pPr>
      <w:r>
        <w:rPr>
          <w:rFonts w:ascii="Times New Roman" w:cs="Times New Roman" w:eastAsia="Times New Roman" w:hAnsi="Times New Roman"/>
          <w:i/>
          <w:iCs/>
          <w:sz w:val="20"/>
          <w:szCs w:val="20"/>
        </w:rPr>
        <w:t xml:space="preserve">Table 2. Mapping between biological neural elements and physical components of the graphene/hBN neuromorphic architecture.</w:t>
      </w:r>
    </w:p>
    <w:p>
      <w:pPr>
        <w:pBdr>
          <w:bottom w:val="single" w:color="333333" w:sz="4" w:space="1"/>
        </w:pBdr>
        <w:spacing w:after="120" w:before="240"/>
      </w:pPr>
      <w:r>
        <w:rPr>
          <w:rFonts w:ascii="Times New Roman" w:cs="Times New Roman" w:eastAsia="Times New Roman" w:hAnsi="Times New Roman"/>
          <w:b/>
          <w:bCs/>
          <w:caps/>
          <w:sz w:val="22"/>
          <w:szCs w:val="22"/>
        </w:rPr>
        <w:t xml:space="preserve">5. Connection to 6G Physical AI</w:t>
      </w:r>
    </w:p>
    <w:p>
      <w:pPr>
        <w:spacing w:after="80" w:before="160"/>
      </w:pPr>
      <w:r>
        <w:rPr>
          <w:rFonts w:ascii="Times New Roman" w:cs="Times New Roman" w:eastAsia="Times New Roman" w:hAnsi="Times New Roman"/>
          <w:b/>
          <w:bCs/>
          <w:sz w:val="22"/>
          <w:szCs w:val="22"/>
        </w:rPr>
        <w:t xml:space="preserve">5.1 ISAC Integration</w:t>
      </w:r>
    </w:p>
    <w:p>
      <w:pPr>
        <w:spacing w:after="120" w:line="276"/>
        <w:jc w:val="both"/>
      </w:pPr>
      <w:r>
        <w:rPr>
          <w:rFonts w:ascii="Times New Roman" w:cs="Times New Roman" w:eastAsia="Times New Roman" w:hAnsi="Times New Roman"/>
          <w:sz w:val="22"/>
          <w:szCs w:val="22"/>
        </w:rPr>
        <w:t xml:space="preserve">6G mandates tight integration of sensing and communication in the same waveform (ISAC). The attention hotspot field I(x, y, t) produced by the graphene/hBN architecture is inherently a spatial map of signal intensity—precisely the output needed for THz radar-like object tracking. As an ISAC receiver, the architecture resolves communication direction and sensed target position simultaneously from a single continuous THz field, eliminating the need for separate sensing and beamforming modules.</w:t>
      </w:r>
    </w:p>
    <w:p>
      <w:pPr>
        <w:spacing w:after="80" w:before="160"/>
      </w:pPr>
      <w:r>
        <w:rPr>
          <w:rFonts w:ascii="Times New Roman" w:cs="Times New Roman" w:eastAsia="Times New Roman" w:hAnsi="Times New Roman"/>
          <w:b/>
          <w:bCs/>
          <w:sz w:val="22"/>
          <w:szCs w:val="22"/>
        </w:rPr>
        <w:t xml:space="preserve">5.2 Comparison with CMOS Beamforming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Parameter</w:t>
            </w:r>
          </w:p>
        </w:tc>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Massive MIMO / CMOS</w:t>
            </w:r>
          </w:p>
        </w:tc>
        <w:tc>
          <w:tcPr>
            <w:tcBorders>
              <w:top w:val="single" w:color="999999" w:sz="4"/>
              <w:left w:val="single" w:color="999999" w:sz="4"/>
              <w:bottom w:val="single" w:color="999999" w:sz="4"/>
              <w:right w:val="single" w:color="999999" w:sz="4"/>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Graphene/hBN (This Work)</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Beamforming method</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Digital phase shifter arrays</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Wave interference (passive)</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Power scaling</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 N² (antenna elements)</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Sub-linear (wave physics)</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Computation step</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Sequential (AI → beam)</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Unified (beam = AI)</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Memory</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External DRAM/SRAM</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Polariton cavity resonance</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Non-linear logic</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Activation functions (software)</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Wave XOR (hardware)</w:t>
            </w:r>
          </w:p>
        </w:tc>
      </w:tr>
      <w:tr>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Frequency range</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mmWave (limited THz)</w:t>
            </w:r>
          </w:p>
        </w:tc>
        <w:tc>
          <w:tcPr>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0"/>
                <w:szCs w:val="20"/>
              </w:rPr>
              <w:t xml:space="preserve">0.1–10 THz (native)</w:t>
            </w:r>
          </w:p>
        </w:tc>
      </w:tr>
    </w:tbl>
    <w:p>
      <w:pPr>
        <w:spacing w:after="200" w:before="80"/>
        <w:jc w:val="center"/>
      </w:pPr>
      <w:r>
        <w:rPr>
          <w:rFonts w:ascii="Times New Roman" w:cs="Times New Roman" w:eastAsia="Times New Roman" w:hAnsi="Times New Roman"/>
          <w:i/>
          <w:iCs/>
          <w:sz w:val="20"/>
          <w:szCs w:val="20"/>
        </w:rPr>
        <w:t xml:space="preserve">Table 3. Comparison of CMOS-based massive MIMO beamforming with the proposed graphene/hBN wave-native architecture.</w:t>
      </w:r>
    </w:p>
    <w:p>
      <w:pPr>
        <w:spacing w:after="80" w:before="160"/>
      </w:pPr>
      <w:r>
        <w:rPr>
          <w:rFonts w:ascii="Times New Roman" w:cs="Times New Roman" w:eastAsia="Times New Roman" w:hAnsi="Times New Roman"/>
          <w:b/>
          <w:bCs/>
          <w:sz w:val="22"/>
          <w:szCs w:val="22"/>
        </w:rPr>
        <w:t xml:space="preserve">5.3 Physical AI as a Paradigm Shift</w:t>
      </w:r>
    </w:p>
    <w:p>
      <w:pPr>
        <w:spacing w:after="120" w:line="276"/>
        <w:jc w:val="both"/>
      </w:pPr>
      <w:r>
        <w:rPr>
          <w:rFonts w:ascii="Times New Roman" w:cs="Times New Roman" w:eastAsia="Times New Roman" w:hAnsi="Times New Roman"/>
          <w:sz w:val="22"/>
          <w:szCs w:val="22"/>
        </w:rPr>
        <w:t xml:space="preserve">The distinction between 'AI on hardware' and 'AI as physics' is not semantic. Conventional edge AI accelerates software inference using specialized CMOS silicon (NPUs, TPUs). The graphene/hBN framework instead encodes inference directly in the dispersion relation and geometry of the wave medium. The implication is profound: latency is bounded by the speed of polariton propagation (approaching c/neff), power dissipation is limited by photonic rather than electronic loss channels, and the 'model' is the physical structure rather than a software weight matrix. This is the sense in which the proposed architecture constitutes Physical AI.</w:t>
      </w:r>
    </w:p>
    <w:p>
      <w:pPr>
        <w:pBdr>
          <w:bottom w:val="single" w:color="333333" w:sz="4" w:space="1"/>
        </w:pBdr>
        <w:spacing w:after="120" w:before="240"/>
      </w:pPr>
      <w:r>
        <w:rPr>
          <w:rFonts w:ascii="Times New Roman" w:cs="Times New Roman" w:eastAsia="Times New Roman" w:hAnsi="Times New Roman"/>
          <w:b/>
          <w:bCs/>
          <w:caps/>
          <w:sz w:val="22"/>
          <w:szCs w:val="22"/>
        </w:rPr>
        <w:t xml:space="preserve">6. Discussion</w:t>
      </w:r>
    </w:p>
    <w:p>
      <w:pPr>
        <w:spacing w:after="120" w:line="276"/>
        <w:jc w:val="both"/>
      </w:pPr>
      <w:r>
        <w:rPr>
          <w:rFonts w:ascii="Times New Roman" w:cs="Times New Roman" w:eastAsia="Times New Roman" w:hAnsi="Times New Roman"/>
          <w:sz w:val="22"/>
          <w:szCs w:val="22"/>
        </w:rPr>
        <w:t xml:space="preserve">Several practical challenges must be addressed before the proposed architecture is experimentally realized. First, graphene quality at THz frequencies is sensitive to substrate disorder; encapsulation within hBN flakes is a known mitigation strategy that simultaneously provides the synaptic coupling layer. Second, gate tunability of graphene Fermi energy EF on the timescales required for adaptive beamforming (microseconds) is feasible with ion-gel top gates but remains challenging at the device integration scale. Third, the serpentine geometry with 23.5° tilt introduces controllable anisotropy; however, lithographic precision at the nanometer scale required for THz-frequency path-length encoding demands advanced e-beam or EUV patterning.</w:t>
      </w:r>
    </w:p>
    <w:p>
      <w:pPr>
        <w:spacing w:after="120" w:line="276"/>
        <w:jc w:val="both"/>
      </w:pPr>
      <w:r>
        <w:rPr>
          <w:rFonts w:ascii="Times New Roman" w:cs="Times New Roman" w:eastAsia="Times New Roman" w:hAnsi="Times New Roman"/>
          <w:sz w:val="22"/>
          <w:szCs w:val="22"/>
        </w:rPr>
        <w:t xml:space="preserve">The multi-layer extension of the architecture—stacking cavity, routing, attention, and memory layers—maps conceptually onto a physical transformer. Each 'head' of attention corresponds to a distinct polariton mode in a separate hBN cavity layer. Cross-layer coupling mediates the equivalent of residual connections. While this multi-layer realization remains theoretical, recent progress in van der Waals heterostructure assembly suggests it is experimentally tractable within a 5–10 year horizon.</w:t>
      </w:r>
    </w:p>
    <w:p>
      <w:pPr>
        <w:spacing w:after="120" w:line="276"/>
        <w:jc w:val="both"/>
      </w:pPr>
      <w:r>
        <w:rPr>
          <w:rFonts w:ascii="Times New Roman" w:cs="Times New Roman" w:eastAsia="Times New Roman" w:hAnsi="Times New Roman"/>
          <w:sz w:val="22"/>
          <w:szCs w:val="22"/>
        </w:rPr>
        <w:t xml:space="preserve">Finally, the humanoid nervous system topology extension—mapping brachial plexus, sciatic nerve, spinal cord, and autonomic ganglia onto serpentine graphene waveguide networks—represents a longer-term vision for robotic physical AI, where the same wave-native hardware simultaneously senses, communicates, and computes motor control signals without a central digital processor.</w:t>
      </w:r>
    </w:p>
    <w:p>
      <w:pPr>
        <w:pBdr>
          <w:bottom w:val="single" w:color="333333" w:sz="4" w:space="1"/>
        </w:pBdr>
        <w:spacing w:after="120" w:before="240"/>
      </w:pPr>
      <w:r>
        <w:rPr>
          <w:rFonts w:ascii="Times New Roman" w:cs="Times New Roman" w:eastAsia="Times New Roman" w:hAnsi="Times New Roman"/>
          <w:b/>
          <w:bCs/>
          <w:caps/>
          <w:sz w:val="22"/>
          <w:szCs w:val="22"/>
        </w:rPr>
        <w:t xml:space="preserve">7. Conclusion</w:t>
      </w:r>
    </w:p>
    <w:p>
      <w:pPr>
        <w:spacing w:after="120" w:line="276"/>
        <w:jc w:val="both"/>
      </w:pPr>
      <w:r>
        <w:rPr>
          <w:rFonts w:ascii="Times New Roman" w:cs="Times New Roman" w:eastAsia="Times New Roman" w:hAnsi="Times New Roman"/>
          <w:sz w:val="22"/>
          <w:szCs w:val="22"/>
        </w:rPr>
        <w:t xml:space="preserve">We have presented a wave-native neuromorphic architecture for 6G Physical AI based on graphene plasmonic axon channels coupled to hBN hyperbolic phonon-polariton synapses. Through dynamic THz interference simulations, we demonstrated that the architecture naturally encodes excitation/inhibition, spatial attention, XOR logic, polariton memory, and adaptive phase learning within a single continuous wave field—without any digital computation. The framework unifies beamforming and inference in a single physical substrate, offering a compelling alternative to CMOS-based massive MIMO for 6G ISAC applications operating in the 0.1–10 THz band. The architecture is positioned for publications in Nature Electronics, Nature Communications, ACS Nano, and related high-impact venues given its combination of materials physics depth and system-level AI relevance.</w:t>
      </w:r>
    </w:p>
    <w:p>
      <w:pPr>
        <w:spacing w:after="80" w:before="240"/>
      </w:pPr>
      <w:r>
        <w:rPr>
          <w:rFonts w:ascii="Times New Roman" w:cs="Times New Roman" w:eastAsia="Times New Roman" w:hAnsi="Times New Roman"/>
          <w:b/>
          <w:bCs/>
          <w:sz w:val="22"/>
          <w:szCs w:val="22"/>
        </w:rPr>
        <w:t xml:space="preserve">Acknowledgments. </w:t>
      </w:r>
    </w:p>
    <w:p>
      <w:pPr>
        <w:spacing w:after="120" w:line="276"/>
        <w:jc w:val="both"/>
      </w:pPr>
      <w:r>
        <w:rPr>
          <w:rFonts w:ascii="Times New Roman" w:cs="Times New Roman" w:eastAsia="Times New Roman" w:hAnsi="Times New Roman"/>
          <w:sz w:val="22"/>
          <w:szCs w:val="22"/>
        </w:rPr>
        <w:t xml:space="preserve">The author thanks collaborators at Dong-eui Medical Center for stimulating interdisciplinary discussions. No external funding was received for this theoretical work.</w:t>
      </w:r>
    </w:p>
    <w:p>
      <w:pPr>
        <w:pBdr>
          <w:bottom w:val="single" w:color="333333" w:sz="4" w:space="1"/>
        </w:pBdr>
        <w:spacing w:after="120" w:before="240"/>
      </w:pPr>
      <w:r>
        <w:rPr>
          <w:rFonts w:ascii="Times New Roman" w:cs="Times New Roman" w:eastAsia="Times New Roman" w:hAnsi="Times New Roman"/>
          <w:b/>
          <w:bCs/>
          <w:caps/>
          <w:sz w:val="22"/>
          <w:szCs w:val="22"/>
        </w:rPr>
        <w:t xml:space="preserve">References</w:t>
      </w:r>
    </w:p>
    <w:p>
      <w:pPr>
        <w:spacing w:after="80"/>
      </w:pPr>
      <w:r>
        <w:rPr>
          <w:rFonts w:ascii="Times New Roman" w:cs="Times New Roman" w:eastAsia="Times New Roman" w:hAnsi="Times New Roman"/>
          <w:sz w:val="20"/>
          <w:szCs w:val="20"/>
        </w:rPr>
        <w:t xml:space="preserve">[1] Rappaport, T. S. et al. Wireless communications and applications above 100 GHz: Opportunities and challenges for 6G and beyond. IEEE Access 7, 78729–78757 (2019).</w:t>
      </w:r>
    </w:p>
    <w:p>
      <w:pPr>
        <w:spacing w:after="80"/>
      </w:pPr>
      <w:r>
        <w:rPr>
          <w:rFonts w:ascii="Times New Roman" w:cs="Times New Roman" w:eastAsia="Times New Roman" w:hAnsi="Times New Roman"/>
          <w:sz w:val="20"/>
          <w:szCs w:val="20"/>
        </w:rPr>
        <w:t xml:space="preserve">[2] Saad, W., Bennis, M. &amp; Chen, M. A vision of 6G wireless systems: Applications, enabling technologies, and design aspects. IEEE Netw. 34, 134–142 (2020).</w:t>
      </w:r>
    </w:p>
    <w:p>
      <w:pPr>
        <w:spacing w:after="80"/>
      </w:pPr>
      <w:r>
        <w:rPr>
          <w:rFonts w:ascii="Times New Roman" w:cs="Times New Roman" w:eastAsia="Times New Roman" w:hAnsi="Times New Roman"/>
          <w:sz w:val="20"/>
          <w:szCs w:val="20"/>
        </w:rPr>
        <w:t xml:space="preserve">[3] Basov, D. N., Fogler, M. M. &amp; García de Abajo, F. J. Polaritons in van der Waals materials. Science 354, aag1992 (2016).</w:t>
      </w:r>
    </w:p>
    <w:p>
      <w:pPr>
        <w:spacing w:after="80"/>
      </w:pPr>
      <w:r>
        <w:rPr>
          <w:rFonts w:ascii="Times New Roman" w:cs="Times New Roman" w:eastAsia="Times New Roman" w:hAnsi="Times New Roman"/>
          <w:sz w:val="20"/>
          <w:szCs w:val="20"/>
        </w:rPr>
        <w:t xml:space="preserve">[4] Dai, S. et al. Tunable phonon polaritons in atomically thin van der Waals crystals of boron nitride. Science 343, 1125–1129 (2014).</w:t>
      </w:r>
    </w:p>
    <w:p>
      <w:pPr>
        <w:spacing w:after="80"/>
      </w:pPr>
      <w:r>
        <w:rPr>
          <w:rFonts w:ascii="Times New Roman" w:cs="Times New Roman" w:eastAsia="Times New Roman" w:hAnsi="Times New Roman"/>
          <w:sz w:val="20"/>
          <w:szCs w:val="20"/>
        </w:rPr>
        <w:t xml:space="preserve">[5] Jablan, M., Buljan, H. &amp; Soljačić, M. Plasmonics in graphene at infrared frequencies. Phys. Rev. B 80, 245435 (2009).</w:t>
      </w:r>
    </w:p>
    <w:p>
      <w:pPr>
        <w:spacing w:after="80"/>
      </w:pPr>
      <w:r>
        <w:rPr>
          <w:rFonts w:ascii="Times New Roman" w:cs="Times New Roman" w:eastAsia="Times New Roman" w:hAnsi="Times New Roman"/>
          <w:sz w:val="20"/>
          <w:szCs w:val="20"/>
        </w:rPr>
        <w:t xml:space="preserve">[6] Low, T. &amp; Avouris, P. Graphene plasmonics for terahertz to mid-infrared applications. ACS Nano 8, 1086–1101 (2014).</w:t>
      </w:r>
    </w:p>
    <w:p>
      <w:pPr>
        <w:spacing w:after="80"/>
      </w:pPr>
      <w:r>
        <w:rPr>
          <w:rFonts w:ascii="Times New Roman" w:cs="Times New Roman" w:eastAsia="Times New Roman" w:hAnsi="Times New Roman"/>
          <w:sz w:val="20"/>
          <w:szCs w:val="20"/>
        </w:rPr>
        <w:t xml:space="preserve">[7] Caldwell, J. D. et al. Sub-diffractional volume-confined polaritons in the natural hyperbolic material hexagonal boron nitride. Nat. Commun. 5, 5221 (2014).</w:t>
      </w:r>
    </w:p>
    <w:p>
      <w:pPr>
        <w:spacing w:after="80"/>
      </w:pPr>
      <w:r>
        <w:rPr>
          <w:rFonts w:ascii="Times New Roman" w:cs="Times New Roman" w:eastAsia="Times New Roman" w:hAnsi="Times New Roman"/>
          <w:sz w:val="20"/>
          <w:szCs w:val="20"/>
        </w:rPr>
        <w:t xml:space="preserve">[8] Maier, S. A. Plasmonics: Fundamentals and Applications. Springer, New York (2007).</w:t>
      </w:r>
    </w:p>
    <w:p>
      <w:pPr>
        <w:spacing w:after="80"/>
      </w:pPr>
      <w:r>
        <w:rPr>
          <w:rFonts w:ascii="Times New Roman" w:cs="Times New Roman" w:eastAsia="Times New Roman" w:hAnsi="Times New Roman"/>
          <w:sz w:val="20"/>
          <w:szCs w:val="20"/>
        </w:rPr>
        <w:t xml:space="preserve">[9] Liu, F. et al. Integrated sensing and communications: Towards dual-functional wireless networks for 6G and beyond. IEEE J. Sel. Areas Commun. 40, 1728–1767 (2022).</w:t>
      </w:r>
    </w:p>
    <w:p>
      <w:pPr>
        <w:spacing w:after="80"/>
      </w:pPr>
      <w:r>
        <w:rPr>
          <w:rFonts w:ascii="Times New Roman" w:cs="Times New Roman" w:eastAsia="Times New Roman" w:hAnsi="Times New Roman"/>
          <w:sz w:val="20"/>
          <w:szCs w:val="20"/>
        </w:rPr>
        <w:t xml:space="preserve">[10] Markovic, D., Mizrahi, A., Querlioz, D. &amp; Grollier, J. Physics for neuromorphic computing. Nat. Rev. Phys. 2, 499–510 (2020).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 2025 Chur Chin. Published under CC BY 4.0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55555"/>
        <w:sz w:val="18"/>
        <w:szCs w:val="18"/>
      </w:rPr>
      <w:t xml:space="preserve">Chin / Wave-Interference Neuromorphic Architecture for 6G Physical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dd996d7e3a3e65dd7679ccc3a3b2db83407a12.png"/><Relationship Id="rId10" Type="http://schemas.openxmlformats.org/officeDocument/2006/relationships/image" Target="media/f5a21cdc0869f699cd136d4149c109c0d1a024d6.png"/><Relationship Id="rId11" Type="http://schemas.openxmlformats.org/officeDocument/2006/relationships/image" Target="media/957b2ac6e9a4ca7f2b584b94c768c89cad59013e.png"/><Relationship Id="rId12" Type="http://schemas.openxmlformats.org/officeDocument/2006/relationships/image" Target="media/9b63394401446edf1b1355ae35943a94bf52598c.png"/><Relationship Id="rId13" Type="http://schemas.openxmlformats.org/officeDocument/2006/relationships/image" Target="media/32eaf1fa09ce35dbf847f156bb2c38e72e11abb7.png"/><Relationship Id="rId14" Type="http://schemas.openxmlformats.org/officeDocument/2006/relationships/image" Target="media/6385c8b480f9feca49d7997afaaa3db195f9d8e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2026-05-05T10:35:00.317Z</dcterms:created>
  <dcterms:modified xsi:type="dcterms:W3CDTF">2026-05-05T10:35:00.317Z</dcterms:modified>
</cp:coreProperties>
</file>

<file path=docProps/custom.xml><?xml version="1.0" encoding="utf-8"?>
<Properties xmlns="http://schemas.openxmlformats.org/officeDocument/2006/custom-properties" xmlns:vt="http://schemas.openxmlformats.org/officeDocument/2006/docPropsVTypes"/>
</file>