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60"/>
        <w:jc w:val="center"/>
      </w:pPr>
      <w:r>
        <w:rPr>
          <w:rFonts w:ascii="Times New Roman" w:cs="Times New Roman" w:eastAsia="Times New Roman" w:hAnsi="Times New Roman"/>
          <w:b/>
          <w:bCs/>
          <w:sz w:val="28"/>
          <w:szCs w:val="28"/>
        </w:rPr>
        <w:t xml:space="preserve">Multi-Frequency Phase-Coupled Graphene–hBN Serpentine Heterostructure Integrated with DNA Origami for Chiral Polaritonic Memory and Resonance-Enhanced Signal Propagation: Revised Manuscript Including Aqueous/Liquid-Crystal DNA-Origami Immersion at hBN Input/Output Sections</w:t>
      </w:r>
    </w:p>
    <w:p>
      <w:pPr>
        <w:spacing w:after="80" w:line="276"/>
        <w:jc w:val="center"/>
      </w:pPr>
      <w:r>
        <w:rPr>
          <w:rFonts w:ascii="Times New Roman" w:cs="Times New Roman" w:eastAsia="Times New Roman" w:hAnsi="Times New Roman"/>
          <w:sz w:val="24"/>
          <w:szCs w:val="24"/>
        </w:rPr>
        <w:t xml:space="preserve">Chur Chin</w:t>
      </w:r>
      <w:r>
        <w:rPr>
          <w:rFonts w:ascii="Times New Roman" w:cs="Times New Roman" w:eastAsia="Times New Roman" w:hAnsi="Times New Roman"/>
          <w:sz w:val="24"/>
          <w:szCs w:val="24"/>
          <w:vertAlign w:val="superscript"/>
        </w:rPr>
        <w:t xml:space="preserve">a,*</w:t>
      </w:r>
    </w:p>
    <w:p>
      <w:pPr>
        <w:spacing w:after="80" w:line="276"/>
        <w:jc w:val="center"/>
      </w:pPr>
      <w:r>
        <w:rPr>
          <w:rFonts w:ascii="Times New Roman" w:cs="Times New Roman" w:eastAsia="Times New Roman" w:hAnsi="Times New Roman"/>
          <w:i/>
          <w:iCs/>
          <w:sz w:val="22"/>
          <w:szCs w:val="22"/>
        </w:rPr>
        <w:t xml:space="preserve">ᵃ Department of Family Medicine, Dong-eui Medical Center, Busan 47227, Republic of Korea</w:t>
      </w:r>
    </w:p>
    <w:p>
      <w:pPr>
        <w:spacing w:after="360" w:line="276"/>
        <w:jc w:val="center"/>
      </w:pPr>
      <w:r>
        <w:rPr>
          <w:rFonts w:ascii="Times New Roman" w:cs="Times New Roman" w:eastAsia="Times New Roman" w:hAnsi="Times New Roman"/>
          <w:sz w:val="22"/>
          <w:szCs w:val="22"/>
        </w:rPr>
        <w:t xml:space="preserve">*Electronic mail: chur.chin@dmc.or.kr</w:t>
      </w:r>
    </w:p>
    <w:p>
      <w:pPr>
        <w:spacing w:after="120" w:line="276"/>
        <w:jc w:val="center"/>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sz w:val="24"/>
          <w:szCs w:val="24"/>
        </w:rPr>
        <w:t xml:space="preserve">We propose and theoretically investigate a revised multi-frequency phase-coupled heterostructure comprising a serpentine graphene axon, hexagonal boron nitride (hBN) phonon-polariton coupling sections, and DNA origami scaffolds as chiral RF torsional resonators. Building upon the original architecture, this revision introduces a key structural modification: DNA origami is immersed in either an aqueous buffer or a nematic liquid crystal (LC) medium exclusively at the hBN input/output (I/O) coupling sections, while the central serpentine graphene segment remains dry and uncoated. This localized immersion strategy exploits the high dielectric permittivity of water (ε ≈ 78–80) and the electro-optic tunability of liquid crystals as additional impedance-matching and phase-modulation levers at the I/O interfaces. The Möbius-like phase closure condition ΔΦ = k_IR L + α A_RF + β I_UV + γ C_DNA + δ ε_medium ≈ π is extended to include the medium-dielectric contribution δ ε_medium. Simulations suggest that the aqueous environment further stabilizes DNA origami torsional resonance by suppressing thermal conformational noise, while LC media offer electrically switchable birefringence that dynamically tunes the effective plasmon impedance at the I/O sections. The platform offers a route toward room-temperature, reconfigurable, chirality-selective polaritonic computing primitives with enhanced signal fidelity at the critical input/output junctions.</w:t>
      </w:r>
    </w:p>
    <w:p>
      <w:pPr>
        <w:spacing w:after="28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graphene plasmonics; hexagonal boron nitride; DNA origami; aqueous immersion; liquid crystal; Moiré superlattice; chiral polariton; RF torsional resonance; impedance matching; serpentine waveguide; neuromorphic computing</w:t>
      </w:r>
    </w:p>
    <w:p>
      <w:pPr>
        <w:spacing w:after="120" w:before="260"/>
      </w:pPr>
      <w:r>
        <w:rPr>
          <w:rFonts w:ascii="Times New Roman" w:cs="Times New Roman" w:eastAsia="Times New Roman" w:hAnsi="Times New Roman"/>
          <w:b/>
          <w:bCs/>
          <w:sz w:val="24"/>
          <w:szCs w:val="24"/>
        </w:rPr>
        <w:t xml:space="preserve">I. INTRODUCTION</w:t>
      </w:r>
    </w:p>
    <w:p>
      <w:pPr>
        <w:spacing w:after="140" w:line="276"/>
        <w:ind w:firstLine="720"/>
        <w:jc w:val="both"/>
      </w:pPr>
      <w:r>
        <w:rPr>
          <w:rFonts w:ascii="Times New Roman" w:cs="Times New Roman" w:eastAsia="Times New Roman" w:hAnsi="Times New Roman"/>
          <w:sz w:val="24"/>
          <w:szCs w:val="24"/>
        </w:rPr>
        <w:t xml:space="preserve">The original version of this manuscript introduced a multi-frequency device framework combining a serpentine graphene axon, hexagonal boron nitride (hBN) phonon-polariton I/O sections, and DNA origami as a chiral RF torsional resonator (1). The core concept relied on three frequency bands—infrared/terahertz (IR/THz) for local plasmon–phonon polariton propagation, radiofrequency (RF) for global phase synchronization enhanced by DNA torsional resonance (~9–10 GHz), and ultraviolet (UV) pulses for carrier-density modulation—to achieve a Möbius-like phase closure condition governing deterministic signal inversion.</w:t>
      </w:r>
    </w:p>
    <w:p>
      <w:pPr>
        <w:spacing w:after="140" w:line="276"/>
        <w:ind w:firstLine="720"/>
        <w:jc w:val="both"/>
      </w:pPr>
      <w:r>
        <w:rPr>
          <w:rFonts w:ascii="Times New Roman" w:cs="Times New Roman" w:eastAsia="Times New Roman" w:hAnsi="Times New Roman"/>
          <w:sz w:val="24"/>
          <w:szCs w:val="24"/>
        </w:rPr>
        <w:t xml:space="preserve">A key open question in the original framework concerned the mechanical stability of DNA origami at the hBN I/O sections and the degree of dielectric impedance matching at those critical junctions. In standard device configurations, DNA origami adsorbed from solution onto a substrate retains a thin hydration layer, and conformational thermal noise remains a limiting factor for reproducible RF coupling (2,3). Moreover, the abrupt transition from free-space IR excitation to the graphene plasmon mode demands careful management of the local dielectric environment at the I/O interface (4).</w:t>
      </w:r>
    </w:p>
    <w:p>
      <w:pPr>
        <w:spacing w:after="140" w:line="276"/>
        <w:ind w:firstLine="720"/>
        <w:jc w:val="both"/>
      </w:pPr>
      <w:r>
        <w:rPr>
          <w:rFonts w:ascii="Times New Roman" w:cs="Times New Roman" w:eastAsia="Times New Roman" w:hAnsi="Times New Roman"/>
          <w:sz w:val="24"/>
          <w:szCs w:val="24"/>
        </w:rPr>
        <w:t xml:space="preserve">This revised manuscript addresses both issues by introducing a localized aqueous buffer or nematic liquid crystal (LC) immersion medium exclusively at the hBN I/O sections. The central serpentine graphene segment is intentionally kept free of any immersion medium to preserve high carrier mobility and unperturbed Moiré superlattice dynamics. This asymmetric architecture—immersed I/O junctions + dry central waveguide—provides three simultaneous benefits: (i) improved phonon-polariton impedance matching via high-ε dielectric loading at the I/O sections; (ii) enhanced DNA origami conformational stability through aqueous solvation or LC-mediated mechanical constraint; and (iii) electrical tunability of the local dielectric environment when liquid crystals are employed. The theoretical implications for the Möbius-like phase closure condition and the overall phase coupling map are analyzed in detail.</w:t>
      </w:r>
    </w:p>
    <w:p>
      <w:pPr>
        <w:spacing w:after="120" w:before="260"/>
      </w:pPr>
      <w:r>
        <w:rPr>
          <w:rFonts w:ascii="Times New Roman" w:cs="Times New Roman" w:eastAsia="Times New Roman" w:hAnsi="Times New Roman"/>
          <w:b/>
          <w:bCs/>
          <w:sz w:val="24"/>
          <w:szCs w:val="24"/>
        </w:rPr>
        <w:t xml:space="preserve">II. REVISED DEVICE ARCHITECTURE</w:t>
      </w:r>
    </w:p>
    <w:p>
      <w:pPr>
        <w:spacing w:after="140" w:line="276"/>
        <w:ind w:firstLine="720"/>
        <w:jc w:val="both"/>
      </w:pPr>
      <w:r>
        <w:rPr>
          <w:rFonts w:ascii="Times New Roman" w:cs="Times New Roman" w:eastAsia="Times New Roman" w:hAnsi="Times New Roman"/>
          <w:sz w:val="24"/>
          <w:szCs w:val="24"/>
        </w:rPr>
        <w:t xml:space="preserve">Figure 1 shows the revised device schematic. The overall structure retains the serpentine graphene axon geometry, with hBN (2–3 monolayers, d ≈ 0.7–1.0 nm) localized at the I/O coupling sections. The key modification is the introduction of a microfluidic or micro-droplet immersion zone at each hBN I/O section, filled with either (a) an aqueous DNA origami buffer (typically 1× TAE/Mg²⁺ buffer at pH 8.0, ε_aq ≈ 78–80 at room temperature) or (b) a nematic liquid crystal host (e.g., 5CB or E7, ordinary refractive index n_o ≈ 1.52, extraordinary n_e ≈ 1.72, with electrically tunable birefringence Δn ≈ 0.20 at 1 kHz). The central serpentine region is exposed to ambient or vacuum conditions and is not in contact with either medium.</w:t>
      </w:r>
    </w:p>
    <w:p>
      <w:pPr>
        <w:spacing w:after="80" w:line="276"/>
        <w:jc w:val="both"/>
      </w:pPr>
      <w:r>
        <w:rPr>
          <w:rFonts w:ascii="Times New Roman" w:cs="Times New Roman" w:eastAsia="Times New Roman" w:hAnsi="Times New Roman"/>
          <w:b/>
          <w:bCs/>
          <w:sz w:val="24"/>
          <w:szCs w:val="24"/>
        </w:rPr>
        <w:t xml:space="preserve">A. Aqueous Immersion Option</w:t>
      </w:r>
    </w:p>
    <w:p>
      <w:pPr>
        <w:spacing w:after="140" w:line="276"/>
        <w:ind w:firstLine="720"/>
        <w:jc w:val="both"/>
      </w:pPr>
      <w:r>
        <w:rPr>
          <w:rFonts w:ascii="Times New Roman" w:cs="Times New Roman" w:eastAsia="Times New Roman" w:hAnsi="Times New Roman"/>
          <w:sz w:val="24"/>
          <w:szCs w:val="24"/>
        </w:rPr>
        <w:t xml:space="preserve">When DNA origami is drop-cast and maintained in an aqueous buffer at the hBN I/O sections, the following effects are expected:</w:t>
      </w:r>
    </w:p>
    <w:p>
      <w:pPr>
        <w:spacing w:after="140" w:line="276"/>
        <w:ind w:firstLine="720"/>
        <w:jc w:val="both"/>
      </w:pPr>
      <w:r>
        <w:rPr>
          <w:rFonts w:ascii="Times New Roman" w:cs="Times New Roman" w:eastAsia="Times New Roman" w:hAnsi="Times New Roman"/>
          <w:sz w:val="24"/>
          <w:szCs w:val="24"/>
        </w:rPr>
        <w:t xml:space="preserve">(1) Thermal conformational noise suppression: The aqueous environment provides viscous damping of DNA torsional and bending fluctuations. Compared to dry-adsorbed DNA on graphene, MD simulations of DNA in aqueous environments adjacent to graphene surfaces show a 3–5× reduction in root-mean-square conformational displacement (5,6), directly improving reproducibility of the RF torsional resonance coupling.</w:t>
      </w:r>
    </w:p>
    <w:p>
      <w:pPr>
        <w:spacing w:after="140" w:line="276"/>
        <w:ind w:firstLine="720"/>
        <w:jc w:val="both"/>
      </w:pPr>
      <w:r>
        <w:rPr>
          <w:rFonts w:ascii="Times New Roman" w:cs="Times New Roman" w:eastAsia="Times New Roman" w:hAnsi="Times New Roman"/>
          <w:sz w:val="24"/>
          <w:szCs w:val="24"/>
        </w:rPr>
        <w:t xml:space="preserve">(2) Dielectric impedance matching: Water's high static permittivity (ε_aq ≈ 78–80) substantially modifies the local electromagnetic boundary conditions at the hBN I/O section. The effective plasmon–polariton wavevector at the interface is modified as k_eff = k_p √((ε_hBN + ε_aq)/2), reducing the impedance mismatch between the free-space IR source and the graphene plasmon mode and thereby lowering insertion loss.</w:t>
      </w:r>
    </w:p>
    <w:p>
      <w:pPr>
        <w:spacing w:after="140" w:line="276"/>
        <w:ind w:firstLine="720"/>
        <w:jc w:val="both"/>
      </w:pPr>
      <w:r>
        <w:rPr>
          <w:rFonts w:ascii="Times New Roman" w:cs="Times New Roman" w:eastAsia="Times New Roman" w:hAnsi="Times New Roman"/>
          <w:sz w:val="24"/>
          <w:szCs w:val="24"/>
        </w:rPr>
        <w:t xml:space="preserve">(3) DNA origami structural integrity: The hydration shell of DNA bases (0.5–1.5 nm thick) is preserved in aqueous conditions, maintaining B-form helix geometry and torsional stiffness. This is critical for the ~9–10 GHz resonance condition used in the RF coupling channel.</w:t>
      </w:r>
    </w:p>
    <w:p>
      <w:pPr>
        <w:spacing w:after="80" w:line="276"/>
        <w:jc w:val="both"/>
      </w:pPr>
      <w:r>
        <w:rPr>
          <w:rFonts w:ascii="Times New Roman" w:cs="Times New Roman" w:eastAsia="Times New Roman" w:hAnsi="Times New Roman"/>
          <w:b/>
          <w:bCs/>
          <w:sz w:val="24"/>
          <w:szCs w:val="24"/>
        </w:rPr>
        <w:t xml:space="preserve">B. Liquid Crystal Immersion Option</w:t>
      </w:r>
    </w:p>
    <w:p>
      <w:pPr>
        <w:spacing w:after="140" w:line="276"/>
        <w:ind w:firstLine="720"/>
        <w:jc w:val="both"/>
      </w:pPr>
      <w:r>
        <w:rPr>
          <w:rFonts w:ascii="Times New Roman" w:cs="Times New Roman" w:eastAsia="Times New Roman" w:hAnsi="Times New Roman"/>
          <w:sz w:val="24"/>
          <w:szCs w:val="24"/>
        </w:rPr>
        <w:t xml:space="preserve">When a nematic liquid crystal host is used at the hBN I/O sections instead of water, distinct advantages emerge:</w:t>
      </w:r>
    </w:p>
    <w:p>
      <w:pPr>
        <w:spacing w:after="140" w:line="276"/>
        <w:ind w:firstLine="720"/>
        <w:jc w:val="both"/>
      </w:pPr>
      <w:r>
        <w:rPr>
          <w:rFonts w:ascii="Times New Roman" w:cs="Times New Roman" w:eastAsia="Times New Roman" w:hAnsi="Times New Roman"/>
          <w:sz w:val="24"/>
          <w:szCs w:val="24"/>
        </w:rPr>
        <w:t xml:space="preserve">(1) Electrically switchable birefringence: LC molecules align along the applied electric field (Fréedericksz transition threshold ~1–5 V/μm for typical 5CB), allowing dynamic modulation of the local refractive index between n_o ≈ 1.52 and n_e ≈ 1.72. This provides real-time electrical control of the effective plasmon impedance at the I/O section, adding a fourth tuning knob to the existing IR/RF/UV triplet.</w:t>
      </w:r>
    </w:p>
    <w:p>
      <w:pPr>
        <w:spacing w:after="140" w:line="276"/>
        <w:ind w:firstLine="720"/>
        <w:jc w:val="both"/>
      </w:pPr>
      <w:r>
        <w:rPr>
          <w:rFonts w:ascii="Times New Roman" w:cs="Times New Roman" w:eastAsia="Times New Roman" w:hAnsi="Times New Roman"/>
          <w:sz w:val="24"/>
          <w:szCs w:val="24"/>
        </w:rPr>
        <w:t xml:space="preserve">(2) Chiral LC variants: Cholesteric (chiral nematic) LC hosts introduce a periodic helical director field with a pitch comparable to visible wavelengths, generating selective Bragg reflection for circularly polarized light. When DNA origami is dissolved in a cholesteric LC, the DNA chirality can template or amplify the LC helical pitch, producing a coupled DNA–LC chiral medium at the I/O section.</w:t>
      </w:r>
    </w:p>
    <w:p>
      <w:pPr>
        <w:spacing w:after="140" w:line="276"/>
        <w:ind w:firstLine="720"/>
        <w:jc w:val="both"/>
      </w:pPr>
      <w:r>
        <w:rPr>
          <w:rFonts w:ascii="Times New Roman" w:cs="Times New Roman" w:eastAsia="Times New Roman" w:hAnsi="Times New Roman"/>
          <w:sz w:val="24"/>
          <w:szCs w:val="24"/>
        </w:rPr>
        <w:t xml:space="preserve">(3) Mechanical DNA confinement: LC ordering forces impose orientational constraints on embedded DNA origami, suppressing out-of-plane conformational fluctuations and aligning the DNA helical axis preferentially along the LC director. This directional ordering may enhance the coupling efficiency of the DNA torsional mode with the RF field, which is polarized along the device plane.</w:t>
      </w:r>
    </w:p>
    <w:p>
      <w:pPr>
        <w:spacing w:after="80" w:line="276"/>
        <w:jc w:val="both"/>
      </w:pPr>
      <w:r>
        <w:rPr>
          <w:rFonts w:ascii="Times New Roman" w:cs="Times New Roman" w:eastAsia="Times New Roman" w:hAnsi="Times New Roman"/>
          <w:b/>
          <w:bCs/>
          <w:sz w:val="24"/>
          <w:szCs w:val="24"/>
        </w:rPr>
        <w:t xml:space="preserve">C. Spatial Selectivity: Why Only at the I/O Sections?</w:t>
      </w:r>
    </w:p>
    <w:p>
      <w:pPr>
        <w:spacing w:after="140" w:line="276"/>
        <w:ind w:firstLine="720"/>
        <w:jc w:val="both"/>
      </w:pPr>
      <w:r>
        <w:rPr>
          <w:rFonts w:ascii="Times New Roman" w:cs="Times New Roman" w:eastAsia="Times New Roman" w:hAnsi="Times New Roman"/>
          <w:sz w:val="24"/>
          <w:szCs w:val="24"/>
        </w:rPr>
        <w:t xml:space="preserve">Restricting the aqueous or LC immersion to the hBN I/O sections is a deliberate design choice. The central serpentine graphene segment must maintain high carrier mobility (μ &gt; 10,000 cm² V⁻¹ s⁻¹) and the Moiré superlattice potential of the graphene/hBN interface. Immersion of the central graphene region in water would introduce: (i) significant dielectric screening of the gate-tunable Fermi level, reducing plasmon confinement; (ii) ionic scattering from buffer salts; and (iii) disruption of the precisely controlled Moiré dipole landscape. By confining the immersion medium to the ~0.5–2 μm I/O coupling zones, these degradations are avoided while still capturing the impedance-matching and DNA-stability benefits at the input and output junctions.</w:t>
      </w:r>
    </w:p>
    <w:p>
      <w:pPr>
        <w:spacing w:after="120" w:before="260"/>
      </w:pPr>
      <w:r>
        <w:rPr>
          <w:rFonts w:ascii="Times New Roman" w:cs="Times New Roman" w:eastAsia="Times New Roman" w:hAnsi="Times New Roman"/>
          <w:b/>
          <w:bCs/>
          <w:sz w:val="24"/>
          <w:szCs w:val="24"/>
        </w:rPr>
        <w:t xml:space="preserve">III. EXTENDED PHASE COUPLING MODEL</w:t>
      </w:r>
    </w:p>
    <w:p>
      <w:pPr>
        <w:spacing w:after="140" w:line="276"/>
        <w:ind w:firstLine="720"/>
        <w:jc w:val="both"/>
      </w:pPr>
      <w:r>
        <w:rPr>
          <w:rFonts w:ascii="Times New Roman" w:cs="Times New Roman" w:eastAsia="Times New Roman" w:hAnsi="Times New Roman"/>
          <w:sz w:val="24"/>
          <w:szCs w:val="24"/>
        </w:rPr>
        <w:t xml:space="preserve">The total accumulated phase in the original framework was written as:</w:t>
      </w:r>
    </w:p>
    <w:p>
      <w:pPr>
        <w:spacing w:after="80" w:before="120"/>
        <w:jc w:val="center"/>
      </w:pPr>
      <w:r>
        <w:rPr>
          <w:rFonts w:ascii="Times New Roman" w:cs="Times New Roman" w:eastAsia="Times New Roman" w:hAnsi="Times New Roman"/>
          <w:sz w:val="24"/>
          <w:szCs w:val="24"/>
        </w:rPr>
        <w:t xml:space="preserve">ΔΦ = k_IR L + α A_RF + β I_UV + γ C_DNA  (original)</w:t>
      </w:r>
    </w:p>
    <w:p>
      <w:pPr>
        <w:spacing w:after="140" w:line="276"/>
        <w:ind w:firstLine="720"/>
        <w:jc w:val="both"/>
      </w:pPr>
      <w:r>
        <w:rPr>
          <w:rFonts w:ascii="Times New Roman" w:cs="Times New Roman" w:eastAsia="Times New Roman" w:hAnsi="Times New Roman"/>
          <w:sz w:val="24"/>
          <w:szCs w:val="24"/>
        </w:rPr>
        <w:t xml:space="preserve">In the revised architecture, the localized dielectric loading at the I/O sections introduces an additional phase contribution δ ε_medium:</w:t>
      </w:r>
    </w:p>
    <w:p>
      <w:pPr>
        <w:spacing w:after="120" w:before="80"/>
        <w:jc w:val="center"/>
      </w:pPr>
      <w:r>
        <w:rPr>
          <w:rFonts w:ascii="Times New Roman" w:cs="Times New Roman" w:eastAsia="Times New Roman" w:hAnsi="Times New Roman"/>
          <w:sz w:val="24"/>
          <w:szCs w:val="24"/>
        </w:rPr>
        <w:t xml:space="preserve">ΔΦ_rev = k_IR L + α A_RF + β I_UV + γ C_DNA + δ ε_medium  (revised)</w:t>
      </w:r>
    </w:p>
    <w:p>
      <w:pPr>
        <w:spacing w:after="140" w:line="276"/>
        <w:ind w:firstLine="720"/>
        <w:jc w:val="both"/>
      </w:pPr>
      <w:r>
        <w:rPr>
          <w:rFonts w:ascii="Times New Roman" w:cs="Times New Roman" w:eastAsia="Times New Roman" w:hAnsi="Times New Roman"/>
          <w:sz w:val="24"/>
          <w:szCs w:val="24"/>
        </w:rPr>
        <w:t xml:space="preserve">where δ is a dimensionless coupling coefficient that captures the sensitivity of the IR plasmon phase to the dielectric environment at the I/O sections, and ε_medium is the effective permittivity of the immersion zone (ε_aq ≈ 78–80 for water; ε_LC(V) ∈ [ε_o, ε_e] ≈ [2.3, 3.0] for 5CB at IR frequencies). The Möbius-like phase closure condition ΔΦ_rev ≈ π thus acquires an additional degree of freedom, allowing it to be satisfied over a wider range of IR wavevectors and RF amplitudes than in the original framework.</w:t>
      </w:r>
    </w:p>
    <w:p>
      <w:pPr>
        <w:spacing w:after="80" w:line="276"/>
        <w:jc w:val="both"/>
      </w:pPr>
      <w:r>
        <w:rPr>
          <w:rFonts w:ascii="Times New Roman" w:cs="Times New Roman" w:eastAsia="Times New Roman" w:hAnsi="Times New Roman"/>
          <w:b/>
          <w:bCs/>
          <w:sz w:val="24"/>
          <w:szCs w:val="24"/>
        </w:rPr>
        <w:t xml:space="preserve">A. Aqueous Medium Contribution</w:t>
      </w:r>
    </w:p>
    <w:p>
      <w:pPr>
        <w:spacing w:after="140" w:line="276"/>
        <w:ind w:firstLine="720"/>
        <w:jc w:val="both"/>
      </w:pPr>
      <w:r>
        <w:rPr>
          <w:rFonts w:ascii="Times New Roman" w:cs="Times New Roman" w:eastAsia="Times New Roman" w:hAnsi="Times New Roman"/>
          <w:sz w:val="24"/>
          <w:szCs w:val="24"/>
        </w:rPr>
        <w:t xml:space="preserve">For the aqueous case, ε_aq is large but frequency-dispersive: ε_aq(ω) drops from ~78 at DC to ~1.8 at infrared frequencies due to Debye relaxation of water (relaxation frequency ~20 GHz at room temperature). In the IR/THz plasmon band, ε_aq(ω) ≈ 2–5, which is comparable to hBN permittivities, making water a near-ideal dielectric impedance-matching layer for the I/O phonon-polariton junction. At RF frequencies (9–10 GHz for DNA torsional resonance), ε_aq ≈ 40–60, significantly enhancing the effective RF coupling between the applied field and the DNA torsional mode, which increases γ C_DNA in the phase equation and thereby stabilizes the Möbius condition against IR wavevector fluctuations.</w:t>
      </w:r>
    </w:p>
    <w:p>
      <w:pPr>
        <w:spacing w:after="80" w:line="276"/>
        <w:jc w:val="both"/>
      </w:pPr>
      <w:r>
        <w:rPr>
          <w:rFonts w:ascii="Times New Roman" w:cs="Times New Roman" w:eastAsia="Times New Roman" w:hAnsi="Times New Roman"/>
          <w:b/>
          <w:bCs/>
          <w:sz w:val="24"/>
          <w:szCs w:val="24"/>
        </w:rPr>
        <w:t xml:space="preserve">B. Liquid Crystal Medium Contribution</w:t>
      </w:r>
    </w:p>
    <w:p>
      <w:pPr>
        <w:spacing w:after="140" w:line="276"/>
        <w:ind w:firstLine="720"/>
        <w:jc w:val="both"/>
      </w:pPr>
      <w:r>
        <w:rPr>
          <w:rFonts w:ascii="Times New Roman" w:cs="Times New Roman" w:eastAsia="Times New Roman" w:hAnsi="Times New Roman"/>
          <w:sz w:val="24"/>
          <w:szCs w:val="24"/>
        </w:rPr>
        <w:t xml:space="preserve">For LC media at IR frequencies, ε_LC(ω) is primarily determined by the molecular polarizability tensor components along and perpendicular to the director. The voltage-dependent director reorientation (Fréedericksz transition) provides a continuous, electrically tunable ε_medium(V), which maps directly to a tunable δ ε_medium term in the phase equation. This enables closed-loop control of ΔΦ_rev without physically modifying the IR source power or the RF amplitude—a significant operational advantage. The switching time of the Fréedericksz transition (~1–10 ms for typical 5CB cell thickness of 5 μm) is orders of magnitude slower than the IR plasmon propagation (~ps), but is well-matched to the RF modulation timescale, making LC tuning compatible with the global phase synchronization knob.</w:t>
      </w:r>
    </w:p>
    <w:p>
      <w:pPr>
        <w:spacing w:after="120" w:before="260"/>
      </w:pPr>
      <w:r>
        <w:rPr>
          <w:rFonts w:ascii="Times New Roman" w:cs="Times New Roman" w:eastAsia="Times New Roman" w:hAnsi="Times New Roman"/>
          <w:b/>
          <w:bCs/>
          <w:sz w:val="24"/>
          <w:szCs w:val="24"/>
        </w:rPr>
        <w:t xml:space="preserve">IV. IMPLICATIONS FOR DNA ORIGAMI STABILITY AND RF COUPLING</w:t>
      </w:r>
    </w:p>
    <w:p>
      <w:pPr>
        <w:spacing w:after="80" w:line="276"/>
        <w:jc w:val="both"/>
      </w:pPr>
      <w:r>
        <w:rPr>
          <w:rFonts w:ascii="Times New Roman" w:cs="Times New Roman" w:eastAsia="Times New Roman" w:hAnsi="Times New Roman"/>
          <w:b/>
          <w:bCs/>
          <w:sz w:val="24"/>
          <w:szCs w:val="24"/>
        </w:rPr>
        <w:t xml:space="preserve">A. Aqueous Stabilization of DNA Torsional Resonance</w:t>
      </w:r>
    </w:p>
    <w:p>
      <w:pPr>
        <w:spacing w:after="140" w:line="276"/>
        <w:ind w:firstLine="720"/>
        <w:jc w:val="both"/>
      </w:pPr>
      <w:r>
        <w:rPr>
          <w:rFonts w:ascii="Times New Roman" w:cs="Times New Roman" w:eastAsia="Times New Roman" w:hAnsi="Times New Roman"/>
          <w:sz w:val="24"/>
          <w:szCs w:val="24"/>
        </w:rPr>
        <w:t xml:space="preserve">The torsional stiffness of B-form DNA is characterized by its twist persistence length L_tw ≈ 100–200 nm and torsional rigidity C_DNA ≈ 3–4 × 10⁻²⁸ N·m² (7). Thermal fluctuations in the torsional angle at room temperature are on the order of ΔΘ_rms ~ k_B T / (C_DNA / L), where L is the DNA segment length. For a typical DNA origami scaffold (L ≈ 50–100 nm), ΔΘ_rms ~ 5–15°, which represents a significant source of jitter in the RF resonance frequency. In the aqueous environment adjacent to graphene, viscous damping by the solvent (viscosity η_water ≈ 0.001 Pa·s at 20 °C) reduces the torsional fluctuation amplitude by adding a dissipative term to the equation of motion, decreasing ΔΘ_rms by an estimated factor of 2–4 relative to vacuum/dry conditions. This reduction directly narrows the linewidth of the DNA torsional resonance peak, improving the selectivity of the RF channel and the robustness of the γ C_DNA coupling term.</w:t>
      </w:r>
    </w:p>
    <w:p>
      <w:pPr>
        <w:spacing w:after="80" w:line="276"/>
        <w:jc w:val="both"/>
      </w:pPr>
      <w:r>
        <w:rPr>
          <w:rFonts w:ascii="Times New Roman" w:cs="Times New Roman" w:eastAsia="Times New Roman" w:hAnsi="Times New Roman"/>
          <w:b/>
          <w:bCs/>
          <w:sz w:val="24"/>
          <w:szCs w:val="24"/>
        </w:rPr>
        <w:t xml:space="preserve">B. LC-Mediated DNA Orientational Ordering</w:t>
      </w:r>
    </w:p>
    <w:p>
      <w:pPr>
        <w:spacing w:after="140" w:line="276"/>
        <w:ind w:firstLine="720"/>
        <w:jc w:val="both"/>
      </w:pPr>
      <w:r>
        <w:rPr>
          <w:rFonts w:ascii="Times New Roman" w:cs="Times New Roman" w:eastAsia="Times New Roman" w:hAnsi="Times New Roman"/>
          <w:sz w:val="24"/>
          <w:szCs w:val="24"/>
        </w:rPr>
        <w:t xml:space="preserve">When DNA origami is embedded in a nematic LC host at the I/O section, the LC elastic torque acts to align the DNA origami in-plane along the LC director, reducing out-of-plane bending fluctuations. The order parameter S of the LC (S ≈ 0.5–0.7 for 5CB at room temperature) defines the degree of orientational constraint. Aligned DNA origami presents a more uniform torsional resonance cross-section to the applied RF field, potentially increasing the effective coupling coefficient γ by a factor consistent with the improved orientational order S. Combined with the cholesteric variant—where the DNA chirality can be amplified by the LC helical field—this geometry provides a route toward chiroptically active, electrically switchable I/O junctions.</w:t>
      </w:r>
    </w:p>
    <w:p>
      <w:pPr>
        <w:spacing w:after="80" w:line="276"/>
        <w:jc w:val="both"/>
      </w:pPr>
      <w:r>
        <w:rPr>
          <w:rFonts w:ascii="Times New Roman" w:cs="Times New Roman" w:eastAsia="Times New Roman" w:hAnsi="Times New Roman"/>
          <w:b/>
          <w:bCs/>
          <w:sz w:val="24"/>
          <w:szCs w:val="24"/>
        </w:rPr>
        <w:t xml:space="preserve">C. Thermal Considerations</w:t>
      </w:r>
    </w:p>
    <w:p>
      <w:pPr>
        <w:spacing w:after="140" w:line="276"/>
        <w:ind w:firstLine="720"/>
        <w:jc w:val="both"/>
      </w:pPr>
      <w:r>
        <w:rPr>
          <w:rFonts w:ascii="Times New Roman" w:cs="Times New Roman" w:eastAsia="Times New Roman" w:hAnsi="Times New Roman"/>
          <w:sz w:val="24"/>
          <w:szCs w:val="24"/>
        </w:rPr>
        <w:t xml:space="preserve">The aqueous buffer maintains DNA origami in the B-form up to approximately 50–55 °C (melting temperature T_m for typical origami designs); Mg²⁺ stabilization and thymine photocrosslinking can extend T_m to ~80–90 °C (8). LC hosts are thermally stable below their isotropic clearing temperature (T_NI ≈ 35 °C for 5CB; ~60 °C for E7). The device operating window is therefore room temperature (20–25 °C) for both media, with an upper bound of ~50 °C for aqueous DNA and ~35–60 °C for LC media. The IR/THz local heating from graphene plasmon dissipation must be managed by thermal design of the substrate; hBN encapsulation and SiO₂/Si back substrates with high thermal conductivity are sufficient to maintain the I/O zones below 40 °C under typical operating conditions.</w:t>
      </w:r>
    </w:p>
    <w:p>
      <w:pPr>
        <w:spacing w:after="120" w:before="260"/>
      </w:pPr>
      <w:r>
        <w:rPr>
          <w:rFonts w:ascii="Times New Roman" w:cs="Times New Roman" w:eastAsia="Times New Roman" w:hAnsi="Times New Roman"/>
          <w:b/>
          <w:bCs/>
          <w:sz w:val="24"/>
          <w:szCs w:val="24"/>
        </w:rPr>
        <w:t xml:space="preserve">V. UPDATED SIMULATED PHASE COUPLING MAPS</w:t>
      </w:r>
    </w:p>
    <w:p>
      <w:pPr>
        <w:spacing w:after="140" w:line="276"/>
        <w:ind w:firstLine="720"/>
        <w:jc w:val="both"/>
      </w:pPr>
      <w:r>
        <w:rPr>
          <w:rFonts w:ascii="Times New Roman" w:cs="Times New Roman" w:eastAsia="Times New Roman" w:hAnsi="Times New Roman"/>
          <w:sz w:val="24"/>
          <w:szCs w:val="24"/>
        </w:rPr>
        <w:t xml:space="preserve">Figures 2 and 3 update the original phase-coupling heatmaps and phase diagrams to incorporate the ε_medium dimension.</w:t>
      </w:r>
    </w:p>
    <w:p>
      <w:pPr>
        <w:spacing w:after="140" w:line="276"/>
        <w:ind w:firstLine="720"/>
        <w:jc w:val="both"/>
      </w:pPr>
      <w:r>
        <w:rPr>
          <w:rFonts w:ascii="Times New Roman" w:cs="Times New Roman" w:eastAsia="Times New Roman" w:hAnsi="Times New Roman"/>
          <w:sz w:val="24"/>
          <w:szCs w:val="24"/>
        </w:rPr>
        <w:t xml:space="preserve">Figure 2 shows the simulated |ΔΦ_rev − π| as a function of RF amplitude A_RF and ε_medium, for fixed C_DNA at the DNA torsional resonance condition and fixed I_UV. Three key observations emerge:</w:t>
      </w:r>
    </w:p>
    <w:p>
      <w:pPr>
        <w:spacing w:after="140" w:line="276"/>
        <w:ind w:firstLine="720"/>
        <w:jc w:val="both"/>
      </w:pPr>
      <w:r>
        <w:rPr>
          <w:rFonts w:ascii="Times New Roman" w:cs="Times New Roman" w:eastAsia="Times New Roman" w:hAnsi="Times New Roman"/>
          <w:sz w:val="24"/>
          <w:szCs w:val="24"/>
        </w:rPr>
        <w:t xml:space="preserve">(i) For ε_medium = 1 (vacuum/dry, original case), the Möbius condition is satisfied only in a narrow A_RF band.</w:t>
      </w:r>
    </w:p>
    <w:p>
      <w:pPr>
        <w:spacing w:after="140" w:line="276"/>
        <w:ind w:firstLine="720"/>
        <w:jc w:val="both"/>
      </w:pPr>
      <w:r>
        <w:rPr>
          <w:rFonts w:ascii="Times New Roman" w:cs="Times New Roman" w:eastAsia="Times New Roman" w:hAnsi="Times New Roman"/>
          <w:sz w:val="24"/>
          <w:szCs w:val="24"/>
        </w:rPr>
        <w:t xml:space="preserve">(ii) For ε_medium ≈ 2–5 (IR-frequency permittivity of water), the Möbius band broadens significantly in both A_RF and C_DNA dimensions, indicating that aqueous loading at the I/O section relaxes the parameter constraints for achieving phase closure.</w:t>
      </w:r>
    </w:p>
    <w:p>
      <w:pPr>
        <w:spacing w:after="140" w:line="276"/>
        <w:ind w:firstLine="720"/>
        <w:jc w:val="both"/>
      </w:pPr>
      <w:r>
        <w:rPr>
          <w:rFonts w:ascii="Times New Roman" w:cs="Times New Roman" w:eastAsia="Times New Roman" w:hAnsi="Times New Roman"/>
          <w:sz w:val="24"/>
          <w:szCs w:val="24"/>
        </w:rPr>
        <w:t xml:space="preserve">(iii) For LC media with voltage-tunable ε_medium(V) ∈ [2.3, 3.0], the Möbius band can be shifted continuously by applying a bias voltage, enabling closed-loop phase locking without changing any of the optical or RF inputs.</w:t>
      </w:r>
    </w:p>
    <w:p>
      <w:pPr>
        <w:spacing w:after="140" w:line="276"/>
        <w:ind w:firstLine="720"/>
        <w:jc w:val="both"/>
      </w:pPr>
      <w:r>
        <w:rPr>
          <w:rFonts w:ascii="Times New Roman" w:cs="Times New Roman" w:eastAsia="Times New Roman" w:hAnsi="Times New Roman"/>
          <w:sz w:val="24"/>
          <w:szCs w:val="24"/>
        </w:rPr>
        <w:t xml:space="preserve">Figure 3 extends the original (r_eff, C_DNA) phase diagram to a three-dimensional (r_eff, C_DNA, ε_medium) parameter space, projected onto the (r_eff, ε_medium) plane for the resonant C_DNA value. The Resonant–Möbius Phase region expands substantially toward lower r_eff values as ε_medium increases, suggesting that aqueous or LC loading lowers the minimum nonlinear coupling required for the Möbius condition—effectively making the device more tolerant to variations in twist angle θ and interlayer spacing d.</w:t>
      </w:r>
    </w:p>
    <w:p>
      <w:pPr>
        <w:spacing w:after="120" w:before="260"/>
      </w:pPr>
      <w:r>
        <w:rPr>
          <w:rFonts w:ascii="Times New Roman" w:cs="Times New Roman" w:eastAsia="Times New Roman" w:hAnsi="Times New Roman"/>
          <w:b/>
          <w:bCs/>
          <w:sz w:val="24"/>
          <w:szCs w:val="24"/>
        </w:rPr>
        <w:t xml:space="preserve">VI. DISCUSSION</w:t>
      </w:r>
    </w:p>
    <w:p>
      <w:pPr>
        <w:spacing w:after="140" w:line="276"/>
        <w:ind w:firstLine="720"/>
        <w:jc w:val="both"/>
      </w:pPr>
      <w:r>
        <w:rPr>
          <w:rFonts w:ascii="Times New Roman" w:cs="Times New Roman" w:eastAsia="Times New Roman" w:hAnsi="Times New Roman"/>
          <w:sz w:val="24"/>
          <w:szCs w:val="24"/>
        </w:rPr>
        <w:t xml:space="preserve">The localized aqueous/LC immersion strategy introduced in this revision is physically self-consistent with the established materials science of graphene–hBN devices. Graphene field-effect transistors with wet-transfer hBN top gates using ionic liquids or aqueous gating media have been routinely demonstrated (9), confirming that localized liquid contact with graphene/hBN does not compromise device integrity provided the central channel is protected. Microfluidic integration with 2D material devices using PDMS gaskets or photoresist barriers to define immersion zones is a mature technique (10).</w:t>
      </w:r>
    </w:p>
    <w:p>
      <w:pPr>
        <w:spacing w:after="140" w:line="276"/>
        <w:ind w:firstLine="720"/>
        <w:jc w:val="both"/>
      </w:pPr>
      <w:r>
        <w:rPr>
          <w:rFonts w:ascii="Times New Roman" w:cs="Times New Roman" w:eastAsia="Times New Roman" w:hAnsi="Times New Roman"/>
          <w:sz w:val="24"/>
          <w:szCs w:val="24"/>
        </w:rPr>
        <w:t xml:space="preserve">The use of liquid crystals in nanophotonic devices is also well-precedented. LC-tunable plasmonic antennas and LC-infiltrated photonic crystals have been demonstrated with switching voltages below 5 V and millisecond response times (11). The specific challenge in the present architecture is confining the LC to the ~0.5–2 μm I/O zones without contaminating the central serpentine graphene channel; this requires lithographically defined LC wells or locally deposited alignment layers (e.g., rubbed polyimide), which are within the scope of standard nanofabrication.</w:t>
      </w:r>
    </w:p>
    <w:p>
      <w:pPr>
        <w:spacing w:after="140" w:line="276"/>
        <w:ind w:firstLine="720"/>
        <w:jc w:val="both"/>
      </w:pPr>
      <w:r>
        <w:rPr>
          <w:rFonts w:ascii="Times New Roman" w:cs="Times New Roman" w:eastAsia="Times New Roman" w:hAnsi="Times New Roman"/>
          <w:sz w:val="24"/>
          <w:szCs w:val="24"/>
        </w:rPr>
        <w:t xml:space="preserve">A potential concern is that the high permittivity of water at RF frequencies (ε_aq ≈ 40–60 at 9–10 GHz) may perturb the RF global field distribution across the device and not just at the I/O sections. However, since the aqueous zone is localized to a small area fraction (&lt;10% of total device footprint), the perturbation to the global RF mode is expected to be a small correction to α A_RF rather than a dominant effect. Quantitative assessment will require full-wave electromagnetic simulations (e.g., finite-difference time-domain or finite-element frequency-domain) of the complete device geometry, which are identified as a key next experimental step.</w:t>
      </w:r>
    </w:p>
    <w:p>
      <w:pPr>
        <w:spacing w:after="140" w:line="276"/>
        <w:ind w:firstLine="720"/>
        <w:jc w:val="both"/>
      </w:pPr>
      <w:r>
        <w:rPr>
          <w:rFonts w:ascii="Times New Roman" w:cs="Times New Roman" w:eastAsia="Times New Roman" w:hAnsi="Times New Roman"/>
          <w:sz w:val="24"/>
          <w:szCs w:val="24"/>
        </w:rPr>
        <w:t xml:space="preserve">The cholesteric LC variant deserves special mention: the coupling between DNA chirality and the LC helical director introduces a new class of chiroptical effects at the I/O junction that are not present in the original dry-DNA architecture. Specifically, the pitch of the cholesteric LC can be tuned to match the wavelength of the IR plasmon field at the I/O section, producing a selective photonic bandgap for one circular polarization handedness. This would implement a passive, wavelength-selective circular polarizer at the input, converting free-space IR illumination into circularly polarized plasmons before injection into the serpentine graphene waveguide—a functionality not previously considered in the original architecture.</w:t>
      </w:r>
    </w:p>
    <w:p>
      <w:pPr>
        <w:spacing w:after="120" w:before="260"/>
      </w:pPr>
      <w:r>
        <w:rPr>
          <w:rFonts w:ascii="Times New Roman" w:cs="Times New Roman" w:eastAsia="Times New Roman" w:hAnsi="Times New Roman"/>
          <w:b/>
          <w:bCs/>
          <w:sz w:val="24"/>
          <w:szCs w:val="24"/>
        </w:rPr>
        <w:t xml:space="preserve">VII. CONCLUSION</w:t>
      </w:r>
    </w:p>
    <w:p>
      <w:pPr>
        <w:spacing w:after="180" w:line="276"/>
        <w:jc w:val="both"/>
      </w:pPr>
      <w:r>
        <w:rPr>
          <w:rFonts w:ascii="Times New Roman" w:cs="Times New Roman" w:eastAsia="Times New Roman" w:hAnsi="Times New Roman"/>
          <w:sz w:val="24"/>
          <w:szCs w:val="24"/>
        </w:rPr>
        <w:t xml:space="preserve">This revised manuscript extends the original multi-frequency graphene–hBN–DNA origami device framework by introducing a spatially selective immersion strategy: DNA origami at the hBN I/O coupling sections is maintained in either an aqueous buffer or a nematic/cholesteric liquid crystal host, while the central serpentine graphene segment remains free of immersion medium. This modification (i) improves phonon-polariton impedance matching at the I/O junctions via high-ε dielectric loading; (ii) suppresses DNA origami conformational thermal noise, narrowing the DNA torsional resonance linewidth and improving RF coupling efficiency; and (iii) introduces an electrically tunable phase-modulation knob through LC birefringence. The extended Möbius-like phase closure condition ΔΦ_rev ≈ π now includes a δ ε_medium term, broadening the accessible parameter space and making the device more robust to fabrication tolerances. Cholesteric LC variants open a further route toward passive CPL-selective injection of plasmons at the input section. Experimental validation requires microfluidic integration of localized immersion zones with graphene–hBN devices, full-wave electromagnetic simulations of the liquid-loaded I/O geometry, and RF spectroscopy of DNA origami torsional resonance in aqueous versus LC environments.</w:t>
      </w:r>
    </w:p>
    <w:p>
      <w:pPr>
        <w:spacing w:after="120" w:before="260"/>
      </w:pPr>
      <w:r>
        <w:rPr>
          <w:rFonts w:ascii="Times New Roman" w:cs="Times New Roman" w:eastAsia="Times New Roman" w:hAnsi="Times New Roman"/>
          <w:b/>
          <w:bCs/>
          <w:sz w:val="24"/>
          <w:szCs w:val="24"/>
        </w:rPr>
        <w:t xml:space="preserve">ACKNOWLEDGMENTS</w:t>
      </w:r>
    </w:p>
    <w:p>
      <w:pPr>
        <w:spacing w:after="140" w:line="276"/>
        <w:ind w:firstLine="720"/>
        <w:jc w:val="both"/>
      </w:pPr>
      <w:r>
        <w:rPr>
          <w:rFonts w:ascii="Times New Roman" w:cs="Times New Roman" w:eastAsia="Times New Roman" w:hAnsi="Times New Roman"/>
          <w:sz w:val="24"/>
          <w:szCs w:val="24"/>
        </w:rPr>
        <w:t xml:space="preserve">The author declares that no external funding was received for this work. The author thanks the anonymous reviewers for their constructive feedback on the original submission.</w:t>
      </w:r>
    </w:p>
    <w:p>
      <w:pPr>
        <w:spacing w:after="120" w:before="260"/>
      </w:pPr>
      <w:r>
        <w:rPr>
          <w:rFonts w:ascii="Times New Roman" w:cs="Times New Roman" w:eastAsia="Times New Roman" w:hAnsi="Times New Roman"/>
          <w:b/>
          <w:bCs/>
          <w:sz w:val="24"/>
          <w:szCs w:val="24"/>
        </w:rPr>
        <w:t xml:space="preserve">DATA AVAILABILITY</w:t>
      </w:r>
    </w:p>
    <w:p>
      <w:pPr>
        <w:spacing w:after="140" w:line="276"/>
        <w:ind w:firstLine="720"/>
        <w:jc w:val="both"/>
      </w:pPr>
      <w:r>
        <w:rPr>
          <w:rFonts w:ascii="Times New Roman" w:cs="Times New Roman" w:eastAsia="Times New Roman" w:hAnsi="Times New Roman"/>
          <w:sz w:val="24"/>
          <w:szCs w:val="24"/>
        </w:rPr>
        <w:t xml:space="preserve">The data that support the findings of this study are available from the corresponding author upon reasonable request.</w:t>
      </w:r>
    </w:p>
    <w:p>
      <w:pPr>
        <w:spacing w:after="120" w:before="260"/>
      </w:pPr>
      <w:r>
        <w:rPr>
          <w:rFonts w:ascii="Times New Roman" w:cs="Times New Roman" w:eastAsia="Times New Roman" w:hAnsi="Times New Roman"/>
          <w:b/>
          <w:bCs/>
          <w:sz w:val="24"/>
          <w:szCs w:val="24"/>
        </w:rPr>
        <w:t xml:space="preserve">REFERENCES</w:t>
      </w:r>
    </w:p>
    <w:p>
      <w:pPr>
        <w:spacing w:after="80" w:line="276"/>
        <w:ind w:left="480" w:hanging="480"/>
      </w:pPr>
      <w:r>
        <w:rPr>
          <w:rFonts w:ascii="Times New Roman" w:cs="Times New Roman" w:eastAsia="Times New Roman" w:hAnsi="Times New Roman"/>
          <w:sz w:val="22"/>
          <w:szCs w:val="22"/>
        </w:rPr>
        <w:t xml:space="preserve">(1) C. Chin, "Multi-Frequency Phase-Coupled Graphene–hBN Serpentine Heterostructure Integrated with DNA Origami for Chiral Polaritonic Memory and Resonance-Enhanced Signal Propagation," submitted to J. Appl. Phys. (2026) [original manuscript, hereby withdrawn and replaced by this revised version].</w:t>
      </w:r>
    </w:p>
    <w:p>
      <w:pPr>
        <w:spacing w:after="80" w:line="276"/>
        <w:ind w:left="480" w:hanging="480"/>
      </w:pPr>
      <w:r>
        <w:rPr>
          <w:rFonts w:ascii="Times New Roman" w:cs="Times New Roman" w:eastAsia="Times New Roman" w:hAnsi="Times New Roman"/>
          <w:sz w:val="22"/>
          <w:szCs w:val="22"/>
        </w:rPr>
        <w:t xml:space="preserve">(2) E. Prohofsky, "Microwave absorption by DNA," Phys. Rev. A 38, 1538–1541 (1988).</w:t>
      </w:r>
    </w:p>
    <w:p>
      <w:pPr>
        <w:spacing w:after="80" w:line="276"/>
        <w:ind w:left="480" w:hanging="480"/>
      </w:pPr>
      <w:r>
        <w:rPr>
          <w:rFonts w:ascii="Times New Roman" w:cs="Times New Roman" w:eastAsia="Times New Roman" w:hAnsi="Times New Roman"/>
          <w:sz w:val="22"/>
          <w:szCs w:val="22"/>
        </w:rPr>
        <w:t xml:space="preserve">(3) A. Kuzyk et al., "DNA-based self-assembly of chiral plasmonic nanostructures with tailored optical response," Nature 483, 311–314 (2012).</w:t>
      </w:r>
    </w:p>
    <w:p>
      <w:pPr>
        <w:spacing w:after="80" w:line="276"/>
        <w:ind w:left="480" w:hanging="480"/>
      </w:pPr>
      <w:r>
        <w:rPr>
          <w:rFonts w:ascii="Times New Roman" w:cs="Times New Roman" w:eastAsia="Times New Roman" w:hAnsi="Times New Roman"/>
          <w:sz w:val="22"/>
          <w:szCs w:val="22"/>
        </w:rPr>
        <w:t xml:space="preserve">(4) S. Dai et al., "Tunable phonon polaritons in atomically thin van der Waals crystals of boron nitride," Science 343, 1125–1129 (2014).</w:t>
      </w:r>
    </w:p>
    <w:p>
      <w:pPr>
        <w:spacing w:after="80" w:line="276"/>
        <w:ind w:left="480" w:hanging="480"/>
      </w:pPr>
      <w:r>
        <w:rPr>
          <w:rFonts w:ascii="Times New Roman" w:cs="Times New Roman" w:eastAsia="Times New Roman" w:hAnsi="Times New Roman"/>
          <w:sz w:val="22"/>
          <w:szCs w:val="22"/>
        </w:rPr>
        <w:t xml:space="preserve">(5) X. Chen et al., "Probing the effect of substrates on DNA translocation through graphene nanopores," ACS Nano 15, 4704–4716 (2021).</w:t>
      </w:r>
    </w:p>
    <w:p>
      <w:pPr>
        <w:spacing w:after="80" w:line="276"/>
        <w:ind w:left="480" w:hanging="480"/>
      </w:pPr>
      <w:r>
        <w:rPr>
          <w:rFonts w:ascii="Times New Roman" w:cs="Times New Roman" w:eastAsia="Times New Roman" w:hAnsi="Times New Roman"/>
          <w:sz w:val="22"/>
          <w:szCs w:val="22"/>
        </w:rPr>
        <w:t xml:space="preserve">(6) K. Goswami et al., "Interaction of DNA with graphene and its derivatives: a review," Nanoscale 13, 15500–15515 (2021).</w:t>
      </w:r>
    </w:p>
    <w:p>
      <w:pPr>
        <w:spacing w:after="80" w:line="276"/>
        <w:ind w:left="480" w:hanging="480"/>
      </w:pPr>
      <w:r>
        <w:rPr>
          <w:rFonts w:ascii="Times New Roman" w:cs="Times New Roman" w:eastAsia="Times New Roman" w:hAnsi="Times New Roman"/>
          <w:sz w:val="22"/>
          <w:szCs w:val="22"/>
        </w:rPr>
        <w:t xml:space="preserve">(7) S. B. Smith, Y. Cui, and C. Bustamante, "Overstretching B-DNA: the elastic response of individual double-stranded and single-stranded DNA molecules," Science 271, 795–799 (1996).</w:t>
      </w:r>
    </w:p>
    <w:p>
      <w:pPr>
        <w:spacing w:after="80" w:line="276"/>
        <w:ind w:left="480" w:hanging="480"/>
      </w:pPr>
      <w:r>
        <w:rPr>
          <w:rFonts w:ascii="Times New Roman" w:cs="Times New Roman" w:eastAsia="Times New Roman" w:hAnsi="Times New Roman"/>
          <w:sz w:val="22"/>
          <w:szCs w:val="22"/>
        </w:rPr>
        <w:t xml:space="preserve">(8) D. N. Kim et al., "Quantitative prediction of 3D solution shape and flexibility of nucleic acid nanostructures," Nucleic Acids Res. 40, 2862–2868 (2012).</w:t>
      </w:r>
    </w:p>
    <w:p>
      <w:pPr>
        <w:spacing w:after="80" w:line="276"/>
        <w:ind w:left="480" w:hanging="480"/>
      </w:pPr>
      <w:r>
        <w:rPr>
          <w:rFonts w:ascii="Times New Roman" w:cs="Times New Roman" w:eastAsia="Times New Roman" w:hAnsi="Times New Roman"/>
          <w:sz w:val="22"/>
          <w:szCs w:val="22"/>
        </w:rPr>
        <w:t xml:space="preserve">(9) C. R. Dean et al., "Boron nitride substrates for high-quality graphene electronics," Nat. Nanotechnol. 5, 722–726 (2010).</w:t>
      </w:r>
    </w:p>
    <w:p>
      <w:pPr>
        <w:spacing w:after="80" w:line="276"/>
        <w:ind w:left="480" w:hanging="480"/>
      </w:pPr>
      <w:r>
        <w:rPr>
          <w:rFonts w:ascii="Times New Roman" w:cs="Times New Roman" w:eastAsia="Times New Roman" w:hAnsi="Times New Roman"/>
          <w:sz w:val="22"/>
          <w:szCs w:val="22"/>
        </w:rPr>
        <w:t xml:space="preserve">(10) S. J. Haigh et al., "Cross-sectional imaging of individual layers and buried interfaces of graphene-based heterostructures and superlattices," Nat. Mater. 11, 764–767 (2012).</w:t>
      </w:r>
    </w:p>
    <w:p>
      <w:pPr>
        <w:spacing w:after="80" w:line="276"/>
        <w:ind w:left="480" w:hanging="480"/>
      </w:pPr>
      <w:r>
        <w:rPr>
          <w:rFonts w:ascii="Times New Roman" w:cs="Times New Roman" w:eastAsia="Times New Roman" w:hAnsi="Times New Roman"/>
          <w:sz w:val="22"/>
          <w:szCs w:val="22"/>
        </w:rPr>
        <w:t xml:space="preserve">(11) I. C. Khoo, "Nonlinear optics, active plasmonics and metamorphics with liquid crystals," Prog. Quantum Electron. 38, 77–117 (2014).</w:t>
      </w:r>
    </w:p>
    <w:p>
      <w:pPr>
        <w:spacing w:after="80" w:line="276"/>
        <w:ind w:left="480" w:hanging="480"/>
      </w:pPr>
      <w:r>
        <w:rPr>
          <w:rFonts w:ascii="Times New Roman" w:cs="Times New Roman" w:eastAsia="Times New Roman" w:hAnsi="Times New Roman"/>
          <w:sz w:val="22"/>
          <w:szCs w:val="22"/>
        </w:rPr>
        <w:t xml:space="preserve">(12) A. K. Geim and I. V. Grigorieva, "Van der Waals heterostructures," Nature 499, 419–425 (2013).</w:t>
      </w:r>
    </w:p>
    <w:p>
      <w:pPr>
        <w:spacing w:after="80" w:line="276"/>
        <w:ind w:left="480" w:hanging="480"/>
      </w:pPr>
      <w:r>
        <w:rPr>
          <w:rFonts w:ascii="Times New Roman" w:cs="Times New Roman" w:eastAsia="Times New Roman" w:hAnsi="Times New Roman"/>
          <w:sz w:val="22"/>
          <w:szCs w:val="22"/>
        </w:rPr>
        <w:t xml:space="preserve">(13) T. Low and P. Avouris, "Graphene plasmonics for terahertz to mid-infrared applications," ACS Nano 8, 1086–1101 (2014).</w:t>
      </w:r>
    </w:p>
    <w:p>
      <w:pPr>
        <w:spacing w:after="80" w:line="276"/>
        <w:ind w:left="480" w:hanging="480"/>
      </w:pPr>
      <w:r>
        <w:rPr>
          <w:rFonts w:ascii="Times New Roman" w:cs="Times New Roman" w:eastAsia="Times New Roman" w:hAnsi="Times New Roman"/>
          <w:sz w:val="22"/>
          <w:szCs w:val="22"/>
        </w:rPr>
        <w:t xml:space="preserve">(14) L. Wang et al., "New generation of moiré superlattices in doubly aligned hBN/graphene/hBN heterostructures," Nano Lett. 19, 2371–2376 (2019).</w:t>
      </w:r>
    </w:p>
    <w:p>
      <w:pPr>
        <w:spacing w:after="80" w:line="276"/>
        <w:ind w:left="480" w:hanging="480"/>
      </w:pPr>
      <w:r>
        <w:rPr>
          <w:rFonts w:ascii="Times New Roman" w:cs="Times New Roman" w:eastAsia="Times New Roman" w:hAnsi="Times New Roman"/>
          <w:sz w:val="22"/>
          <w:szCs w:val="22"/>
        </w:rPr>
        <w:t xml:space="preserve">(15) G. Tanaka et al., "Recent advances in physical reservoir computing: a review," Neural Netw. 115, 100–123 (2019).</w:t>
      </w:r>
    </w:p>
    <w:p>
      <w:pPr>
        <w:spacing w:after="80" w:line="276"/>
        <w:ind w:left="480" w:hanging="480"/>
      </w:pPr>
      <w:r>
        <w:rPr>
          <w:rFonts w:ascii="Times New Roman" w:cs="Times New Roman" w:eastAsia="Times New Roman" w:hAnsi="Times New Roman"/>
          <w:sz w:val="22"/>
          <w:szCs w:val="22"/>
        </w:rPr>
        <w:t xml:space="preserve">(16) T. Stauber et al., "Chiral response of twisted bilayer graphene," Phys. Rev. Lett. 118, 266801 (2017).</w:t>
      </w:r>
    </w:p>
    <w:p>
      <w:pPr>
        <w:spacing w:after="80" w:line="276"/>
        <w:ind w:left="480" w:hanging="480"/>
      </w:pPr>
      <w:r>
        <w:rPr>
          <w:rFonts w:ascii="Times New Roman" w:cs="Times New Roman" w:eastAsia="Times New Roman" w:hAnsi="Times New Roman"/>
          <w:sz w:val="22"/>
          <w:szCs w:val="22"/>
        </w:rPr>
        <w:t xml:space="preserve">(17) Z. Liu et al., "Optical chirality logic gates based on a reconfigurable single-material system," Adv. Mater. 33, 2007778 (2021).</w:t>
      </w:r>
    </w:p>
    <w:p>
      <w:pPr>
        <w:spacing w:after="80" w:line="276"/>
        <w:ind w:left="480" w:hanging="480"/>
      </w:pPr>
      <w:r>
        <w:rPr>
          <w:rFonts w:ascii="Times New Roman" w:cs="Times New Roman" w:eastAsia="Times New Roman" w:hAnsi="Times New Roman"/>
          <w:sz w:val="22"/>
          <w:szCs w:val="22"/>
        </w:rPr>
        <w:t xml:space="preserve">(18) D. Sanvitto and S. Kéna-Cohen, "The road towards polaritonic devices," Nat. Mater. 15, 1061–1073 (2016).</w:t>
      </w:r>
    </w:p>
    <w:p>
      <w:pPr>
        <w:spacing w:after="80" w:line="276"/>
        <w:ind w:left="480" w:hanging="480"/>
      </w:pPr>
      <w:r>
        <w:rPr>
          <w:rFonts w:ascii="Times New Roman" w:cs="Times New Roman" w:eastAsia="Times New Roman" w:hAnsi="Times New Roman"/>
          <w:sz w:val="22"/>
          <w:szCs w:val="22"/>
        </w:rPr>
        <w:t xml:space="preserve">(19) P. W. K. Rothemund, "Folding DNA to create nanoscale shapes and patterns," Nature 440, 297–302 (2006).</w:t>
      </w:r>
    </w:p>
    <w:p>
      <w:pPr>
        <w:spacing w:after="80" w:line="276"/>
        <w:ind w:left="480" w:hanging="480"/>
      </w:pPr>
      <w:r>
        <w:rPr>
          <w:rFonts w:ascii="Times New Roman" w:cs="Times New Roman" w:eastAsia="Times New Roman" w:hAnsi="Times New Roman"/>
          <w:sz w:val="22"/>
          <w:szCs w:val="22"/>
        </w:rPr>
        <w:t xml:space="preserve">(20) R. M. May, "Simple mathematical models with very complicated dynamics," Nature 261, 459–467 (1976).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2026-04-28T01:43:24.534Z</dcterms:created>
  <dcterms:modified xsi:type="dcterms:W3CDTF">2026-04-28T01:43:24.535Z</dcterms:modified>
</cp:coreProperties>
</file>

<file path=docProps/custom.xml><?xml version="1.0" encoding="utf-8"?>
<Properties xmlns="http://schemas.openxmlformats.org/officeDocument/2006/custom-properties" xmlns:vt="http://schemas.openxmlformats.org/officeDocument/2006/docPropsVTypes"/>
</file>