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40" w:after="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1155"/>
          <w:spacing w:val="0"/>
          <w:position w:val="0"/>
          <w:sz w:val="28"/>
          <w:shd w:fill="auto" w:val="clear"/>
        </w:rPr>
        <w:t xml:space="preserve">Complete Exploitation of Light Properties in Graphene</w:t>
      </w:r>
      <w:r>
        <w:rPr>
          <w:rFonts w:ascii="맑은 고딕" w:hAnsi="맑은 고딕" w:cs="맑은 고딕" w:eastAsia="맑은 고딕"/>
          <w:b/>
          <w:color w:val="001155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1155"/>
          <w:spacing w:val="0"/>
          <w:position w:val="0"/>
          <w:sz w:val="28"/>
          <w:shd w:fill="auto" w:val="clear"/>
        </w:rPr>
        <w:t xml:space="preserve">hBN Heterostructures:</w:t>
      </w: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115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1155"/>
          <w:spacing w:val="0"/>
          <w:position w:val="0"/>
          <w:sz w:val="28"/>
          <w:shd w:fill="auto" w:val="clear"/>
        </w:rPr>
        <w:t xml:space="preserve">Linear Polarization</w:t>
      </w:r>
      <w:r>
        <w:rPr>
          <w:rFonts w:ascii="맑은 고딕" w:hAnsi="맑은 고딕" w:cs="맑은 고딕" w:eastAsia="맑은 고딕"/>
          <w:b/>
          <w:color w:val="001155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1155"/>
          <w:spacing w:val="0"/>
          <w:position w:val="0"/>
          <w:sz w:val="28"/>
          <w:shd w:fill="auto" w:val="clear"/>
        </w:rPr>
        <w:t xml:space="preserve">Mediated van der Waals Forces and Circular Dichroism</w:t>
      </w:r>
      <w:r>
        <w:rPr>
          <w:rFonts w:ascii="맑은 고딕" w:hAnsi="맑은 고딕" w:cs="맑은 고딕" w:eastAsia="맑은 고딕"/>
          <w:b/>
          <w:color w:val="001155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1155"/>
          <w:spacing w:val="0"/>
          <w:position w:val="0"/>
          <w:sz w:val="28"/>
          <w:shd w:fill="auto" w:val="clear"/>
        </w:rPr>
        <w:t xml:space="preserve">Induced Hydrogen Bonding Modulation</w:t>
      </w: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40" w:after="4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Chur Chin a,*</w:t>
      </w:r>
    </w:p>
    <w:p>
      <w:pPr>
        <w:spacing w:before="40" w:after="4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ᵃ Department of Family Medicine, Dong-eui Medical Center, Busan 47227, Republic of Korea</w:t>
      </w:r>
    </w:p>
    <w:p>
      <w:pPr>
        <w:spacing w:before="40" w:after="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*Electronic mail: tpotaoai@gmail.com</w:t>
      </w:r>
    </w:p>
    <w:p>
      <w:pPr>
        <w:spacing w:before="8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20"/>
          <w:shd w:fill="auto" w:val="clear"/>
        </w:rPr>
        <w:t xml:space="preserve">ABSTRACT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We report the first comprehensive exploitation of all photonic degrees of freedom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linear polarization and circular polarization (chirality)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as orthogonal control parameters within a graphene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hexagonal boron nitride (hBN) Moir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é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van der Waals heterostructure. Linearly polarized infrared input drives anisotropic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van der Waals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(vdW) forces through plasmon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phonon coupling, enabling spatially selective interlayer interaction tuning. Orthogonally, circularly polarized light acts as a circular dichroism (CD) input that directly modulates hydrogen-bonding networks at the 2D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biomolecular interface. The two channels operate independently yet synergistically within a unified multi-frequency architecture comprising IR/THz, RF, and UV inputs, governed by an effective M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bius-like topological phase closure condition. Our results demonstrate room-temperature chiral logic primitives and provide a physically rigorous foundation for optical angular-momentum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based modulation of non-covalent molecular interactions. These findings open a new pathway toward all-optical topological neuromorphic computing platforms.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18"/>
          <w:shd w:fill="auto" w:val="clear"/>
        </w:rPr>
        <w:t xml:space="preserve">Keywords: 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18"/>
          <w:shd w:fill="auto" w:val="clear"/>
        </w:rPr>
        <w:t xml:space="preserve">van der Waals heterostructure; graphene</w:t>
      </w:r>
      <w:r>
        <w:rPr>
          <w:rFonts w:ascii="맑은 고딕" w:hAnsi="맑은 고딕" w:cs="맑은 고딕" w:eastAsia="맑은 고딕"/>
          <w:i/>
          <w:color w:val="555555"/>
          <w:spacing w:val="0"/>
          <w:position w:val="0"/>
          <w:sz w:val="1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18"/>
          <w:shd w:fill="auto" w:val="clear"/>
        </w:rPr>
        <w:t xml:space="preserve">hBN; circular dichroism; hydrogen bonding; chirality; Moir</w:t>
      </w:r>
      <w:r>
        <w:rPr>
          <w:rFonts w:ascii="맑은 고딕" w:hAnsi="맑은 고딕" w:cs="맑은 고딕" w:eastAsia="맑은 고딕"/>
          <w:i/>
          <w:color w:val="555555"/>
          <w:spacing w:val="0"/>
          <w:position w:val="0"/>
          <w:sz w:val="18"/>
          <w:shd w:fill="auto" w:val="clear"/>
        </w:rPr>
        <w:t xml:space="preserve">é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18"/>
          <w:shd w:fill="auto" w:val="clear"/>
        </w:rPr>
        <w:t xml:space="preserve"> superlattice; chiral plasmon; optical angular momentum; neuromorphic photonics; topological phase</w:t>
      </w:r>
    </w:p>
    <w:p>
      <w:pPr>
        <w:spacing w:before="40" w:after="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24"/>
          <w:shd w:fill="auto" w:val="clear"/>
        </w:rPr>
        <w:t xml:space="preserve">I. INTRODUCTION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Light carries multiple distinct physical degrees of freedom: amplitude, frequency, phase, linear polarization state, and spin angular momentum (circular polarization). While amplitude and frequency have been extensively exploited in photonic devices, the full, simultaneous utilization of linear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circular polarization as independent control inputs for engineering distinct classes of non-covalent molecular interactions has remained largely unexplored. Achieving this duality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what we term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complete photonic exploitation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represents a major step toward multi-channel all-optical material control.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Van der Waals (vdW) heterostructures based on graphene and hexagonal boron nitride (hBN) have emerged as uniquely versatile platforms. The graphene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hBN system exhibits exceptionally strong plasmon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phonon coupling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perscript"/>
        </w:rPr>
        <w:t xml:space="preserve">1,2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, a highly tunable Moiré superlattice that breaks inversion symmetry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perscript"/>
        </w:rPr>
        <w:t xml:space="preserve">3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, and a rich landscape of chiral electromagnetic modes when driven by circularly polarized light.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perscript"/>
        </w:rPr>
        <w:t xml:space="preserve">4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These features make it an ideal host for investigating polarization-dependent light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matter interactions that span from classical van der Waals forces to hydrogen-bonding networks in adsorbed biomolecular layers.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In this work, we demonstrate that the two fundamental polarization symmetries of light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linear and circular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couple preferentially and independently to two distinct classes of non-covalent interactions. Specifically, (i)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linearly polarized IR input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drives anisotropic dipole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dipole vdW forces through the plasmon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phonon resonance of the graphene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hBN heterostructure, and (ii)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circularly polarized light acting as a CD input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selectively modulates hydrogen-bonding networks at the 2D material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biomolecule interface via chiral near-field interactions. To our knowledge, this is the first experimental and theoretical framework that simultaneously exploits both polarization modalities as orthogonal functional inputs in a single integrated 2D material platform.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This dual-channel architecture is embedded within a hierarchical multi-frequency control scheme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IR/THz (local plasmon-phonon coupling), RF (global phase synchronization), and UV (carrier density trigger)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governed by an effective M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bius-like topological phase closure condition that ensures robust, deterministic switching. The resulting system supports room-temperature chiral logic operations and provides new insight into the physical mechanisms by which light's angular momentum can be transduced into directed non-covalent chemical interactions.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24"/>
          <w:shd w:fill="auto" w:val="clear"/>
        </w:rPr>
        <w:t xml:space="preserve">II. THEORETICAL FRAMEWORK</w:t>
      </w:r>
    </w:p>
    <w:p>
      <w:pPr>
        <w:spacing w:before="1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222244"/>
          <w:spacing w:val="0"/>
          <w:position w:val="0"/>
          <w:sz w:val="22"/>
          <w:shd w:fill="auto" w:val="clear"/>
        </w:rPr>
        <w:t xml:space="preserve">A. Dual Polarization Channels: A Symmetry-Based Classification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The central insight of this work is the symmetry correspondence between the polarization state of incident light and the spatial symmetry of the target non-covalent interaction:</w:t>
      </w:r>
    </w:p>
    <w:tbl>
      <w:tblPr/>
      <w:tblGrid>
        <w:gridCol w:w="1800"/>
        <w:gridCol w:w="2200"/>
        <w:gridCol w:w="2200"/>
        <w:gridCol w:w="1400"/>
        <w:gridCol w:w="140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336699" w:sz="4"/>
              <w:left w:val="single" w:color="336699" w:sz="4"/>
              <w:bottom w:val="single" w:color="336699" w:sz="4"/>
              <w:right w:val="single" w:color="336699" w:sz="4"/>
            </w:tcBorders>
            <w:shd w:color="000000" w:fill="002266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Channel</w:t>
            </w:r>
          </w:p>
        </w:tc>
        <w:tc>
          <w:tcPr>
            <w:tcW w:w="2200" w:type="dxa"/>
            <w:tcBorders>
              <w:top w:val="single" w:color="336699" w:sz="4"/>
              <w:left w:val="single" w:color="336699" w:sz="4"/>
              <w:bottom w:val="single" w:color="336699" w:sz="4"/>
              <w:right w:val="single" w:color="336699" w:sz="4"/>
            </w:tcBorders>
            <w:shd w:color="000000" w:fill="002266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Light Input</w:t>
            </w:r>
          </w:p>
        </w:tc>
        <w:tc>
          <w:tcPr>
            <w:tcW w:w="2200" w:type="dxa"/>
            <w:tcBorders>
              <w:top w:val="single" w:color="336699" w:sz="4"/>
              <w:left w:val="single" w:color="336699" w:sz="4"/>
              <w:bottom w:val="single" w:color="336699" w:sz="4"/>
              <w:right w:val="single" w:color="336699" w:sz="4"/>
            </w:tcBorders>
            <w:shd w:color="000000" w:fill="002266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Physical Mechanism</w:t>
            </w:r>
          </w:p>
        </w:tc>
        <w:tc>
          <w:tcPr>
            <w:tcW w:w="1400" w:type="dxa"/>
            <w:tcBorders>
              <w:top w:val="single" w:color="336699" w:sz="4"/>
              <w:left w:val="single" w:color="336699" w:sz="4"/>
              <w:bottom w:val="single" w:color="336699" w:sz="4"/>
              <w:right w:val="single" w:color="336699" w:sz="4"/>
            </w:tcBorders>
            <w:shd w:color="000000" w:fill="002266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Target Interaction</w:t>
            </w:r>
          </w:p>
        </w:tc>
        <w:tc>
          <w:tcPr>
            <w:tcW w:w="1400" w:type="dxa"/>
            <w:tcBorders>
              <w:top w:val="single" w:color="336699" w:sz="4"/>
              <w:left w:val="single" w:color="336699" w:sz="4"/>
              <w:bottom w:val="single" w:color="336699" w:sz="4"/>
              <w:right w:val="single" w:color="336699" w:sz="4"/>
            </w:tcBorders>
            <w:shd w:color="000000" w:fill="002266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Frequency Range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I</w:t>
            </w:r>
          </w:p>
        </w:tc>
        <w:tc>
          <w:tcPr>
            <w:tcW w:w="2200" w:type="dxa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Linear polarization (LP)</w:t>
            </w:r>
          </w:p>
        </w:tc>
        <w:tc>
          <w:tcPr>
            <w:tcW w:w="2200" w:type="dxa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Anisotropic plasmon</w:t>
            </w: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phonon coupling </w:t>
            </w: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 dipole orientation</w:t>
            </w:r>
          </w:p>
        </w:tc>
        <w:tc>
          <w:tcPr>
            <w:tcW w:w="1400" w:type="dxa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van der Waals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 (vdW) forces</w:t>
            </w:r>
          </w:p>
        </w:tc>
        <w:tc>
          <w:tcPr>
            <w:tcW w:w="1400" w:type="dxa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IR / THz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II</w:t>
            </w:r>
          </w:p>
        </w:tc>
        <w:tc>
          <w:tcPr>
            <w:tcW w:w="2200" w:type="dxa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Circular polarization / CD</w:t>
            </w:r>
          </w:p>
        </w:tc>
        <w:tc>
          <w:tcPr>
            <w:tcW w:w="2200" w:type="dxa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Chiral near-field </w:t>
            </w: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 handedness-selective H-bond geometry</w:t>
            </w:r>
          </w:p>
        </w:tc>
        <w:tc>
          <w:tcPr>
            <w:tcW w:w="1400" w:type="dxa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Hydrogen bonding (H-bond)</w:t>
            </w:r>
          </w:p>
        </w:tc>
        <w:tc>
          <w:tcPr>
            <w:tcW w:w="1400" w:type="dxa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Vis / UV</w:t>
            </w:r>
          </w:p>
        </w:tc>
      </w:tr>
    </w:tbl>
    <w:p>
      <w:pPr>
        <w:spacing w:before="60" w:after="12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18"/>
          <w:shd w:fill="auto" w:val="clear"/>
        </w:rPr>
        <w:t xml:space="preserve">TABLE I. Summary of the two photonic control channels and their respective non-covalent interaction targets.</w:t>
      </w:r>
    </w:p>
    <w:p>
      <w:pPr>
        <w:spacing w:before="1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222244"/>
          <w:spacing w:val="0"/>
          <w:position w:val="0"/>
          <w:sz w:val="22"/>
          <w:shd w:fill="auto" w:val="clear"/>
        </w:rPr>
        <w:t xml:space="preserve">B. Channel I: Linear Polarization </w:t>
      </w:r>
      <w:r>
        <w:rPr>
          <w:rFonts w:ascii="맑은 고딕" w:hAnsi="맑은 고딕" w:cs="맑은 고딕" w:eastAsia="맑은 고딕"/>
          <w:b/>
          <w:i/>
          <w:color w:val="222244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i/>
          <w:color w:val="222244"/>
          <w:spacing w:val="0"/>
          <w:position w:val="0"/>
          <w:sz w:val="22"/>
          <w:shd w:fill="auto" w:val="clear"/>
        </w:rPr>
        <w:t xml:space="preserve"> van der Waals Force Modulation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The van der Waals interaction energy between graphene and the hBN substrate scales as 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vdW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∝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6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/d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perscript"/>
        </w:rPr>
        <w:t xml:space="preserve">6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, where d is the interlayer separation and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6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is the dispersion coefficient sensitive to the local dielectric environment. Under linearly polarized IR illumination along a principal crystal axis, the graphene plasmon is excited with a well-defined propagation direction. The anisotropic plasmon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phonon hybridization generates an orientation-dependent correction:</w:t>
      </w:r>
    </w:p>
    <w:p>
      <w:pPr>
        <w:spacing w:before="8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ΔUvdW(φ) = </w:t>
      </w:r>
      <w:r>
        <w:rPr>
          <w:rFonts w:ascii="맑은 고딕" w:hAnsi="맑은 고딕" w:cs="맑은 고딕" w:eastAsia="맑은 고딕"/>
          <w:i/>
          <w:color w:val="auto"/>
          <w:spacing w:val="0"/>
          <w:position w:val="0"/>
          <w:sz w:val="20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α(ω) |E0|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² cos²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φ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· f(d,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εeff)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where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φ is the angle between the polarization axis and the graphene armchair direction, α(ω) is the optical polarizability, and f(d, 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eff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 encodes the geometry- and dielectric-dependent enhancement. This formulation shows that rotating the linear polarization continuously tunes ΔU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vdW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, providing a real-time optical handle on interlayer vdW forces. At the Moir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é-defined twist angle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θ </w:t>
      </w:r>
      <w:r>
        <w:rPr>
          <w:rFonts w:ascii="SimSun" w:hAnsi="SimSun" w:cs="SimSun" w:eastAsia="SimSun"/>
          <w:color w:val="000000"/>
          <w:spacing w:val="0"/>
          <w:position w:val="0"/>
          <w:sz w:val="20"/>
          <w:shd w:fill="auto" w:val="clear"/>
        </w:rPr>
        <w:t xml:space="preserve">≈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23.5°), the superlattice potential further modulates the coupling strength, producing periodic vdW wells that act as optical tweezers for adsorbed molecules.</w:t>
      </w:r>
    </w:p>
    <w:p>
      <w:pPr>
        <w:spacing w:before="1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222244"/>
          <w:spacing w:val="0"/>
          <w:position w:val="0"/>
          <w:sz w:val="22"/>
          <w:shd w:fill="auto" w:val="clear"/>
        </w:rPr>
        <w:t xml:space="preserve">C. Channel II: Circular Dichroism Input </w:t>
      </w:r>
      <w:r>
        <w:rPr>
          <w:rFonts w:ascii="맑은 고딕" w:hAnsi="맑은 고딕" w:cs="맑은 고딕" w:eastAsia="맑은 고딕"/>
          <w:b/>
          <w:i/>
          <w:color w:val="222244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i/>
          <w:color w:val="222244"/>
          <w:spacing w:val="0"/>
          <w:position w:val="0"/>
          <w:sz w:val="22"/>
          <w:shd w:fill="auto" w:val="clear"/>
        </w:rPr>
        <w:t xml:space="preserve"> Hydrogen Bond Modulation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The chiral near-field generated by circularly polarized light (CPL) in a twisted vdW heterostructure carries nonzero optical chirality density C = 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0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ω/2c) Im(E*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· B), which can exceed that of free-space CPL by two to three orders of magnitude in Moiré plasmonic systems.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perscript"/>
        </w:rPr>
        <w:t xml:space="preserve">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At the graphene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hBN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biomolecule interface, this enhanced chiral field selectively alters the proton-donor geometries. The modulation amplitude of the H-bond binding energy is estimated as:</w:t>
      </w:r>
    </w:p>
    <w:p>
      <w:pPr>
        <w:spacing w:before="8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δEH-bond </w:t>
      </w:r>
      <w:r>
        <w:rPr>
          <w:rFonts w:ascii="SimSun" w:hAnsi="SimSun" w:cs="SimSun" w:eastAsia="SimSun"/>
          <w:i/>
          <w:color w:val="auto"/>
          <w:spacing w:val="0"/>
          <w:position w:val="0"/>
          <w:sz w:val="20"/>
          <w:shd w:fill="auto" w:val="clear"/>
        </w:rPr>
        <w:t xml:space="preserve">≈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 ±g · C ·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Δμ12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· cos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θDA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where g is the coupling constant between the molecular transition dipole and the chiral field, C is the optical chirality density at the interface,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Δμ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12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is the transition dipole difference, and 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DA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is the donor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acceptor angle. This mechanism specifically activates the CD-active rotational degree of freedom of light, converting angular photon momentum into orientational bias in non-covalent bond geometry.</w:t>
      </w:r>
    </w:p>
    <w:p>
      <w:pPr>
        <w:spacing w:before="1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222244"/>
          <w:spacing w:val="0"/>
          <w:position w:val="0"/>
          <w:sz w:val="22"/>
          <w:shd w:fill="auto" w:val="clear"/>
        </w:rPr>
        <w:t xml:space="preserve">D. Effective M</w:t>
      </w:r>
      <w:r>
        <w:rPr>
          <w:rFonts w:ascii="맑은 고딕" w:hAnsi="맑은 고딕" w:cs="맑은 고딕" w:eastAsia="맑은 고딕"/>
          <w:b/>
          <w:i/>
          <w:color w:val="222244"/>
          <w:spacing w:val="0"/>
          <w:position w:val="0"/>
          <w:sz w:val="22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b/>
          <w:i/>
          <w:color w:val="222244"/>
          <w:spacing w:val="0"/>
          <w:position w:val="0"/>
          <w:sz w:val="22"/>
          <w:shd w:fill="auto" w:val="clear"/>
        </w:rPr>
        <w:t xml:space="preserve">bius Phase Closure: Unification Condition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Both channels are embedded within a global phase architecture governed by the effective M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bius-like topological condition:</w:t>
      </w:r>
    </w:p>
    <w:p>
      <w:pPr>
        <w:spacing w:before="8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Φeff = k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·L +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α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·ARF +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β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·IUV +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γ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·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ΩCD = π  (mod 2π)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where k is the plasmon wavevector, L the serpentine axon path length,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RF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the RF amplitude,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UV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the UV intensity, and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Ω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CD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the circular polarization rate (CD input amplitude). The addition of the CD term Ω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CD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reveals that the circular polarization channel is a full topological control parameter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its variation can independently drive the system through or out of the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π-closure condition, enabling polarization-gated switching of the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öbius state without altering the linear polarization input.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24"/>
          <w:shd w:fill="auto" w:val="clear"/>
        </w:rPr>
        <w:t xml:space="preserve">III. SYSTEM ARCHITECTURE AND MULTI-FREQUENCY INPUT PROTOCOL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The experimental platform consists of a serpentine graphene axon coupled to a 2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3 layer hBN synapse, with a DNA origami or amino-acid monolayer deposited at the top surface. The full multi-frequency input sequence is:</w:t>
      </w:r>
    </w:p>
    <w:tbl>
      <w:tblPr/>
      <w:tblGrid>
        <w:gridCol w:w="9000"/>
      </w:tblGrid>
      <w:tr>
        <w:trPr>
          <w:trHeight w:val="1" w:hRule="atLeast"/>
          <w:jc w:val="left"/>
        </w:trPr>
        <w:tc>
          <w:tcPr>
            <w:tcW w:w="9000" w:type="dxa"/>
            <w:tcBorders>
              <w:top w:val="single" w:color="336699" w:sz="6"/>
              <w:left w:val="single" w:color="336699" w:sz="6"/>
              <w:bottom w:val="single" w:color="336699" w:sz="6"/>
              <w:right w:val="single" w:color="336699" w:sz="6"/>
            </w:tcBorders>
            <w:shd w:color="000000" w:fill="eaf0f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3399"/>
                <w:spacing w:val="0"/>
                <w:position w:val="0"/>
                <w:sz w:val="20"/>
                <w:shd w:fill="auto" w:val="clear"/>
              </w:rPr>
              <w:t xml:space="preserve">Multi-Frequency Input Protocol</w:t>
            </w:r>
          </w:p>
          <w:p>
            <w:pPr>
              <w:spacing w:before="0" w:after="8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Step 1 </w:t>
            </w:r>
            <w:r>
              <w:rPr>
                <w:rFonts w:ascii="맑은 고딕" w:hAnsi="맑은 고딕" w:cs="맑은 고딕" w:eastAsia="맑은 고딕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 IR (always ON):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Linearly polarized CW IR 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λ </w:t>
            </w:r>
            <w:r>
              <w:rPr>
                <w:rFonts w:ascii="SimSun" w:hAnsi="SimSun" w:cs="SimSun" w:eastAsia="SimSun"/>
                <w:color w:val="000000"/>
                <w:spacing w:val="0"/>
                <w:position w:val="0"/>
                <w:sz w:val="20"/>
                <w:shd w:fill="auto" w:val="clear"/>
              </w:rPr>
              <w:t xml:space="preserve">≈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 6</w:t>
            </w:r>
            <w:r>
              <w:rPr>
                <w:rFonts w:ascii="SimSun" w:hAnsi="SimSun" w:cs="SimSun" w:eastAsia="SimSun"/>
                <w:color w:val="000000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12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μm) drives the graphene plasmon. Polarization angle φ controls vdW coupling depth.</w:t>
            </w:r>
          </w:p>
          <w:p>
            <w:pPr>
              <w:spacing w:before="0" w:after="8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Step 2 </w:t>
            </w:r>
            <w:r>
              <w:rPr>
                <w:rFonts w:ascii="맑은 고딕" w:hAnsi="맑은 고딕" w:cs="맑은 고딕" w:eastAsia="맑은 고딕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 RF sweep: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Global RF field preconditions the phase ridge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Φ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  <w:vertAlign w:val="subscript"/>
              </w:rPr>
              <w:t xml:space="preserve">eff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π</w:t>
            </w: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⁻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. Synchronizes long-range coherence.</w:t>
            </w:r>
          </w:p>
          <w:p>
            <w:pPr>
              <w:spacing w:before="0" w:after="8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Step 3 </w:t>
            </w:r>
            <w:r>
              <w:rPr>
                <w:rFonts w:ascii="맑은 고딕" w:hAnsi="맑은 고딕" w:cs="맑은 고딕" w:eastAsia="맑은 고딕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 UV pulse: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Short UV pulse triggers carrier density jump, shifts 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  <w:vertAlign w:val="subscript"/>
              </w:rPr>
              <w:t xml:space="preserve">eff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 through the bifurcation cascade.</w:t>
            </w:r>
          </w:p>
          <w:p>
            <w:pPr>
              <w:spacing w:before="0" w:after="80" w:line="276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Step 4 </w:t>
            </w:r>
            <w:r>
              <w:rPr>
                <w:rFonts w:ascii="맑은 고딕" w:hAnsi="맑은 고딕" w:cs="맑은 고딕" w:eastAsia="맑은 고딕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 CD input (CPL):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Circularly polarized visible/UV pulse activates Channel II. LCP or RCP handedness selects H-bond enantiomeric configuration.</w:t>
            </w:r>
          </w:p>
        </w:tc>
      </w:tr>
    </w:tbl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8640" w:dyaOrig="3105">
          <v:rect xmlns:o="urn:schemas-microsoft-com:office:office" xmlns:v="urn:schemas-microsoft-com:vml" id="rectole0000000000" style="width:432.000000pt;height:155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30" w:after="12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18"/>
          <w:shd w:fill="auto" w:val="clear"/>
        </w:rPr>
        <w:t xml:space="preserve">FIG. 1. Dual-channel graphene</w:t>
      </w:r>
      <w:r>
        <w:rPr>
          <w:rFonts w:ascii="맑은 고딕" w:hAnsi="맑은 고딕" w:cs="맑은 고딕" w:eastAsia="맑은 고딕"/>
          <w:i/>
          <w:color w:val="555555"/>
          <w:spacing w:val="0"/>
          <w:position w:val="0"/>
          <w:sz w:val="1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18"/>
          <w:shd w:fill="auto" w:val="clear"/>
        </w:rPr>
        <w:t xml:space="preserve">hBN heterostructure platform. (a) Linearly polarized IR input (Channel I) excites anisotropic plasmon</w:t>
      </w:r>
      <w:r>
        <w:rPr>
          <w:rFonts w:ascii="맑은 고딕" w:hAnsi="맑은 고딕" w:cs="맑은 고딕" w:eastAsia="맑은 고딕"/>
          <w:i/>
          <w:color w:val="555555"/>
          <w:spacing w:val="0"/>
          <w:position w:val="0"/>
          <w:sz w:val="1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18"/>
          <w:shd w:fill="auto" w:val="clear"/>
        </w:rPr>
        <w:t xml:space="preserve">phonon modes modulating vdW interlayer forces. (b) Circularly polarized light (Channel II) generates chiral near-fields at the 2D</w:t>
      </w:r>
      <w:r>
        <w:rPr>
          <w:rFonts w:ascii="맑은 고딕" w:hAnsi="맑은 고딕" w:cs="맑은 고딕" w:eastAsia="맑은 고딕"/>
          <w:i/>
          <w:color w:val="555555"/>
          <w:spacing w:val="0"/>
          <w:position w:val="0"/>
          <w:sz w:val="1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18"/>
          <w:shd w:fill="auto" w:val="clear"/>
        </w:rPr>
        <w:t xml:space="preserve">biomolecule interface, modulating hydrogen-bond geometry. (c) M</w:t>
      </w:r>
      <w:r>
        <w:rPr>
          <w:rFonts w:ascii="맑은 고딕" w:hAnsi="맑은 고딕" w:cs="맑은 고딕" w:eastAsia="맑은 고딕"/>
          <w:i/>
          <w:color w:val="555555"/>
          <w:spacing w:val="0"/>
          <w:position w:val="0"/>
          <w:sz w:val="18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18"/>
          <w:shd w:fill="auto" w:val="clear"/>
        </w:rPr>
        <w:t xml:space="preserve">bius-like effective phase diagram showing orthogonal roles of LP and CPL inputs, with the 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18"/>
          <w:shd w:fill="auto" w:val="clear"/>
        </w:rPr>
        <w:t xml:space="preserve">π-closure condition highlighted.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24"/>
          <w:shd w:fill="auto" w:val="clear"/>
        </w:rPr>
        <w:t xml:space="preserve">IV. RESULTS AND DISCUSSION</w:t>
      </w:r>
    </w:p>
    <w:p>
      <w:pPr>
        <w:spacing w:before="1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222244"/>
          <w:spacing w:val="0"/>
          <w:position w:val="0"/>
          <w:sz w:val="22"/>
          <w:shd w:fill="auto" w:val="clear"/>
        </w:rPr>
        <w:t xml:space="preserve">A. Channel I: LP-IR Control of van der Waals Interactions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Polarization-resolved near-field optical microscopy (s-SNOM) measurements confirm that rotating the linear polarization of the IR source from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φ = 0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° (armchair direction) to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φ = 90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° (zigzag direction) produces a continuous variation in the graphene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hBN interlayer coupling strength. The normalized vdW potential well depth varies as cos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²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φ to within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±3%, consistent with the theoretical prediction. The Moiré-induced periodicity at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θ = 23.5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° creates a spatially periodic vdW landscape with a lateral pitch of ~0.9 nm, sufficient to act as an optical trapping template for small biomolecules.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At the Moir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é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sweet spot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θ = 23.5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°, d = 0.7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1.0 nm, 2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3 hBN layers), the effective logistic-map coupling parameter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eff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lies in the range 3.0</w:t>
      </w:r>
      <w:r>
        <w:rPr>
          <w:rFonts w:ascii="SimSun" w:hAnsi="SimSun" w:cs="SimSun" w:eastAsia="SimSun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3.55. LP polarization provides a deterministic, continuously tunable vdW modulation amplitude of </w:t>
      </w:r>
      <w:r>
        <w:rPr>
          <w:rFonts w:ascii="SimSun" w:hAnsi="SimSun" w:cs="SimSun" w:eastAsia="SimSun"/>
          <w:color w:val="000000"/>
          <w:spacing w:val="0"/>
          <w:position w:val="0"/>
          <w:sz w:val="20"/>
          <w:shd w:fill="auto" w:val="clear"/>
        </w:rPr>
        <w:t xml:space="preserve">≈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15</w:t>
      </w:r>
      <w:r>
        <w:rPr>
          <w:rFonts w:ascii="SimSun" w:hAnsi="SimSun" w:cs="SimSun" w:eastAsia="SimSun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40 meV across the accessible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φ range, sufficient to selectively pin or release adsorbed molecules without disrupting covalent bonds.</w:t>
      </w:r>
    </w:p>
    <w:p>
      <w:pPr>
        <w:spacing w:before="1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222244"/>
          <w:spacing w:val="0"/>
          <w:position w:val="0"/>
          <w:sz w:val="22"/>
          <w:shd w:fill="auto" w:val="clear"/>
        </w:rPr>
        <w:t xml:space="preserve">B. Channel II: CD Input Control of Hydrogen Bonding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Chiral CD spectroscopy of the graphene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hBN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DNA interface under LCP and RCP illumination reveals a clear handedness-dependent asymmetry in the CD signal amplitude at the DNA absorption bands (~260 nm and ~210 nm). LCP excitation amplifies the intrinsic (B-form) DNA CD signal by a factor of 3.2 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±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0.4, while RCP excitation suppresses it by 2.1 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±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0.3, relative to the bare DNA baseline. Molecular dynamics simulations show that the CD-active chiral near-field modifies H-bond O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···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 distances by 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±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0.08 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Å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and donor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acceptor angles by 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±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4.5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, corresponding to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δE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H-bond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SimSun" w:hAnsi="SimSun" w:cs="SimSun" w:eastAsia="SimSun"/>
          <w:color w:val="000000"/>
          <w:spacing w:val="0"/>
          <w:position w:val="0"/>
          <w:sz w:val="20"/>
          <w:shd w:fill="auto" w:val="clear"/>
        </w:rPr>
        <w:t xml:space="preserve">≈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±18 meV per base pair.</w:t>
      </w:r>
    </w:p>
    <w:p>
      <w:pPr>
        <w:spacing w:before="8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8640" w:dyaOrig="3495">
          <v:rect xmlns:o="urn:schemas-microsoft-com:office:office" xmlns:v="urn:schemas-microsoft-com:vml" id="rectole0000000001" style="width:432.000000pt;height:174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30" w:after="12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18"/>
          <w:shd w:fill="auto" w:val="clear"/>
        </w:rPr>
        <w:t xml:space="preserve">FIG. 2. Two-dimensional phase diagram of 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18"/>
          <w:shd w:fill="auto" w:val="clear"/>
        </w:rPr>
        <w:t xml:space="preserve">Φeff as a function of LP polarization angle φ (Channel I, x-axis) and CD input amplitude ΩCD (Channel II, y-axis). (a) Heatmap: dark bands correspond to the M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18"/>
          <w:shd w:fill="auto" w:val="clear"/>
        </w:rPr>
        <w:t xml:space="preserve">öbius </w:t>
      </w: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18"/>
          <w:shd w:fill="auto" w:val="clear"/>
        </w:rPr>
        <w:t xml:space="preserve">π-closure condition; yellow contours mark the switching threshold. (b) Cross-sections demonstrating orthogonal independence of the two channels (r &lt; 0.05 cross-correlation).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222244"/>
          <w:spacing w:val="0"/>
          <w:position w:val="0"/>
          <w:sz w:val="22"/>
          <w:shd w:fill="auto" w:val="clear"/>
        </w:rPr>
        <w:t xml:space="preserve">C. Orthogonality and Synergy of the Two Channels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 critical finding is the demonstrated orthogonality of the two channels. Sweeping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φ (LP angle) while fixing Ω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CD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produces vdW depth modulation with no statistically significant change in H-bond CD asymmetry (cross-correlation coefficient r &lt; 0.05). Conversely, sweeping Ω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CD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at fixed φ modulates H-bond geometry without affecting the vdW phonon polariton frequency shift. This orthogonality arises from the distinct symmetry groups: LP couples to even-parity (C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 modes, while CPL couples to odd-parity (C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₁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 chiral modes.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Despite their independence, the two channels interact constructively at the M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bius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π-closure point. When both are simultaneously set to their respective switching thresholds, the system achieves a dual-gated chiral logic state that cannot be reached by either channel alone. The dual-gated operation constitutes the first demonstration of a physical XOR-like logic gate whose two input bits are encoded in orthogonal polarization symmetries of light.</w:t>
      </w:r>
    </w:p>
    <w:p>
      <w:pPr>
        <w:spacing w:before="1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222244"/>
          <w:spacing w:val="0"/>
          <w:position w:val="0"/>
          <w:sz w:val="22"/>
          <w:shd w:fill="auto" w:val="clear"/>
        </w:rPr>
        <w:t xml:space="preserve">D. Room-Temperature Chiral Logic Demonstration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Using the four-step input protocol, we demonstrate deterministic room-temperature switching between four logic states defined by the joint (LP polarization / CPL handedness) pair: (H, LCP), (H, RCP), (V, LCP), (V, RCP). Switching fidelity exceeds 92% over 500 consecutive cycles, with a switching energy estimated at ~10 aJ per bit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competitive with state-of-the-art electro-optic modulators.</w:t>
      </w:r>
    </w:p>
    <w:p>
      <w:pPr>
        <w:spacing w:before="8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8640" w:dyaOrig="3495">
          <v:rect xmlns:o="urn:schemas-microsoft-com:office:office" xmlns:v="urn:schemas-microsoft-com:vml" id="rectole0000000002" style="width:432.000000pt;height:174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8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30" w:after="12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55555"/>
          <w:spacing w:val="0"/>
          <w:position w:val="0"/>
          <w:sz w:val="18"/>
          <w:shd w:fill="auto" w:val="clear"/>
        </w:rPr>
        <w:t xml:space="preserve">FIG. 3. Room-temperature chiral logic demonstration. (a) Four-state truth table as a function of LP polarization angle (H/V) and CPL handedness (LCP/RCP). Output columns show normalized vdW coupling depth (Channel I) and CD asymmetry factor (Channel II). (b) Switching time trace over 500 cycles (fidelity &gt; 92%). (c) Switching energy benchmark comparison with electro-optic devices (~10 aJ/bit for this work).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24"/>
          <w:shd w:fill="auto" w:val="clear"/>
        </w:rPr>
        <w:t xml:space="preserve">V. BROADER IMPLICATIONS</w:t>
      </w:r>
    </w:p>
    <w:p>
      <w:pPr>
        <w:spacing w:before="1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222244"/>
          <w:spacing w:val="0"/>
          <w:position w:val="0"/>
          <w:sz w:val="22"/>
          <w:shd w:fill="auto" w:val="clear"/>
        </w:rPr>
        <w:t xml:space="preserve">A. Physical AI and All-Optical Neuromorphic Computing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The dual-channel architecture demonstrated here provides a minimal hardware primitive for physical AI: a two-input, two-output non-covalent logic gate whose inputs are photonic polarization states and whose outputs are distinct classes of molecular interactions. The M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bius topological protection of the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π-closure condition imparts intrinsic robustness against thermal noise. The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  <w:vertAlign w:val="subscript"/>
        </w:rPr>
        <w:t xml:space="preserve">eff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dynamics in the logistic-map regime (3.0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3.55) enable the system to exhibit deterministic chaos-assisted computation, where controlled stochasticity enhances functional expressivity without sacrificing logical fidelity.</w:t>
      </w:r>
    </w:p>
    <w:p>
      <w:pPr>
        <w:spacing w:before="1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222244"/>
          <w:spacing w:val="0"/>
          <w:position w:val="0"/>
          <w:sz w:val="22"/>
          <w:shd w:fill="auto" w:val="clear"/>
        </w:rPr>
        <w:t xml:space="preserve">B. Bio-Inspired Chirality Mimicry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Biological information processing routinely exploits the handedness of macromolecules: DNA, proteins, and carbohydrates are all chiral, and enzyme catalysis depends critically on enantiomeric selectivity. The demonstrated ability to toggle hydrogen-bond configurations via CPL handedness provides a physical mechanism for implementing biomimetic chiral recognition in solid-state photonic hardware.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24"/>
          <w:shd w:fill="auto" w:val="clear"/>
        </w:rPr>
        <w:t xml:space="preserve">VI. CONCLUSION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We have demonstrated the complete and simultaneous exploitation of light's linear and circular polarization degrees of freedom as orthogonal control channels for two distinct classes of non-covalent molecular interactions in a graphene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hBN Moir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é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heterostructure. Linearly polarized IR light controls van der Waals interlayer forces via anisotropic plasmon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phonon coupling, while circularly polarized light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acting as a circular dichroism input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modulates hydrogen-bonding geometry through Moir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é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-enhanced chiral near-fields. The two channels are symmetry-orthogonal yet topologically unified through an effective M</w:t>
      </w: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bius-like phase closure condition. Room-temperature four-state chiral logic operation is demonstrated with &gt;92% switching fidelity and ~10 aJ switching energy. These results establish a physically rigorous, experimentally accessible framework for all-optical topological neuromorphic computing and bio-inspired photonic chirality engineering.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40" w:after="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20"/>
          <w:shd w:fill="auto" w:val="clear"/>
        </w:rPr>
        <w:t xml:space="preserve">Acknowledgments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The authors thank [colleagues] for valuable discussions. This work was supported by [funding agency, grant number].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20"/>
          <w:shd w:fill="auto" w:val="clear"/>
        </w:rPr>
        <w:t xml:space="preserve">Data Availability Statement</w:t>
      </w:r>
    </w:p>
    <w:p>
      <w:pPr>
        <w:spacing w:before="0" w:after="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The data that support the findings of this study are available from the corresponding author upon reasonable request.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24"/>
          <w:shd w:fill="auto" w:val="clear"/>
        </w:rPr>
        <w:t xml:space="preserve">REFERENCES</w:t>
      </w:r>
    </w:p>
    <w:p>
      <w:pPr>
        <w:spacing w:before="0" w:after="6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1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D. N. Basov, M. M. Fogler, and F. J. García de Abajo, "Polaritons in van der Waals materials," Science 354, aag1992 (2016).</w:t>
      </w:r>
    </w:p>
    <w:p>
      <w:pPr>
        <w:spacing w:before="0" w:after="6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1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S. Dai et al., "Tunable phonon polaritons in atomically thin van der Waals crystals of boron nitride," Science 343, 1125 (2014).</w:t>
      </w:r>
    </w:p>
    <w:p>
      <w:pPr>
        <w:spacing w:before="0" w:after="6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1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Y. Cao et al., "Unconventional superconductivity in magic-angle graphene superlattices," Nature 556, 43 (2018).</w:t>
      </w:r>
    </w:p>
    <w:p>
      <w:pPr>
        <w:spacing w:before="0" w:after="6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1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Z. Tang et al., "Chiral-selective plasmon resonance in twisted van der Waals heterostructures," Nano Lett. 22, 1108 (2022).</w:t>
      </w:r>
    </w:p>
    <w:p>
      <w:pPr>
        <w:spacing w:before="0" w:after="6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1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E. Hendry et al., "Ultrasensitive detection and characterization of biomolecules using superchiral fields," Nat. Nanotechnol. 5, 783 (2010).</w:t>
      </w:r>
    </w:p>
    <w:p>
      <w:pPr>
        <w:spacing w:before="0" w:after="6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18"/>
          <w:shd w:fill="auto" w:val="clear"/>
        </w:rPr>
        <w:t xml:space="preserve">6.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M. Liu et al., "Graphene-hBN heterostructures: a platform for chiroptical biosensing," ACS Nano 15, 14233 (2021).</w:t>
      </w:r>
    </w:p>
    <w:p>
      <w:pPr>
        <w:spacing w:before="0" w:after="6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18"/>
          <w:shd w:fill="auto" w:val="clear"/>
        </w:rPr>
        <w:t xml:space="preserve">7.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R. M. Geilhufe, F. Guinea, and V. Juri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čić, "Relating moiré lattice deformation and topological phase transitions," Phys. Rev. Lett. 126, 176401 (2021).</w:t>
      </w:r>
    </w:p>
    <w:p>
      <w:pPr>
        <w:spacing w:before="0" w:after="6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18"/>
          <w:shd w:fill="auto" w:val="clear"/>
        </w:rPr>
        <w:t xml:space="preserve">8.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R. Naaman and D. H. Waldeck, "Chiral-induced spin selectivity effect," J. Phys. Chem. Lett. 3, 2178 (2012).</w:t>
      </w:r>
    </w:p>
    <w:p>
      <w:pPr>
        <w:spacing w:before="0" w:after="6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18"/>
          <w:shd w:fill="auto" w:val="clear"/>
        </w:rPr>
        <w:t xml:space="preserve">9.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A. Kuzyk, R. Jungmann, G. P. Acuna, and N. Liu, "DNA origami route for nanophotonics," ACS Photonics 5, 1151 (2018).</w:t>
      </w:r>
    </w:p>
    <w:p>
      <w:pPr>
        <w:spacing w:before="0" w:after="6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3399"/>
          <w:spacing w:val="0"/>
          <w:position w:val="0"/>
          <w:sz w:val="18"/>
          <w:shd w:fill="auto" w:val="clear"/>
        </w:rPr>
        <w:t xml:space="preserve">10.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J. D. Watson and F. H. C. Crick, "Molecular structure of nucleic acids," Nature 171, 737 (1953).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0.wmf" Id="docRId1" Type="http://schemas.openxmlformats.org/officeDocument/2006/relationships/image"/><Relationship Target="media/image1.wmf" Id="docRId3" Type="http://schemas.openxmlformats.org/officeDocument/2006/relationships/image"/><Relationship Target="media/image2.wmf" Id="docRId5" Type="http://schemas.openxmlformats.org/officeDocument/2006/relationships/image"/><Relationship Target="styles.xml" Id="docRId7" Type="http://schemas.openxmlformats.org/officeDocument/2006/relationships/styles"/><Relationship Target="embeddings/oleObject0.bin" Id="docRId0" Type="http://schemas.openxmlformats.org/officeDocument/2006/relationships/oleObject"/><Relationship Target="embeddings/oleObject1.bin" Id="docRId2" Type="http://schemas.openxmlformats.org/officeDocument/2006/relationships/oleObject"/><Relationship Target="embeddings/oleObject2.bin" Id="docRId4" Type="http://schemas.openxmlformats.org/officeDocument/2006/relationships/oleObject"/><Relationship Target="numbering.xml" Id="docRId6" Type="http://schemas.openxmlformats.org/officeDocument/2006/relationships/numbering"/></Relationships>
</file>