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0D2137"/>
          <w:sz w:val="30"/>
          <w:szCs w:val="30"/>
        </w:rPr>
        <w:t xml:space="preserve">Millimeter-Wave and Near-Infrared Hybrid Control for Fine Motor Actuation: Dual-Wave Interference-Based Facial Expression and Dexterous Grasping</w:t>
      </w:r>
    </w:p>
    <w:p>
      <w:pPr>
        <w:spacing w:after="40" w:before="100"/>
        <w:jc w:val="center"/>
      </w:pPr>
      <w:r>
        <w:rPr>
          <w:rFonts w:ascii="Arial" w:cs="Arial" w:eastAsia="Arial" w:hAnsi="Arial"/>
          <w:b/>
          <w:bCs/>
          <w:color w:val="1A3C6E"/>
          <w:sz w:val="22"/>
          <w:szCs w:val="22"/>
        </w:rPr>
        <w:t xml:space="preserve">Chur Chin </w:t>
      </w:r>
      <w:r>
        <w:rPr>
          <w:rFonts w:ascii="Arial" w:cs="Arial" w:eastAsia="Arial" w:hAnsi="Arial"/>
          <w:color w:val="1A3C6E"/>
          <w:sz w:val="17"/>
          <w:szCs w:val="17"/>
          <w:vertAlign w:val="superscript"/>
        </w:rPr>
        <w:t xml:space="preserve">a,*</w:t>
      </w:r>
    </w:p>
    <w:p>
      <w:pPr>
        <w:spacing w:after="30" w:before="30"/>
        <w:jc w:val="center"/>
      </w:pPr>
      <w:r>
        <w:rPr>
          <w:rFonts w:ascii="Arial" w:cs="Arial" w:eastAsia="Arial" w:hAnsi="Arial"/>
          <w:sz w:val="17"/>
          <w:szCs w:val="17"/>
          <w:vertAlign w:val="superscript"/>
        </w:rPr>
        <w:t xml:space="preserve">a </w:t>
      </w:r>
      <w:r>
        <w:rPr>
          <w:rFonts w:ascii="Arial" w:cs="Arial" w:eastAsia="Arial" w:hAnsi="Arial"/>
          <w:color w:val="555555"/>
          <w:sz w:val="18"/>
          <w:szCs w:val="18"/>
        </w:rPr>
        <w:t xml:space="preserve">Department of Family Medicine, Dong-eui Medical Center, Busan 47227, Republic of Korea</w:t>
      </w:r>
    </w:p>
    <w:p>
      <w:pPr>
        <w:spacing w:after="100" w:before="20"/>
        <w:jc w:val="center"/>
      </w:pPr>
      <w:r>
        <w:rPr>
          <w:rFonts w:ascii="Arial" w:cs="Arial" w:eastAsia="Arial" w:hAnsi="Arial"/>
          <w:i/>
          <w:iCs/>
          <w:color w:val="1A3C6E"/>
          <w:sz w:val="18"/>
          <w:szCs w:val="18"/>
        </w:rPr>
        <w:t xml:space="preserve">* Electronic mail: tpotaoai@gmail.com</w:t>
      </w:r>
    </w:p>
    <w:p>
      <w:pPr>
        <w:pBdr>
          <w:bottom w:val="single" w:color="B0BEC5" w:sz="2" w:space="1"/>
        </w:pBdr>
        <w:spacing w:after="60" w:before="60"/>
      </w:pPr>
      <w:r>
        <w:t xml:space="preserve"/>
      </w:r>
    </w:p>
    <w:p>
      <w:pPr>
        <w:spacing w:after="50" w:before="140"/>
      </w:pPr>
      <w:r>
        <w:rPr>
          <w:rFonts w:ascii="Arial" w:cs="Arial" w:eastAsia="Arial" w:hAnsi="Arial"/>
          <w:b/>
          <w:bCs/>
          <w:color w:val="1A3C6E"/>
          <w:sz w:val="22"/>
          <w:szCs w:val="2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C6E" w:sz="4"/>
              <w:bottom w:val="none" w:color="FFFFFF" w:sz="0"/>
              <w:right w:val="none" w:color="FFFFFF" w:sz="0"/>
            </w:tcBorders>
            <w:shd w:fill="F8FBFF" w:val="clear"/>
            <w:tcMar>
              <w:top w:type="dxa" w:w="80"/>
              <w:left w:type="dxa" w:w="200"/>
              <w:bottom w:type="dxa" w:w="80"/>
              <w:right w:type="dxa" w:w="80"/>
            </w:tcMar>
          </w:tcPr>
          <w:p>
            <w:pPr>
              <w:spacing w:after="40" w:before="40" w:line="276"/>
              <w:jc w:val="both"/>
            </w:pPr>
            <w:r>
              <w:rPr>
                <w:rFonts w:ascii="Times New Roman" w:cs="Times New Roman" w:eastAsia="Times New Roman" w:hAnsi="Times New Roman"/>
                <w:sz w:val="19"/>
                <w:szCs w:val="19"/>
              </w:rPr>
              <w:t xml:space="preserve">Fine motor control of facial musculature (42 muscles, millimeter-scale displacement) and dexterous hand grasping (17 degrees of freedom) remains a critical unmet challenge in neuromorphic prosthetics and human–machine interfaces. We introduce a dual-wave hybrid control framework that combines millimeter-wave radiation (mmWave, 60 GHz) with near-infrared light (IR, 1300 nm) to achieve hierarchical fine motor actuation. mmWave penetrates tissue to provide coarse bulk-muscle modulation via excitatory and inhibitory postsynaptic potential (EPSP/IPSP) phase control, while IR delivers sub-millimeter precision fine-tuning of individual muscle fibers. The dual-wave interference output I_out = |A_mw·e^{iφ_mw} + A_IR·e^{iφ_IR}|² encodes actuation force as a single continuous control parameter—the phase difference Δφ—spanning maximum contraction (Δφ = 0), relaxation (Δφ = π), and fine-touch force (Δφ = π/4). A two-dimensional finite-difference time-domain (FDTD) simulation with dispersive Debye tissue model and convolutional perfectly matched layer (CPML) boundary validates field distribution in a finger-shaped dielectric geometry (ε_r = 40). GPU-accelerated PID phase feedback achieves &lt; 1 ms closed-loop latency, a 21-fold improvement over electromyography-based control. Integration with a 23.5° magic-angle hexagonal boron nitride (hBN) moiré photodetector provides unified sensing and actuation. Facial expression recognition accuracy reaches 89–92% across seven expressions with mmWave+IR, compared to 55–72% for EMG baselines. Grip force RMSE is reduced by 76% relative to uncontrolled baselines at σ = 0.3 noise. The proposed framework constitutes a scalable, hardware-compatible path toward physics-native fine motor neuroprosthetics.</w:t>
            </w:r>
          </w:p>
        </w:tc>
      </w:tr>
    </w:tbl>
    <w:p>
      <w:pPr>
        <w:spacing w:after="60" w:before="120"/>
      </w:pPr>
      <w:r>
        <w:rPr>
          <w:rFonts w:ascii="Arial" w:cs="Arial" w:eastAsia="Arial" w:hAnsi="Arial"/>
          <w:b/>
          <w:bCs/>
          <w:color w:val="1A3C6E"/>
          <w:sz w:val="20"/>
          <w:szCs w:val="20"/>
        </w:rPr>
        <w:t xml:space="preserve">Keywords: </w:t>
      </w:r>
      <w:r>
        <w:rPr>
          <w:rFonts w:ascii="Times New Roman" w:cs="Times New Roman" w:eastAsia="Times New Roman" w:hAnsi="Times New Roman"/>
          <w:sz w:val="19"/>
          <w:szCs w:val="19"/>
        </w:rPr>
        <w:t xml:space="preserve">fine motor control; millimeter-wave; near-infrared; dual-wave interference; FDTD; facial expression; dexterous grasping; neuromorphic prosthetics; hBN moiré sensor; phase control; reservoir computing; WavePhysAI</w:t>
      </w:r>
    </w:p>
    <w:p>
      <w:pPr>
        <w:pBdr>
          <w:bottom w:val="single" w:color="B0BEC5" w:sz="2" w:space="1"/>
        </w:pBdr>
        <w:spacing w:after="60" w:before="60"/>
      </w:pPr>
      <w:r>
        <w:t xml:space="preserve"/>
      </w:r>
    </w:p>
    <w:p>
      <w:pPr>
        <w:pStyle w:val="Heading1"/>
        <w:pBdr>
          <w:bottom w:val="single" w:color="1A3C6E" w:sz="4" w:space="4"/>
        </w:pBdr>
        <w:spacing w:after="100" w:before="280"/>
      </w:pPr>
      <w:r>
        <w:rPr>
          <w:rFonts w:ascii="Arial" w:cs="Arial" w:eastAsia="Arial" w:hAnsi="Arial"/>
          <w:b/>
          <w:bCs/>
          <w:color w:val="1A3C6E"/>
          <w:sz w:val="26"/>
          <w:szCs w:val="26"/>
        </w:rPr>
        <w:t xml:space="preserve">1. Introduction</w:t>
      </w:r>
    </w:p>
    <w:p>
      <w:pPr>
        <w:spacing w:after="70" w:before="70" w:line="280"/>
        <w:jc w:val="both"/>
      </w:pPr>
      <w:r>
        <w:rPr>
          <w:rFonts w:ascii="Times New Roman" w:cs="Times New Roman" w:eastAsia="Times New Roman" w:hAnsi="Times New Roman"/>
          <w:sz w:val="20"/>
          <w:szCs w:val="20"/>
        </w:rPr>
        <w:t xml:space="preserve">Fine motor control—the precise, coordinated activation of small muscles to produce controlled, nuanced movement—is one of the most computationally demanding challenges in biological and artificial neural systems. The human hand contains 17 degrees of freedom (DOF) across 27 bones and 29 muscles, enabling grip forces spanning five orders of magnitude from the 0.1 N required for a light touch to the 400 N of a full power grip. The human face commands 42 distinct muscles capable of producing more than 10,000 discernible expression configurations. Replicating this performance in prosthetic or neuromorphic systems has proven extraordinarily difficult </w:t>
      </w:r>
      <w:r>
        <w:rPr>
          <w:rFonts w:ascii="Times New Roman" w:cs="Times New Roman" w:eastAsia="Times New Roman" w:hAnsi="Times New Roman"/>
          <w:b/>
          <w:bCs/>
          <w:color w:val="1A3C6E"/>
          <w:sz w:val="20"/>
          <w:szCs w:val="20"/>
        </w:rPr>
        <w:t xml:space="preserve">(1)</w:t>
      </w:r>
      <w:r>
        <w:rPr>
          <w:rFonts w:ascii="Times New Roman" w:cs="Times New Roman" w:eastAsia="Times New Roman" w:hAnsi="Times New Roman"/>
          <w:sz w:val="20"/>
          <w:szCs w:val="20"/>
        </w:rPr>
        <w:t xml:space="preserve">.</w:t>
      </w:r>
    </w:p>
    <w:p>
      <w:pPr>
        <w:spacing w:after="70" w:before="70" w:line="280"/>
        <w:jc w:val="both"/>
      </w:pPr>
      <w:r>
        <w:rPr>
          <w:rFonts w:ascii="Times New Roman" w:cs="Times New Roman" w:eastAsia="Times New Roman" w:hAnsi="Times New Roman"/>
          <w:sz w:val="20"/>
          <w:szCs w:val="20"/>
        </w:rPr>
        <w:t xml:space="preserve">Current approaches to fine motor neuroprosthetics rely primarily on surface or intracortical electromyography (EMG), which captures muscle electrical activity via electrode arrays. While EMG can discriminate among gross movement categories, its spatial resolution (~5 mm for surface EMG) and crosstalk between adjacent electrode channels prevent independent control of individual muscle fibers at the sub-millimeter scale required for natural facial expression and delicate object manipulation </w:t>
      </w:r>
      <w:r>
        <w:rPr>
          <w:rFonts w:ascii="Times New Roman" w:cs="Times New Roman" w:eastAsia="Times New Roman" w:hAnsi="Times New Roman"/>
          <w:b/>
          <w:bCs/>
          <w:color w:val="1A3C6E"/>
          <w:sz w:val="20"/>
          <w:szCs w:val="20"/>
        </w:rPr>
        <w:t xml:space="preserve">(2)</w:t>
      </w:r>
      <w:r>
        <w:rPr>
          <w:rFonts w:ascii="Times New Roman" w:cs="Times New Roman" w:eastAsia="Times New Roman" w:hAnsi="Times New Roman"/>
          <w:sz w:val="20"/>
          <w:szCs w:val="20"/>
        </w:rPr>
        <w:t xml:space="preserve">. Optogenetic approaches offer higher spatial resolution but require genetic modification, limiting clinical translation </w:t>
      </w:r>
      <w:r>
        <w:rPr>
          <w:rFonts w:ascii="Times New Roman" w:cs="Times New Roman" w:eastAsia="Times New Roman" w:hAnsi="Times New Roman"/>
          <w:b/>
          <w:bCs/>
          <w:color w:val="1A3C6E"/>
          <w:sz w:val="20"/>
          <w:szCs w:val="20"/>
        </w:rPr>
        <w:t xml:space="preserve">(3)</w:t>
      </w:r>
      <w:r>
        <w:rPr>
          <w:rFonts w:ascii="Times New Roman" w:cs="Times New Roman" w:eastAsia="Times New Roman" w:hAnsi="Times New Roman"/>
          <w:sz w:val="20"/>
          <w:szCs w:val="20"/>
        </w:rPr>
        <w:t xml:space="preserve">.</w:t>
      </w:r>
    </w:p>
    <w:p>
      <w:pPr>
        <w:spacing w:after="70" w:before="70" w:line="280"/>
        <w:jc w:val="both"/>
      </w:pPr>
      <w:r>
        <w:rPr>
          <w:rFonts w:ascii="Times New Roman" w:cs="Times New Roman" w:eastAsia="Times New Roman" w:hAnsi="Times New Roman"/>
          <w:sz w:val="20"/>
          <w:szCs w:val="20"/>
        </w:rPr>
        <w:t xml:space="preserve">Wave-physics-based computing—WavePhysAI—has emerged as a paradigm for neuromorphic systems in which computation and actuation are performed by physical wave dynamics rather than digital signal processing </w:t>
      </w:r>
      <w:r>
        <w:rPr>
          <w:rFonts w:ascii="Times New Roman" w:cs="Times New Roman" w:eastAsia="Times New Roman" w:hAnsi="Times New Roman"/>
          <w:b/>
          <w:bCs/>
          <w:color w:val="1A3C6E"/>
          <w:sz w:val="20"/>
          <w:szCs w:val="20"/>
        </w:rPr>
        <w:t xml:space="preserve">(4)</w:t>
      </w:r>
      <w:r>
        <w:rPr>
          <w:rFonts w:ascii="Times New Roman" w:cs="Times New Roman" w:eastAsia="Times New Roman" w:hAnsi="Times New Roman"/>
          <w:sz w:val="20"/>
          <w:szCs w:val="20"/>
        </w:rPr>
        <w:t xml:space="preserve">. The WavePhysAI architecture employs different wave modalities for different anatomical scales: optical waves (1550 nm) for the head, acoustic and electromagnetic waves for the arms and legs. Here we propose a natural and physically motivated extension of this hierarchy to the finest anatomical scale: fingers and facial muscles, where cavity dimensions of 2–5 mm mandate wave frequencies in the millimeter-wave (mmWave) and infrared (IR) range.</w:t>
      </w:r>
    </w:p>
    <w:p>
      <w:pPr>
        <w:spacing w:after="70" w:before="70" w:line="280"/>
        <w:jc w:val="both"/>
      </w:pPr>
      <w:r>
        <w:rPr>
          <w:rFonts w:ascii="Times New Roman" w:cs="Times New Roman" w:eastAsia="Times New Roman" w:hAnsi="Times New Roman"/>
          <w:sz w:val="20"/>
          <w:szCs w:val="20"/>
        </w:rPr>
        <w:t xml:space="preserve">The key insight is that mmWave (60 GHz, λ ≈ 5 mm) and near-IR (1300 nm) are physically complementary: mmWave provides deep tissue penetration (≥ 3 mm) suitable for bulk muscle modulation, while IR provides sub-millimeter precision sufficient for individual muscle fiber control but with shallow penetration (&lt; 1 mm). By combining both modalities in a single interference model, we achieve hierarchical control—coarse-to-fine—from a single tunable parameter: the phase difference Δφ between the two waves.</w:t>
      </w:r>
    </w:p>
    <w:p>
      <w:pPr>
        <w:spacing w:after="70" w:before="70" w:line="280"/>
        <w:jc w:val="both"/>
      </w:pPr>
      <w:r>
        <w:rPr>
          <w:rFonts w:ascii="Times New Roman" w:cs="Times New Roman" w:eastAsia="Times New Roman" w:hAnsi="Times New Roman"/>
          <w:sz w:val="20"/>
          <w:szCs w:val="20"/>
        </w:rPr>
        <w:t xml:space="preserve">This paper makes four principal contributions. First, we derive and validate the dual-wave interference control model I_out = |A_mw·e^{iφ_mw} + A_IR·e^{iφ_IR}|² and demonstrate continuous, monotonic force modulation from maximum contraction (Δφ = 0) through fine-touch (Δφ = π/4) to full relaxation (Δφ = π). Second, we implement a 2D FDTD simulation with Debye dispersive tissue and CPML boundary to validate field distribution in finger-shaped geometry. Third, we integrate a 23.5° magic-angle hBN moiré sensor for &lt; 1 ms closed-loop feedback. Fourth, we evaluate the framework on facial expression recognition (seven expressions, 42 muscles) and dexterous grasping (17 DOF, five-finger grip force), demonstrating substantial improvements over EMG baselines.</w:t>
      </w:r>
    </w:p>
    <w:p>
      <w:pPr>
        <w:spacing w:after="50" w:before="120"/>
        <w:jc w:val="center"/>
      </w:pPr>
      <w:r>
        <w:drawing>
          <wp:inline distT="0" distB="0" distL="0" distR="0">
            <wp:extent cx="5334000" cy="33813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81375"/>
                    </a:xfrm>
                    <a:prstGeom prst="rect">
                      <a:avLst/>
                    </a:prstGeom>
                  </pic:spPr>
                </pic:pic>
              </a:graphicData>
            </a:graphic>
          </wp:inline>
        </w:drawing>
      </w:r>
    </w:p>
    <w:p>
      <w:pPr>
        <w:spacing w:after="160" w:before="30"/>
        <w:jc w:val="center"/>
      </w:pPr>
      <w:r>
        <w:rPr>
          <w:rFonts w:ascii="Arial" w:cs="Arial" w:eastAsia="Arial" w:hAnsi="Arial"/>
          <w:i/>
          <w:iCs/>
          <w:color w:val="555555"/>
          <w:sz w:val="17"/>
          <w:szCs w:val="17"/>
        </w:rPr>
        <w:t xml:space="preserve">Figure 1. WavePhysAI hierarchical architecture with mmWave+IR fine motor extension. Top: existing WavePhysAI body hierarchy (optical head → acoustic/EM arms/legs). Extended lower layers: mmWave (10–30 GHz) for hands/feet, and mmWave + IR dual-wave for finger joints and facial muscles (highlighted as new contributions). Left/right panels: wave-type properties. Bottom: dual-wave interference model equation with phase-state interpretation.</w:t>
      </w:r>
    </w:p>
    <w:p>
      <w:pPr>
        <w:pStyle w:val="Heading1"/>
        <w:pBdr>
          <w:bottom w:val="single" w:color="1A3C6E" w:sz="4" w:space="4"/>
        </w:pBdr>
        <w:spacing w:after="100" w:before="280"/>
      </w:pPr>
      <w:r>
        <w:rPr>
          <w:rFonts w:ascii="Arial" w:cs="Arial" w:eastAsia="Arial" w:hAnsi="Arial"/>
          <w:b/>
          <w:bCs/>
          <w:color w:val="1A3C6E"/>
          <w:sz w:val="26"/>
          <w:szCs w:val="26"/>
        </w:rPr>
        <w:t xml:space="preserve">2. Background and Related Work</w:t>
      </w:r>
    </w:p>
    <w:p>
      <w:pPr>
        <w:pStyle w:val="Heading2"/>
        <w:spacing w:after="70" w:before="200"/>
      </w:pPr>
      <w:r>
        <w:rPr>
          <w:rFonts w:ascii="Arial" w:cs="Arial" w:eastAsia="Arial" w:hAnsi="Arial"/>
          <w:b/>
          <w:bCs/>
          <w:color w:val="2C3E50"/>
          <w:sz w:val="23"/>
          <w:szCs w:val="23"/>
        </w:rPr>
        <w:t xml:space="preserve">2.1. Fine Motor Control: Anatomy and Engineering Requirements</w:t>
      </w:r>
    </w:p>
    <w:p>
      <w:pPr>
        <w:spacing w:after="70" w:before="70" w:line="280"/>
        <w:jc w:val="both"/>
      </w:pPr>
      <w:r>
        <w:rPr>
          <w:rFonts w:ascii="Times New Roman" w:cs="Times New Roman" w:eastAsia="Times New Roman" w:hAnsi="Times New Roman"/>
          <w:sz w:val="20"/>
          <w:szCs w:val="20"/>
        </w:rPr>
        <w:t xml:space="preserve">The biomechanical requirements for fine motor control set stringent engineering specifications. For dexterous grasping, the five-finger hand must independently control 17 joint angles spanning the metacarpophalangeal (MCP), proximal interphalangeal (PIP), and distal interphalangeal (DIP) joints of each finger, plus the carpometacarpal (CMC) joint of the thumb. Force resolution of &lt; 0.1 N is required for fragile object manipulation; closed-loop bandwidth of ≥ 100 Hz is needed to match the proprioceptive feedback rate of biological Pacinian corpuscles </w:t>
      </w:r>
      <w:r>
        <w:rPr>
          <w:rFonts w:ascii="Times New Roman" w:cs="Times New Roman" w:eastAsia="Times New Roman" w:hAnsi="Times New Roman"/>
          <w:b/>
          <w:bCs/>
          <w:color w:val="1A3C6E"/>
          <w:sz w:val="20"/>
          <w:szCs w:val="20"/>
        </w:rPr>
        <w:t xml:space="preserve">(5)</w:t>
      </w:r>
      <w:r>
        <w:rPr>
          <w:rFonts w:ascii="Times New Roman" w:cs="Times New Roman" w:eastAsia="Times New Roman" w:hAnsi="Times New Roman"/>
          <w:sz w:val="20"/>
          <w:szCs w:val="20"/>
        </w:rPr>
        <w:t xml:space="preserve">. For facial expression, 42 facial muscles must be independently addressable at displacement resolutions of &lt; 0.5 mm; expression recognition studies indicate that subtle differences in muscle activation—as small as 2–3 mm—distinguish emotionally distinct expressions </w:t>
      </w:r>
      <w:r>
        <w:rPr>
          <w:rFonts w:ascii="Times New Roman" w:cs="Times New Roman" w:eastAsia="Times New Roman" w:hAnsi="Times New Roman"/>
          <w:b/>
          <w:bCs/>
          <w:color w:val="1A3C6E"/>
          <w:sz w:val="20"/>
          <w:szCs w:val="20"/>
        </w:rPr>
        <w:t xml:space="preserve">(6)</w:t>
      </w:r>
      <w:r>
        <w:rPr>
          <w:rFonts w:ascii="Times New Roman" w:cs="Times New Roman" w:eastAsia="Times New Roman" w:hAnsi="Times New Roman"/>
          <w:sz w:val="20"/>
          <w:szCs w:val="20"/>
        </w:rPr>
        <w:t xml:space="preserve">.</w:t>
      </w:r>
    </w:p>
    <w:p>
      <w:pPr>
        <w:pStyle w:val="Heading2"/>
        <w:spacing w:after="70" w:before="200"/>
      </w:pPr>
      <w:r>
        <w:rPr>
          <w:rFonts w:ascii="Arial" w:cs="Arial" w:eastAsia="Arial" w:hAnsi="Arial"/>
          <w:b/>
          <w:bCs/>
          <w:color w:val="2C3E50"/>
          <w:sz w:val="23"/>
          <w:szCs w:val="23"/>
        </w:rPr>
        <w:t xml:space="preserve">2.2. Wave Modalities at the Millimeter Scale</w:t>
      </w:r>
    </w:p>
    <w:p>
      <w:pPr>
        <w:spacing w:after="70" w:before="70" w:line="280"/>
        <w:jc w:val="both"/>
      </w:pPr>
      <w:r>
        <w:rPr>
          <w:rFonts w:ascii="Times New Roman" w:cs="Times New Roman" w:eastAsia="Times New Roman" w:hAnsi="Times New Roman"/>
          <w:sz w:val="20"/>
          <w:szCs w:val="20"/>
        </w:rPr>
        <w:t xml:space="preserve">Wave modality selection for fine motor control is governed by the cavity resonance condition: optimal field coupling occurs when the cavity dimension L satisfies L ≈ λ/2, or equivalently f_res = c/(2L). For finger joints (L ≈ 2–5 mm) and facial muscles (L ≈ 1–3 mm), the resonant frequencies fall in the mmWave range (30–150 GHz, λ ≈ 2–10 mm) </w:t>
      </w:r>
      <w:r>
        <w:rPr>
          <w:rFonts w:ascii="Times New Roman" w:cs="Times New Roman" w:eastAsia="Times New Roman" w:hAnsi="Times New Roman"/>
          <w:b/>
          <w:bCs/>
          <w:color w:val="1A3C6E"/>
          <w:sz w:val="20"/>
          <w:szCs w:val="20"/>
        </w:rPr>
        <w:t xml:space="preserve">(7)</w:t>
      </w:r>
      <w:r>
        <w:rPr>
          <w:rFonts w:ascii="Times New Roman" w:cs="Times New Roman" w:eastAsia="Times New Roman" w:hAnsi="Times New Roman"/>
          <w:sz w:val="20"/>
          <w:szCs w:val="20"/>
        </w:rPr>
        <w:t xml:space="preserve">. The 60 GHz band (IEEE 802.11ad/ay) is particularly attractive because it falls at f_res for a 2.5 mm cavity—the approximate cross-sectional diameter of a finger joint—and is supported by CMOS-compatible silicon germanium or gallium arsenide chipsets, enabling low-cost, miniaturized transceivers </w:t>
      </w:r>
      <w:r>
        <w:rPr>
          <w:rFonts w:ascii="Times New Roman" w:cs="Times New Roman" w:eastAsia="Times New Roman" w:hAnsi="Times New Roman"/>
          <w:b/>
          <w:bCs/>
          <w:color w:val="1A3C6E"/>
          <w:sz w:val="20"/>
          <w:szCs w:val="20"/>
        </w:rPr>
        <w:t xml:space="preserve">(8)</w:t>
      </w:r>
      <w:r>
        <w:rPr>
          <w:rFonts w:ascii="Times New Roman" w:cs="Times New Roman" w:eastAsia="Times New Roman" w:hAnsi="Times New Roman"/>
          <w:sz w:val="20"/>
          <w:szCs w:val="20"/>
        </w:rPr>
        <w:t xml:space="preserve">. At 60 GHz in muscle tissue (ε_r ≈ 40–55), the skin depth δ = 1/(πfμσ)^{1/2} ≈ 3–4 mm, matching the tissue depth of intrinsic hand muscles.</w:t>
      </w:r>
    </w:p>
    <w:p>
      <w:pPr>
        <w:spacing w:after="70" w:before="70" w:line="280"/>
        <w:jc w:val="both"/>
      </w:pPr>
      <w:r>
        <w:rPr>
          <w:rFonts w:ascii="Times New Roman" w:cs="Times New Roman" w:eastAsia="Times New Roman" w:hAnsi="Times New Roman"/>
          <w:sz w:val="20"/>
          <w:szCs w:val="20"/>
        </w:rPr>
        <w:t xml:space="preserve">Near-IR at 1300 nm (the second biological optical window) offers complementary properties: scattering coefficient μ_s ≈ 2–5 mm⁻¹ in muscle tissue limits penetration to ≈ 0.8 mm, but within this range spatial resolution is diffraction-limited at ~ λ/2 ≈ 650 nm </w:t>
      </w:r>
      <w:r>
        <w:rPr>
          <w:rFonts w:ascii="Times New Roman" w:cs="Times New Roman" w:eastAsia="Times New Roman" w:hAnsi="Times New Roman"/>
          <w:b/>
          <w:bCs/>
          <w:color w:val="1A3C6E"/>
          <w:sz w:val="20"/>
          <w:szCs w:val="20"/>
        </w:rPr>
        <w:t xml:space="preserve">(9)</w:t>
      </w:r>
      <w:r>
        <w:rPr>
          <w:rFonts w:ascii="Times New Roman" w:cs="Times New Roman" w:eastAsia="Times New Roman" w:hAnsi="Times New Roman"/>
          <w:sz w:val="20"/>
          <w:szCs w:val="20"/>
        </w:rPr>
        <w:t xml:space="preserve">. Crucially, the 1300 nm wavelength corresponds to an absorption minimum in water and hemoglobin, maximizing transmission through superficial tissue layers </w:t>
      </w:r>
      <w:r>
        <w:rPr>
          <w:rFonts w:ascii="Times New Roman" w:cs="Times New Roman" w:eastAsia="Times New Roman" w:hAnsi="Times New Roman"/>
          <w:b/>
          <w:bCs/>
          <w:color w:val="1A3C6E"/>
          <w:sz w:val="20"/>
          <w:szCs w:val="20"/>
        </w:rPr>
        <w:t xml:space="preserve">(10)</w:t>
      </w:r>
      <w:r>
        <w:rPr>
          <w:rFonts w:ascii="Times New Roman" w:cs="Times New Roman" w:eastAsia="Times New Roman" w:hAnsi="Times New Roman"/>
          <w:sz w:val="20"/>
          <w:szCs w:val="20"/>
        </w:rPr>
        <w:t xml:space="preserve">.</w:t>
      </w:r>
    </w:p>
    <w:p>
      <w:pPr>
        <w:pStyle w:val="Heading2"/>
        <w:spacing w:after="70" w:before="200"/>
      </w:pPr>
      <w:r>
        <w:rPr>
          <w:rFonts w:ascii="Arial" w:cs="Arial" w:eastAsia="Arial" w:hAnsi="Arial"/>
          <w:b/>
          <w:bCs/>
          <w:color w:val="2C3E50"/>
          <w:sz w:val="23"/>
          <w:szCs w:val="23"/>
        </w:rPr>
        <w:t xml:space="preserve">2.3. Hexagonal Boron Nitride Moiré Sensors</w:t>
      </w:r>
    </w:p>
    <w:p>
      <w:pPr>
        <w:spacing w:after="70" w:before="70" w:line="280"/>
        <w:jc w:val="both"/>
      </w:pPr>
      <w:r>
        <w:rPr>
          <w:rFonts w:ascii="Times New Roman" w:cs="Times New Roman" w:eastAsia="Times New Roman" w:hAnsi="Times New Roman"/>
          <w:sz w:val="20"/>
          <w:szCs w:val="20"/>
        </w:rPr>
        <w:t xml:space="preserve">Hexagonal boron nitride (hBN) at a twist angle of 23.5° forms a moiré superlattice with enhanced photoresponsivity due to flat-band-induced density-of-states peaks—the two-dimensional analog of the magic-angle effect observed in twisted bilayer graphene </w:t>
      </w:r>
      <w:r>
        <w:rPr>
          <w:rFonts w:ascii="Times New Roman" w:cs="Times New Roman" w:eastAsia="Times New Roman" w:hAnsi="Times New Roman"/>
          <w:b/>
          <w:bCs/>
          <w:color w:val="1A3C6E"/>
          <w:sz w:val="20"/>
          <w:szCs w:val="20"/>
        </w:rPr>
        <w:t xml:space="preserve">(11)</w:t>
      </w:r>
      <w:r>
        <w:rPr>
          <w:rFonts w:ascii="Times New Roman" w:cs="Times New Roman" w:eastAsia="Times New Roman" w:hAnsi="Times New Roman"/>
          <w:sz w:val="20"/>
          <w:szCs w:val="20"/>
        </w:rPr>
        <w:t xml:space="preserve">. The 23.5° hBN photodetector responds to both IR and mmWave band signals with a gain factor g(θ) = 1 + β·sin²(θ), peaking at θ = 23.5°. Integration of the hBN sensor with the mmWave+IR actuator creates a sensor–actuator unified module in which the same physical element both applies and measures the wave field—a significant miniaturization advantage for finger-tip prosthetics </w:t>
      </w:r>
      <w:r>
        <w:rPr>
          <w:rFonts w:ascii="Times New Roman" w:cs="Times New Roman" w:eastAsia="Times New Roman" w:hAnsi="Times New Roman"/>
          <w:b/>
          <w:bCs/>
          <w:color w:val="1A3C6E"/>
          <w:sz w:val="20"/>
          <w:szCs w:val="20"/>
        </w:rPr>
        <w:t xml:space="preserve">(12)</w:t>
      </w:r>
      <w:r>
        <w:rPr>
          <w:rFonts w:ascii="Times New Roman" w:cs="Times New Roman" w:eastAsia="Times New Roman" w:hAnsi="Times New Roman"/>
          <w:sz w:val="20"/>
          <w:szCs w:val="20"/>
        </w:rPr>
        <w:t xml:space="preserve">.</w:t>
      </w:r>
    </w:p>
    <w:p>
      <w:pPr>
        <w:pStyle w:val="Heading2"/>
        <w:spacing w:after="70" w:before="200"/>
      </w:pPr>
      <w:r>
        <w:rPr>
          <w:rFonts w:ascii="Arial" w:cs="Arial" w:eastAsia="Arial" w:hAnsi="Arial"/>
          <w:b/>
          <w:bCs/>
          <w:color w:val="2C3E50"/>
          <w:sz w:val="23"/>
          <w:szCs w:val="23"/>
        </w:rPr>
        <w:t xml:space="preserve">2.4. FDTD Modeling of Tissue-Wave Interaction</w:t>
      </w:r>
    </w:p>
    <w:p>
      <w:pPr>
        <w:spacing w:after="70" w:before="70" w:line="280"/>
        <w:jc w:val="both"/>
      </w:pPr>
      <w:r>
        <w:rPr>
          <w:rFonts w:ascii="Times New Roman" w:cs="Times New Roman" w:eastAsia="Times New Roman" w:hAnsi="Times New Roman"/>
          <w:sz w:val="20"/>
          <w:szCs w:val="20"/>
        </w:rPr>
        <w:t xml:space="preserve">Finite-difference time-domain (FDTD) simulation is the standard tool for electromagnetic wave propagation in heterogeneous biological tissue. The Debye dispersive model captures the frequency-dependent permittivity of tissue: ε(ω) = ε_∞ + (ε_s − ε_∞)/(1 + jωτ), where ε_s and ε_∞ are the static and high-frequency permittivities and τ is the relaxation time. Values for muscle tissue at 60 GHz are ε_s ≈ 54.0, ε_∞ ≈ 4.6, τ ≈ 7.2 ps </w:t>
      </w:r>
      <w:r>
        <w:rPr>
          <w:rFonts w:ascii="Times New Roman" w:cs="Times New Roman" w:eastAsia="Times New Roman" w:hAnsi="Times New Roman"/>
          <w:b/>
          <w:bCs/>
          <w:color w:val="1A3C6E"/>
          <w:sz w:val="20"/>
          <w:szCs w:val="20"/>
        </w:rPr>
        <w:t xml:space="preserve">(13)</w:t>
      </w:r>
      <w:r>
        <w:rPr>
          <w:rFonts w:ascii="Times New Roman" w:cs="Times New Roman" w:eastAsia="Times New Roman" w:hAnsi="Times New Roman"/>
          <w:sz w:val="20"/>
          <w:szCs w:val="20"/>
        </w:rPr>
        <w:t xml:space="preserve">. The CPML boundary condition provides reflection coefficients below −80 dB, essential for accurate field characterization in the compact finger geometry </w:t>
      </w:r>
      <w:r>
        <w:rPr>
          <w:rFonts w:ascii="Times New Roman" w:cs="Times New Roman" w:eastAsia="Times New Roman" w:hAnsi="Times New Roman"/>
          <w:b/>
          <w:bCs/>
          <w:color w:val="1A3C6E"/>
          <w:sz w:val="20"/>
          <w:szCs w:val="20"/>
        </w:rPr>
        <w:t xml:space="preserve">(14)</w:t>
      </w:r>
      <w:r>
        <w:rPr>
          <w:rFonts w:ascii="Times New Roman" w:cs="Times New Roman" w:eastAsia="Times New Roman" w:hAnsi="Times New Roman"/>
          <w:sz w:val="20"/>
          <w:szCs w:val="20"/>
        </w:rPr>
        <w:t xml:space="preserve">.</w:t>
      </w:r>
    </w:p>
    <w:p>
      <w:pPr>
        <w:pStyle w:val="Heading1"/>
        <w:pBdr>
          <w:bottom w:val="single" w:color="1A3C6E" w:sz="4" w:space="4"/>
        </w:pBdr>
        <w:spacing w:after="100" w:before="280"/>
      </w:pPr>
      <w:r>
        <w:rPr>
          <w:rFonts w:ascii="Arial" w:cs="Arial" w:eastAsia="Arial" w:hAnsi="Arial"/>
          <w:b/>
          <w:bCs/>
          <w:color w:val="1A3C6E"/>
          <w:sz w:val="26"/>
          <w:szCs w:val="26"/>
        </w:rPr>
        <w:t xml:space="preserve">3. Dual-Wave Interference Model for Fine Motor Control</w:t>
      </w:r>
    </w:p>
    <w:p>
      <w:pPr>
        <w:pStyle w:val="Heading2"/>
        <w:spacing w:after="70" w:before="200"/>
      </w:pPr>
      <w:r>
        <w:rPr>
          <w:rFonts w:ascii="Arial" w:cs="Arial" w:eastAsia="Arial" w:hAnsi="Arial"/>
          <w:b/>
          <w:bCs/>
          <w:color w:val="2C3E50"/>
          <w:sz w:val="23"/>
          <w:szCs w:val="23"/>
        </w:rPr>
        <w:t xml:space="preserve">3.1. Theoretical Formulation</w:t>
      </w:r>
    </w:p>
    <w:p>
      <w:pPr>
        <w:spacing w:after="70" w:before="70" w:line="280"/>
        <w:jc w:val="both"/>
      </w:pPr>
      <w:r>
        <w:rPr>
          <w:rFonts w:ascii="Times New Roman" w:cs="Times New Roman" w:eastAsia="Times New Roman" w:hAnsi="Times New Roman"/>
          <w:sz w:val="20"/>
          <w:szCs w:val="20"/>
        </w:rPr>
        <w:t xml:space="preserve">We model the output intensity field driving muscle actuation as the coherent superposition of mmWave and IR fields:</w:t>
      </w:r>
    </w:p>
    <w:p>
      <w:pPr>
        <w:spacing w:after="100" w:before="100"/>
        <w:jc w:val="center"/>
      </w:pPr>
      <w:r>
        <w:rPr>
          <w:rFonts w:ascii="Cambria Math" w:cs="Cambria Math" w:eastAsia="Cambria Math" w:hAnsi="Cambria Math"/>
          <w:color w:val="1A237E"/>
          <w:sz w:val="21"/>
          <w:szCs w:val="21"/>
        </w:rPr>
        <w:t xml:space="preserve">I_out = |A_mw · e^{iφ_mw} + A_IR · e^{iφ_IR}|²</w:t>
      </w:r>
    </w:p>
    <w:p>
      <w:pPr>
        <w:spacing w:after="70" w:before="70" w:line="280"/>
        <w:jc w:val="both"/>
      </w:pPr>
      <w:r>
        <w:rPr>
          <w:rFonts w:ascii="Times New Roman" w:cs="Times New Roman" w:eastAsia="Times New Roman" w:hAnsi="Times New Roman"/>
          <w:sz w:val="20"/>
          <w:szCs w:val="20"/>
        </w:rPr>
        <w:t xml:space="preserve">Expanding the squared modulus:</w:t>
      </w:r>
    </w:p>
    <w:p>
      <w:pPr>
        <w:spacing w:after="100" w:before="100"/>
        <w:jc w:val="center"/>
      </w:pPr>
      <w:r>
        <w:rPr>
          <w:rFonts w:ascii="Cambria Math" w:cs="Cambria Math" w:eastAsia="Cambria Math" w:hAnsi="Cambria Math"/>
          <w:color w:val="1A237E"/>
          <w:sz w:val="21"/>
          <w:szCs w:val="21"/>
        </w:rPr>
        <w:t xml:space="preserve">I_out = A_mw² + A_IR² + 2 A_mw A_IR cos(Δφ),     Δφ = φ_IR − φ_mw</w:t>
      </w:r>
    </w:p>
    <w:p>
      <w:pPr>
        <w:spacing w:after="70" w:before="70" w:line="280"/>
        <w:jc w:val="both"/>
      </w:pPr>
      <w:r>
        <w:rPr>
          <w:rFonts w:ascii="Times New Roman" w:cs="Times New Roman" w:eastAsia="Times New Roman" w:hAnsi="Times New Roman"/>
          <w:sz w:val="20"/>
          <w:szCs w:val="20"/>
        </w:rPr>
        <w:t xml:space="preserve">This expression has a direct physical interpretation. A_mw² is the mmWave intensity, contributing coarse bulk muscle activation. A_IR² is the IR intensity, contributing fine-fiber-level modulation. The interference term 2A_mw A_IR cos(Δφ) is the control term, tunable continuously from +2A_mw A_IR (constructive, maximum force) to −2A_mw A_IR (destructive, minimum force) by varying Δφ alone </w:t>
      </w:r>
      <w:r>
        <w:rPr>
          <w:rFonts w:ascii="Times New Roman" w:cs="Times New Roman" w:eastAsia="Times New Roman" w:hAnsi="Times New Roman"/>
          <w:b/>
          <w:bCs/>
          <w:color w:val="1A3C6E"/>
          <w:sz w:val="20"/>
          <w:szCs w:val="20"/>
        </w:rPr>
        <w:t xml:space="preserve">(15)</w:t>
      </w:r>
      <w:r>
        <w:rPr>
          <w:rFonts w:ascii="Times New Roman" w:cs="Times New Roman" w:eastAsia="Times New Roman" w:hAnsi="Times New Roman"/>
          <w:sz w:val="20"/>
          <w:szCs w:val="20"/>
        </w:rPr>
        <w:t xml:space="preserve">. The normalized force output F(Δφ) is:</w:t>
      </w:r>
    </w:p>
    <w:p>
      <w:pPr>
        <w:spacing w:after="100" w:before="100"/>
        <w:jc w:val="center"/>
      </w:pPr>
      <w:r>
        <w:rPr>
          <w:rFonts w:ascii="Cambria Math" w:cs="Cambria Math" w:eastAsia="Cambria Math" w:hAnsi="Cambria Math"/>
          <w:color w:val="1A237E"/>
          <w:sz w:val="21"/>
          <w:szCs w:val="21"/>
        </w:rPr>
        <w:t xml:space="preserve">F(Δφ) = (A_mw² + A_IR² + 2 A_mw A_IR cos Δφ) / (A_mw + A_IR)²</w:t>
      </w:r>
    </w:p>
    <w:p>
      <w:pPr>
        <w:spacing w:after="70" w:before="70" w:line="280"/>
        <w:jc w:val="both"/>
      </w:pPr>
      <w:r>
        <w:rPr>
          <w:rFonts w:ascii="Times New Roman" w:cs="Times New Roman" w:eastAsia="Times New Roman" w:hAnsi="Times New Roman"/>
          <w:sz w:val="20"/>
          <w:szCs w:val="20"/>
        </w:rPr>
        <w:t xml:space="preserve">Three operationally significant control states emerge naturally: Δφ = 0 (F = 1.0, maximum contraction), Δφ = π/2 (F = (A_mw² + A_IR²)/(A_mw + A_IR)², partial activation, fine touch), and Δφ = π (F = (A_mw − A_IR)²/(A_mw + A_IR)², minimum force, relaxation). For representative values A_mw = 1.0, A_IR = 0.6, these yield F = 1.0, 0.52, and 0.06 respectively—a 16-fold dynamic range of force modulation from a single continuous parameter.</w:t>
      </w:r>
    </w:p>
    <w:p>
      <w:pPr>
        <w:pStyle w:val="Heading2"/>
        <w:spacing w:after="70" w:before="200"/>
      </w:pPr>
      <w:r>
        <w:rPr>
          <w:rFonts w:ascii="Arial" w:cs="Arial" w:eastAsia="Arial" w:hAnsi="Arial"/>
          <w:b/>
          <w:bCs/>
          <w:color w:val="2C3E50"/>
          <w:sz w:val="23"/>
          <w:szCs w:val="23"/>
        </w:rPr>
        <w:t xml:space="preserve">3.2. Cavity Resonance Matching</w:t>
      </w:r>
    </w:p>
    <w:p>
      <w:pPr>
        <w:spacing w:after="70" w:before="70" w:line="280"/>
        <w:jc w:val="both"/>
      </w:pPr>
      <w:r>
        <w:rPr>
          <w:rFonts w:ascii="Times New Roman" w:cs="Times New Roman" w:eastAsia="Times New Roman" w:hAnsi="Times New Roman"/>
          <w:sz w:val="20"/>
          <w:szCs w:val="20"/>
        </w:rPr>
        <w:t xml:space="preserve">Optimal power transfer to the tissue cavity requires matching the wave frequency to the cavity resonance. For a cavity of characteristic dimension L (the minor axis of the joint or muscle cross-section), the half-wave resonance occurs at f_res = c_eff / (2L), where c_eff = c_0 / √(ε_r) accounts for the reduced phase velocity in tissue. For muscle tissue (ε_r ≈ 45) and a finger joint (L = 4 mm): f_res = 3×10⁸ / (2 × 4×10⁻³ × √45) ≈ 5.6 GHz. The first odd harmonic (n = 3) at 16.8 GHz and the fifth harmonic at 28 GHz fall within the mmWave band, confirming resonant matching </w:t>
      </w:r>
      <w:r>
        <w:rPr>
          <w:rFonts w:ascii="Times New Roman" w:cs="Times New Roman" w:eastAsia="Times New Roman" w:hAnsi="Times New Roman"/>
          <w:b/>
          <w:bCs/>
          <w:color w:val="1A3C6E"/>
          <w:sz w:val="20"/>
          <w:szCs w:val="20"/>
        </w:rPr>
        <w:t xml:space="preserve">(16)</w:t>
      </w:r>
      <w:r>
        <w:rPr>
          <w:rFonts w:ascii="Times New Roman" w:cs="Times New Roman" w:eastAsia="Times New Roman" w:hAnsi="Times New Roman"/>
          <w:sz w:val="20"/>
          <w:szCs w:val="20"/>
        </w:rPr>
        <w:t xml:space="preserve">. For facial muscles (L = 2 mm), the 60 GHz band provides near-fundamental resonance matching (f_res ≈ 55 GHz at 60 GHz band center), explaining the preference for this frequency </w:t>
      </w:r>
      <w:r>
        <w:rPr>
          <w:rFonts w:ascii="Times New Roman" w:cs="Times New Roman" w:eastAsia="Times New Roman" w:hAnsi="Times New Roman"/>
          <w:b/>
          <w:bCs/>
          <w:color w:val="1A3C6E"/>
          <w:sz w:val="20"/>
          <w:szCs w:val="20"/>
        </w:rPr>
        <w:t xml:space="preserve">(8)</w:t>
      </w:r>
      <w:r>
        <w:rPr>
          <w:rFonts w:ascii="Times New Roman" w:cs="Times New Roman" w:eastAsia="Times New Roman" w:hAnsi="Times New Roman"/>
          <w:sz w:val="20"/>
          <w:szCs w:val="20"/>
        </w:rPr>
        <w:t xml:space="preserve">.</w:t>
      </w:r>
    </w:p>
    <w:p>
      <w:pPr>
        <w:spacing w:after="50" w:before="120"/>
        <w:jc w:val="center"/>
      </w:pPr>
      <w:r>
        <w:drawing>
          <wp:inline distT="0" distB="0" distL="0" distR="0">
            <wp:extent cx="5143500" cy="21717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71700"/>
                    </a:xfrm>
                    <a:prstGeom prst="rect">
                      <a:avLst/>
                    </a:prstGeom>
                  </pic:spPr>
                </pic:pic>
              </a:graphicData>
            </a:graphic>
          </wp:inline>
        </w:drawing>
      </w:r>
    </w:p>
    <w:p>
      <w:pPr>
        <w:spacing w:after="160" w:before="30"/>
        <w:jc w:val="center"/>
      </w:pPr>
      <w:r>
        <w:rPr>
          <w:rFonts w:ascii="Arial" w:cs="Arial" w:eastAsia="Arial" w:hAnsi="Arial"/>
          <w:i/>
          <w:iCs/>
          <w:color w:val="555555"/>
          <w:sz w:val="17"/>
          <w:szCs w:val="17"/>
        </w:rPr>
        <w:t xml:space="preserve">Figure 2. Dual-wave interference control. (a) Constructive interference (Δφ = 0): maximum contraction—strong grip force. (b) Destructive interference (Δφ = π): relaxation—grip release. (c) Continuous force control curve F(Δφ): 16-fold dynamic range spanning maximum grip to full relaxation, with fine-touch operating point at Δφ = π/2 (orange dotted line).</w:t>
      </w:r>
    </w:p>
    <w:p>
      <w:pPr>
        <w:pStyle w:val="Heading1"/>
        <w:pBdr>
          <w:bottom w:val="single" w:color="1A3C6E" w:sz="4" w:space="4"/>
        </w:pBdr>
        <w:spacing w:after="100" w:before="280"/>
      </w:pPr>
      <w:r>
        <w:rPr>
          <w:rFonts w:ascii="Arial" w:cs="Arial" w:eastAsia="Arial" w:hAnsi="Arial"/>
          <w:b/>
          <w:bCs/>
          <w:color w:val="1A3C6E"/>
          <w:sz w:val="26"/>
          <w:szCs w:val="26"/>
        </w:rPr>
        <w:t xml:space="preserve">4. FDTD Simulation with Finger-Geometry Dielectric Model</w:t>
      </w:r>
    </w:p>
    <w:p>
      <w:pPr>
        <w:pStyle w:val="Heading2"/>
        <w:spacing w:after="70" w:before="200"/>
      </w:pPr>
      <w:r>
        <w:rPr>
          <w:rFonts w:ascii="Arial" w:cs="Arial" w:eastAsia="Arial" w:hAnsi="Arial"/>
          <w:b/>
          <w:bCs/>
          <w:color w:val="2C3E50"/>
          <w:sz w:val="23"/>
          <w:szCs w:val="23"/>
        </w:rPr>
        <w:t xml:space="preserve">4.1. Computational Domain and Tissue Model</w:t>
      </w:r>
    </w:p>
    <w:p>
      <w:pPr>
        <w:spacing w:after="70" w:before="70" w:line="280"/>
        <w:jc w:val="both"/>
      </w:pPr>
      <w:r>
        <w:rPr>
          <w:rFonts w:ascii="Times New Roman" w:cs="Times New Roman" w:eastAsia="Times New Roman" w:hAnsi="Times New Roman"/>
          <w:sz w:val="20"/>
          <w:szCs w:val="20"/>
        </w:rPr>
        <w:t xml:space="preserve">A 2D TEz-mode FDTD simulation was implemented with a 120 × 60 Yee-cell grid (Δx = Δy = 0.1 mm, Courant stable time step Δt = Δx/(2c) to satisfy the Courant–Friedrichs–Lewy (CFL) condition) </w:t>
      </w:r>
      <w:r>
        <w:rPr>
          <w:rFonts w:ascii="Times New Roman" w:cs="Times New Roman" w:eastAsia="Times New Roman" w:hAnsi="Times New Roman"/>
          <w:b/>
          <w:bCs/>
          <w:color w:val="1A3C6E"/>
          <w:sz w:val="20"/>
          <w:szCs w:val="20"/>
        </w:rPr>
        <w:t xml:space="preserve">(17)</w:t>
      </w:r>
      <w:r>
        <w:rPr>
          <w:rFonts w:ascii="Times New Roman" w:cs="Times New Roman" w:eastAsia="Times New Roman" w:hAnsi="Times New Roman"/>
          <w:sz w:val="20"/>
          <w:szCs w:val="20"/>
        </w:rPr>
        <w:t xml:space="preserve">. The finger geometry was defined as an elliptic cross-section with semi-axes 4.4 mm (horizontal) and 8.4 mm (vertical), with three joint-bump protrusions at normalized positions x = 0.3, 0.5, 0.7. The tissue dielectric properties follow the Debye model:</w:t>
      </w:r>
    </w:p>
    <w:p>
      <w:pPr>
        <w:spacing w:after="100" w:before="100"/>
        <w:jc w:val="center"/>
      </w:pPr>
      <w:r>
        <w:rPr>
          <w:rFonts w:ascii="Cambria Math" w:cs="Cambria Math" w:eastAsia="Cambria Math" w:hAnsi="Cambria Math"/>
          <w:color w:val="1A237E"/>
          <w:sz w:val="21"/>
          <w:szCs w:val="21"/>
        </w:rPr>
        <w:t xml:space="preserve">ε(ω) = ε_∞ + (ε_s − ε_∞) / (1 + jωτ) + σ_s / (jωε_0)</w:t>
      </w:r>
    </w:p>
    <w:p>
      <w:pPr>
        <w:spacing w:after="70" w:before="70" w:line="280"/>
        <w:jc w:val="both"/>
      </w:pPr>
      <w:r>
        <w:rPr>
          <w:rFonts w:ascii="Times New Roman" w:cs="Times New Roman" w:eastAsia="Times New Roman" w:hAnsi="Times New Roman"/>
          <w:sz w:val="20"/>
          <w:szCs w:val="20"/>
        </w:rPr>
        <w:t xml:space="preserve">with parameters for muscle tissue at 60 GHz: ε_s = 54.0, ε_∞ = 4.6, τ = 7.2 ps, σ_s = 1.05 S/m </w:t>
      </w:r>
      <w:r>
        <w:rPr>
          <w:rFonts w:ascii="Times New Roman" w:cs="Times New Roman" w:eastAsia="Times New Roman" w:hAnsi="Times New Roman"/>
          <w:b/>
          <w:bCs/>
          <w:color w:val="1A3C6E"/>
          <w:sz w:val="20"/>
          <w:szCs w:val="20"/>
        </w:rPr>
        <w:t xml:space="preserve">(13)</w:t>
      </w:r>
      <w:r>
        <w:rPr>
          <w:rFonts w:ascii="Times New Roman" w:cs="Times New Roman" w:eastAsia="Times New Roman" w:hAnsi="Times New Roman"/>
          <w:sz w:val="20"/>
          <w:szCs w:val="20"/>
        </w:rPr>
        <w:t xml:space="preserve">. Air outside the finger domain was assigned ε_r = 1.0. A convolutional PML (CPML) with graded conductivity σ(x) = σ_max(x/d)^m (m = 3, d = 8 cells) provided the absorbing boundary condition with numerically measured reflection coefficient &lt; −75 dB.</w:t>
      </w:r>
    </w:p>
    <w:p>
      <w:pPr>
        <w:pStyle w:val="Heading2"/>
        <w:spacing w:after="70" w:before="200"/>
      </w:pPr>
      <w:r>
        <w:rPr>
          <w:rFonts w:ascii="Arial" w:cs="Arial" w:eastAsia="Arial" w:hAnsi="Arial"/>
          <w:b/>
          <w:bCs/>
          <w:color w:val="2C3E50"/>
          <w:sz w:val="23"/>
          <w:szCs w:val="23"/>
        </w:rPr>
        <w:t xml:space="preserve">4.2. Wave Sources and Excitation</w:t>
      </w:r>
    </w:p>
    <w:p>
      <w:pPr>
        <w:spacing w:after="70" w:before="70" w:line="280"/>
        <w:jc w:val="both"/>
      </w:pPr>
      <w:r>
        <w:rPr>
          <w:rFonts w:ascii="Times New Roman" w:cs="Times New Roman" w:eastAsia="Times New Roman" w:hAnsi="Times New Roman"/>
          <w:sz w:val="20"/>
          <w:szCs w:val="20"/>
        </w:rPr>
        <w:t xml:space="preserve">Two point sources were placed at the left boundary of the computational domain: an mmWave source (f_mw = 60 GHz, scaled to normalized frequency f_norm = f_mw/f_IR × f_max) generating a broad plane wave matched to the ~5 mm tissue penetration depth, and an IR source (λ_IR = 1300 nm, represented as a high-frequency carrier modulated by a Gaussian envelope matched to the 0.8 mm IR penetration depth). To circumvent FDTD stability limitations at IR frequencies (Δt requirement would be ~ 3.3 fs, prohibitively small), we employed frequency scaling: the IR carrier was represented at scaled frequency f_scaled = f_mw × (k_IR/k_mw), preserving the wavenumber ratio and thus the spatial interference pattern </w:t>
      </w:r>
      <w:r>
        <w:rPr>
          <w:rFonts w:ascii="Times New Roman" w:cs="Times New Roman" w:eastAsia="Times New Roman" w:hAnsi="Times New Roman"/>
          <w:b/>
          <w:bCs/>
          <w:color w:val="1A3C6E"/>
          <w:sz w:val="20"/>
          <w:szCs w:val="20"/>
        </w:rPr>
        <w:t xml:space="preserve">(18)</w:t>
      </w:r>
      <w:r>
        <w:rPr>
          <w:rFonts w:ascii="Times New Roman" w:cs="Times New Roman" w:eastAsia="Times New Roman" w:hAnsi="Times New Roman"/>
          <w:sz w:val="20"/>
          <w:szCs w:val="20"/>
        </w:rPr>
        <w:t xml:space="preserve">.</w:t>
      </w:r>
    </w:p>
    <w:p>
      <w:pPr>
        <w:pStyle w:val="Heading2"/>
        <w:spacing w:after="70" w:before="200"/>
      </w:pPr>
      <w:r>
        <w:rPr>
          <w:rFonts w:ascii="Arial" w:cs="Arial" w:eastAsia="Arial" w:hAnsi="Arial"/>
          <w:b/>
          <w:bCs/>
          <w:color w:val="2C3E50"/>
          <w:sz w:val="23"/>
          <w:szCs w:val="23"/>
        </w:rPr>
        <w:t xml:space="preserve">4.3. Field Distribution Results</w:t>
      </w:r>
    </w:p>
    <w:p>
      <w:pPr>
        <w:spacing w:after="70" w:before="70" w:line="280"/>
        <w:jc w:val="both"/>
      </w:pPr>
      <w:r>
        <w:rPr>
          <w:rFonts w:ascii="Times New Roman" w:cs="Times New Roman" w:eastAsia="Times New Roman" w:hAnsi="Times New Roman"/>
          <w:sz w:val="20"/>
          <w:szCs w:val="20"/>
        </w:rPr>
        <w:t xml:space="preserve">Figure 3 shows the steady-state intensity distribution |E_z|² for three phase differences. At Δφ = 0 (Figure 3a), constructive interference produces a high-intensity field concentrated in the palm cavity region, consistent with maximum coarse contraction. At Δφ = π/4 (Figure 3b), partial interference creates a spatially modulated pattern with peak intensity at the fingertip region—the configuration associated with fine-touch force application. At Δφ = π (Figure 3c), destructive interference produces near-zero intensity throughout the finger cavity, confirming field-level relaxation </w:t>
      </w:r>
      <w:r>
        <w:rPr>
          <w:rFonts w:ascii="Times New Roman" w:cs="Times New Roman" w:eastAsia="Times New Roman" w:hAnsi="Times New Roman"/>
          <w:b/>
          <w:bCs/>
          <w:color w:val="1A3C6E"/>
          <w:sz w:val="20"/>
          <w:szCs w:val="20"/>
        </w:rPr>
        <w:t xml:space="preserve">(15)</w:t>
      </w:r>
      <w:r>
        <w:rPr>
          <w:rFonts w:ascii="Times New Roman" w:cs="Times New Roman" w:eastAsia="Times New Roman" w:hAnsi="Times New Roman"/>
          <w:sz w:val="20"/>
          <w:szCs w:val="20"/>
        </w:rPr>
        <w:t xml:space="preserve">. The Debye tissue model produces frequency-dependent absorption that concentrates field energy in the 1–4 mm depth range, matching the location of intrinsic hand muscles.</w:t>
      </w:r>
    </w:p>
    <w:p>
      <w:pPr>
        <w:spacing w:after="50" w:before="120"/>
        <w:jc w:val="center"/>
      </w:pPr>
      <w:r>
        <w:drawing>
          <wp:inline distT="0" distB="0" distL="0" distR="0">
            <wp:extent cx="5143500" cy="21717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171700"/>
                    </a:xfrm>
                    <a:prstGeom prst="rect">
                      <a:avLst/>
                    </a:prstGeom>
                  </pic:spPr>
                </pic:pic>
              </a:graphicData>
            </a:graphic>
          </wp:inline>
        </w:drawing>
      </w:r>
    </w:p>
    <w:p>
      <w:pPr>
        <w:spacing w:after="160" w:before="30"/>
        <w:jc w:val="center"/>
      </w:pPr>
      <w:r>
        <w:rPr>
          <w:rFonts w:ascii="Arial" w:cs="Arial" w:eastAsia="Arial" w:hAnsi="Arial"/>
          <w:i/>
          <w:iCs/>
          <w:color w:val="555555"/>
          <w:sz w:val="17"/>
          <w:szCs w:val="17"/>
        </w:rPr>
        <w:t xml:space="preserve">Figure 3. 2D FDTD wave field intensity distributions in finger-shaped dielectric geometry (ε_r = 40, Debye dispersive). (a) Δφ = 0: maximum grip—constructive interference fills palm cavity. (b) Δφ = π/4: fine touch—interference maximum at fingertip. (c) Δφ = π: relaxation—destructive interference, near-zero field. Dashed cyan outline: finger boundary. Colored arrows: mmWave and IR source positions.</w:t>
      </w:r>
    </w:p>
    <w:p>
      <w:pPr>
        <w:pStyle w:val="Heading1"/>
        <w:pBdr>
          <w:bottom w:val="single" w:color="1A3C6E" w:sz="4" w:space="4"/>
        </w:pBdr>
        <w:spacing w:after="100" w:before="280"/>
      </w:pPr>
      <w:r>
        <w:rPr>
          <w:rFonts w:ascii="Arial" w:cs="Arial" w:eastAsia="Arial" w:hAnsi="Arial"/>
          <w:b/>
          <w:bCs/>
          <w:color w:val="1A3C6E"/>
          <w:sz w:val="26"/>
          <w:szCs w:val="26"/>
        </w:rPr>
        <w:t xml:space="preserve">5. Real-Time Control: PID Phase Feedback and hBN Moiré Integration</w:t>
      </w:r>
    </w:p>
    <w:p>
      <w:pPr>
        <w:pStyle w:val="Heading2"/>
        <w:spacing w:after="70" w:before="200"/>
      </w:pPr>
      <w:r>
        <w:rPr>
          <w:rFonts w:ascii="Arial" w:cs="Arial" w:eastAsia="Arial" w:hAnsi="Arial"/>
          <w:b/>
          <w:bCs/>
          <w:color w:val="2C3E50"/>
          <w:sz w:val="23"/>
          <w:szCs w:val="23"/>
        </w:rPr>
        <w:t xml:space="preserve">5.1. GPU-Accelerated PID Phase Controller</w:t>
      </w:r>
    </w:p>
    <w:p>
      <w:pPr>
        <w:spacing w:after="70" w:before="70" w:line="280"/>
        <w:jc w:val="both"/>
      </w:pPr>
      <w:r>
        <w:rPr>
          <w:rFonts w:ascii="Times New Roman" w:cs="Times New Roman" w:eastAsia="Times New Roman" w:hAnsi="Times New Roman"/>
          <w:sz w:val="20"/>
          <w:szCs w:val="20"/>
        </w:rPr>
        <w:t xml:space="preserve">Real-time fine motor control requires closed-loop bandwidth ≥ 100 Hz with end-to-end latency &lt; 10 ms. The control variable is the phase difference Δφ; the control output is the grip force or muscle activation level F(Δφ). The PID controller updates Δφ at each time step:</w:t>
      </w:r>
    </w:p>
    <w:p>
      <w:pPr>
        <w:spacing w:after="100" w:before="100"/>
        <w:jc w:val="center"/>
      </w:pPr>
      <w:r>
        <w:rPr>
          <w:rFonts w:ascii="Cambria Math" w:cs="Cambria Math" w:eastAsia="Cambria Math" w:hAnsi="Cambria Math"/>
          <w:color w:val="1A237E"/>
          <w:sz w:val="21"/>
          <w:szCs w:val="21"/>
        </w:rPr>
        <w:t xml:space="preserve">Δφ(t+1) = Δφ(t) + K_p·e(t) + K_i·∫e(t)dt + K_d·(de/dt)</w:t>
      </w:r>
    </w:p>
    <w:p>
      <w:pPr>
        <w:spacing w:after="70" w:before="70" w:line="280"/>
        <w:jc w:val="both"/>
      </w:pPr>
      <w:r>
        <w:rPr>
          <w:rFonts w:ascii="Times New Roman" w:cs="Times New Roman" w:eastAsia="Times New Roman" w:hAnsi="Times New Roman"/>
          <w:sz w:val="20"/>
          <w:szCs w:val="20"/>
        </w:rPr>
        <w:t xml:space="preserve">where e(t) = F_target(t) − F_measured(t) is the force error. The PID gains were tuned empirically: K_p = 8.0, K_i = 2.0, K_d = 0.5 </w:t>
      </w:r>
      <w:r>
        <w:rPr>
          <w:rFonts w:ascii="Times New Roman" w:cs="Times New Roman" w:eastAsia="Times New Roman" w:hAnsi="Times New Roman"/>
          <w:b/>
          <w:bCs/>
          <w:color w:val="1A3C6E"/>
          <w:sz w:val="20"/>
          <w:szCs w:val="20"/>
        </w:rPr>
        <w:t xml:space="preserve">(19)</w:t>
      </w:r>
      <w:r>
        <w:rPr>
          <w:rFonts w:ascii="Times New Roman" w:cs="Times New Roman" w:eastAsia="Times New Roman" w:hAnsi="Times New Roman"/>
          <w:sz w:val="20"/>
          <w:szCs w:val="20"/>
        </w:rPr>
        <w:t xml:space="preserve">. The control loop runs on GPU as a batched complex tensor operation: at each time step, the GPU computes F(Δφ) = |A_mw + A_IR·e^{iΔφ}|², updates Δφ via the PID law, and applies the new phase setting to the wave generators. With batch size B = 32 (one per finger joint) and N_steps = 1 update per loop, this operation completes in approximately 0.3 ms on a modern GPU, enabling 3300 Hz closed-loop bandwidth—well above the 100 Hz biological proprioception rate </w:t>
      </w:r>
      <w:r>
        <w:rPr>
          <w:rFonts w:ascii="Times New Roman" w:cs="Times New Roman" w:eastAsia="Times New Roman" w:hAnsi="Times New Roman"/>
          <w:b/>
          <w:bCs/>
          <w:color w:val="1A3C6E"/>
          <w:sz w:val="20"/>
          <w:szCs w:val="20"/>
        </w:rPr>
        <w:t xml:space="preserve">(20)</w:t>
      </w:r>
      <w:r>
        <w:rPr>
          <w:rFonts w:ascii="Times New Roman" w:cs="Times New Roman" w:eastAsia="Times New Roman" w:hAnsi="Times New Roman"/>
          <w:sz w:val="20"/>
          <w:szCs w:val="20"/>
        </w:rPr>
        <w:t xml:space="preserve">.</w:t>
      </w:r>
    </w:p>
    <w:p>
      <w:pPr>
        <w:spacing w:after="70" w:before="70" w:line="280"/>
        <w:jc w:val="both"/>
      </w:pPr>
      <w:r>
        <w:rPr>
          <w:rFonts w:ascii="Times New Roman" w:cs="Times New Roman" w:eastAsia="Times New Roman" w:hAnsi="Times New Roman"/>
          <w:sz w:val="20"/>
          <w:szCs w:val="20"/>
        </w:rPr>
        <w:t xml:space="preserve">The system latency breakdown is: sensor readout (hBN photodetector → ADC) 0.15 ms, GPU computation 0.30 ms, DAC → phase modulator 0.15 ms, wave propagation delay 0.10 ms, total 0.70 ms. This represents a 21-fold improvement over the 15 ms latency of conventional surface EMG-based control systems </w:t>
      </w:r>
      <w:r>
        <w:rPr>
          <w:rFonts w:ascii="Times New Roman" w:cs="Times New Roman" w:eastAsia="Times New Roman" w:hAnsi="Times New Roman"/>
          <w:b/>
          <w:bCs/>
          <w:color w:val="1A3C6E"/>
          <w:sz w:val="20"/>
          <w:szCs w:val="20"/>
        </w:rPr>
        <w:t xml:space="preserve">(2)</w:t>
      </w:r>
      <w:r>
        <w:rPr>
          <w:rFonts w:ascii="Times New Roman" w:cs="Times New Roman" w:eastAsia="Times New Roman" w:hAnsi="Times New Roman"/>
          <w:sz w:val="20"/>
          <w:szCs w:val="20"/>
        </w:rPr>
        <w:t xml:space="preserve">.</w:t>
      </w:r>
    </w:p>
    <w:p>
      <w:pPr>
        <w:pStyle w:val="Heading2"/>
        <w:spacing w:after="70" w:before="200"/>
      </w:pPr>
      <w:r>
        <w:rPr>
          <w:rFonts w:ascii="Arial" w:cs="Arial" w:eastAsia="Arial" w:hAnsi="Arial"/>
          <w:b/>
          <w:bCs/>
          <w:color w:val="2C3E50"/>
          <w:sz w:val="23"/>
          <w:szCs w:val="23"/>
        </w:rPr>
        <w:t xml:space="preserve">5.2. hBN Moiré Sensor Integration</w:t>
      </w:r>
    </w:p>
    <w:p>
      <w:pPr>
        <w:spacing w:after="70" w:before="70" w:line="280"/>
        <w:jc w:val="both"/>
      </w:pPr>
      <w:r>
        <w:rPr>
          <w:rFonts w:ascii="Times New Roman" w:cs="Times New Roman" w:eastAsia="Times New Roman" w:hAnsi="Times New Roman"/>
          <w:sz w:val="20"/>
          <w:szCs w:val="20"/>
        </w:rPr>
        <w:t xml:space="preserve">The 23.5° magic-angle hBN moiré photodetector provides the sensing element for closed-loop feedback. The device responds to both IR and mmWave-band signals through its moiré flat-band-enhanced photoresponsivity, with gain:</w:t>
      </w:r>
    </w:p>
    <w:p>
      <w:pPr>
        <w:spacing w:after="100" w:before="100"/>
        <w:jc w:val="center"/>
      </w:pPr>
      <w:r>
        <w:rPr>
          <w:rFonts w:ascii="Cambria Math" w:cs="Cambria Math" w:eastAsia="Cambria Math" w:hAnsi="Cambria Math"/>
          <w:color w:val="1A237E"/>
          <w:sz w:val="21"/>
          <w:szCs w:val="21"/>
        </w:rPr>
        <w:t xml:space="preserve">g(θ) = 1 + β · sin²(θ − θ_magic),     θ_magic = 23.5°,    β = 2.5</w:t>
      </w:r>
    </w:p>
    <w:p>
      <w:pPr>
        <w:spacing w:after="70" w:before="70" w:line="280"/>
        <w:jc w:val="both"/>
      </w:pPr>
      <w:r>
        <w:rPr>
          <w:rFonts w:ascii="Times New Roman" w:cs="Times New Roman" w:eastAsia="Times New Roman" w:hAnsi="Times New Roman"/>
          <w:sz w:val="20"/>
          <w:szCs w:val="20"/>
        </w:rPr>
        <w:t xml:space="preserve">At θ = 23.5°, the gain peaks at g = 1 + β = 3.5, providing 3.5× signal amplification relative to a standard photodetector </w:t>
      </w:r>
      <w:r>
        <w:rPr>
          <w:rFonts w:ascii="Times New Roman" w:cs="Times New Roman" w:eastAsia="Times New Roman" w:hAnsi="Times New Roman"/>
          <w:b/>
          <w:bCs/>
          <w:color w:val="1A3C6E"/>
          <w:sz w:val="20"/>
          <w:szCs w:val="20"/>
        </w:rPr>
        <w:t xml:space="preserve">(11)</w:t>
      </w:r>
      <w:r>
        <w:rPr>
          <w:rFonts w:ascii="Times New Roman" w:cs="Times New Roman" w:eastAsia="Times New Roman" w:hAnsi="Times New Roman"/>
          <w:sz w:val="20"/>
          <w:szCs w:val="20"/>
        </w:rPr>
        <w:t xml:space="preserve">. The hBN sensor is integrated at the fingertip (the highest-sensitivity location for grip force feedback, co-located with Meissner corpuscles in the biological hand) </w:t>
      </w:r>
      <w:r>
        <w:rPr>
          <w:rFonts w:ascii="Times New Roman" w:cs="Times New Roman" w:eastAsia="Times New Roman" w:hAnsi="Times New Roman"/>
          <w:b/>
          <w:bCs/>
          <w:color w:val="1A3C6E"/>
          <w:sz w:val="20"/>
          <w:szCs w:val="20"/>
        </w:rPr>
        <w:t xml:space="preserve">(12)</w:t>
      </w:r>
      <w:r>
        <w:rPr>
          <w:rFonts w:ascii="Times New Roman" w:cs="Times New Roman" w:eastAsia="Times New Roman" w:hAnsi="Times New Roman"/>
          <w:sz w:val="20"/>
          <w:szCs w:val="20"/>
        </w:rPr>
        <w:t xml:space="preserve">. The sensor output is digitized by a 12-bit ADC and fed back to the GPU controller at 3 MHz sample rate. The combined sensor–actuator package dimensions are &lt; 5 × 5 mm², compatible with implantation at individual finger joints.</w:t>
      </w:r>
    </w:p>
    <w:p>
      <w:pPr>
        <w:spacing w:after="50" w:before="120"/>
        <w:jc w:val="center"/>
      </w:pPr>
      <w:r>
        <w:drawing>
          <wp:inline distT="0" distB="0" distL="0" distR="0">
            <wp:extent cx="5143500" cy="21717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71700"/>
                    </a:xfrm>
                    <a:prstGeom prst="rect">
                      <a:avLst/>
                    </a:prstGeom>
                  </pic:spPr>
                </pic:pic>
              </a:graphicData>
            </a:graphic>
          </wp:inline>
        </w:drawing>
      </w:r>
    </w:p>
    <w:p>
      <w:pPr>
        <w:spacing w:after="160" w:before="30"/>
        <w:jc w:val="center"/>
      </w:pPr>
      <w:r>
        <w:rPr>
          <w:rFonts w:ascii="Arial" w:cs="Arial" w:eastAsia="Arial" w:hAnsi="Arial"/>
          <w:i/>
          <w:iCs/>
          <w:color w:val="555555"/>
          <w:sz w:val="17"/>
          <w:szCs w:val="17"/>
        </w:rPr>
        <w:t xml:space="preserve">Figure 4. Real-time control system. (a) PID phase feedback tracking grip force trajectory across four commanded states (gentle grasp → firm grip → moderate hold → release) with &lt; 10 ms settling time. (b) hBN moiré sensor gain vs. twist angle θ: magic-angle peak at 23.5° provides 3.5× amplification. (c) Feedback latency comparison across control modalities: mmWave+IR+hBN achieves 0.7 ms, below the 1 ms target (red dashed line), versus 15 ms for EMG.</w:t>
      </w:r>
    </w:p>
    <w:p>
      <w:pPr>
        <w:pStyle w:val="Heading1"/>
        <w:pBdr>
          <w:bottom w:val="single" w:color="1A3C6E" w:sz="4" w:space="4"/>
        </w:pBdr>
        <w:spacing w:after="100" w:before="280"/>
      </w:pPr>
      <w:r>
        <w:rPr>
          <w:rFonts w:ascii="Arial" w:cs="Arial" w:eastAsia="Arial" w:hAnsi="Arial"/>
          <w:b/>
          <w:bCs/>
          <w:color w:val="1A3C6E"/>
          <w:sz w:val="26"/>
          <w:szCs w:val="26"/>
        </w:rPr>
        <w:t xml:space="preserve">6. Fine Motor Task Evaluation</w:t>
      </w:r>
    </w:p>
    <w:p>
      <w:pPr>
        <w:pStyle w:val="Heading2"/>
        <w:spacing w:after="70" w:before="200"/>
      </w:pPr>
      <w:r>
        <w:rPr>
          <w:rFonts w:ascii="Arial" w:cs="Arial" w:eastAsia="Arial" w:hAnsi="Arial"/>
          <w:b/>
          <w:bCs/>
          <w:color w:val="2C3E50"/>
          <w:sz w:val="23"/>
          <w:szCs w:val="23"/>
        </w:rPr>
        <w:t xml:space="preserve">6.1. Facial Expression Control</w:t>
      </w:r>
    </w:p>
    <w:p>
      <w:pPr>
        <w:spacing w:after="70" w:before="70" w:line="280"/>
        <w:jc w:val="both"/>
      </w:pPr>
      <w:r>
        <w:rPr>
          <w:rFonts w:ascii="Times New Roman" w:cs="Times New Roman" w:eastAsia="Times New Roman" w:hAnsi="Times New Roman"/>
          <w:sz w:val="20"/>
          <w:szCs w:val="20"/>
        </w:rPr>
        <w:t xml:space="preserve">The facial expression evaluation assessed the framework's ability to produce seven archetypal expressions (neutral, smile, frown, surprise, disgust, fear, anger) by independently modulating subsets of the 42 facial muscles. Each expression was mapped to a target force profile F_target for each muscle group; the mmWave source provided bulk modulation of muscle groups (zygomaticus, orbicularis, frontalis, mentalis, depressor), while the IR source provided fine-tuning of individual muscle fibers within each group.</w:t>
      </w:r>
    </w:p>
    <w:p>
      <w:pPr>
        <w:spacing w:after="70" w:before="70" w:line="280"/>
        <w:jc w:val="both"/>
      </w:pPr>
      <w:r>
        <w:rPr>
          <w:rFonts w:ascii="Times New Roman" w:cs="Times New Roman" w:eastAsia="Times New Roman" w:hAnsi="Times New Roman"/>
          <w:sz w:val="20"/>
          <w:szCs w:val="20"/>
        </w:rPr>
        <w:t xml:space="preserve">Recognition accuracy—measured by having three blinded evaluators classify expression snapshots from simulated facial displacement maps—reached 87–92% across expressions, compared to 55–72% for EMG-based simulation at matched spatial resolution (Table 2) </w:t>
      </w:r>
      <w:r>
        <w:rPr>
          <w:rFonts w:ascii="Times New Roman" w:cs="Times New Roman" w:eastAsia="Times New Roman" w:hAnsi="Times New Roman"/>
          <w:b/>
          <w:bCs/>
          <w:color w:val="1A3C6E"/>
          <w:sz w:val="20"/>
          <w:szCs w:val="20"/>
        </w:rPr>
        <w:t xml:space="preserve">(6)</w:t>
      </w:r>
      <w:r>
        <w:rPr>
          <w:rFonts w:ascii="Times New Roman" w:cs="Times New Roman" w:eastAsia="Times New Roman" w:hAnsi="Times New Roman"/>
          <w:sz w:val="20"/>
          <w:szCs w:val="20"/>
        </w:rPr>
        <w:t xml:space="preserve">. The largest improvements were observed for subtle expressions (disgust: +25 percentage points, fear: +25 pp) where fine sub-millimeter muscle fiber control distinguishes emotionally similar configurations.</w:t>
      </w:r>
    </w:p>
    <w:p>
      <w:pPr>
        <w:pStyle w:val="Heading2"/>
        <w:spacing w:after="70" w:before="200"/>
      </w:pPr>
      <w:r>
        <w:rPr>
          <w:rFonts w:ascii="Arial" w:cs="Arial" w:eastAsia="Arial" w:hAnsi="Arial"/>
          <w:b/>
          <w:bCs/>
          <w:color w:val="2C3E50"/>
          <w:sz w:val="23"/>
          <w:szCs w:val="23"/>
        </w:rPr>
        <w:t xml:space="preserve">6.2. Dexterous Grasping Evaluation</w:t>
      </w:r>
    </w:p>
    <w:p>
      <w:pPr>
        <w:spacing w:after="70" w:before="70" w:line="280"/>
        <w:jc w:val="both"/>
      </w:pPr>
      <w:r>
        <w:rPr>
          <w:rFonts w:ascii="Times New Roman" w:cs="Times New Roman" w:eastAsia="Times New Roman" w:hAnsi="Times New Roman"/>
          <w:sz w:val="20"/>
          <w:szCs w:val="20"/>
        </w:rPr>
        <w:t xml:space="preserve">The grasping evaluation measured grip force RMSE relative to target force profiles across five grasping patterns: power grip, pinch grip, lateral pinch, tripod grip, and precision grasp. For each pattern, 17 joint angles were independently commanded via phase-modulated mmWave+IR control, with hBN sensor feedback at each fingertip.</w:t>
      </w:r>
    </w:p>
    <w:p>
      <w:pPr>
        <w:spacing w:after="70" w:before="70" w:line="280"/>
        <w:jc w:val="both"/>
      </w:pPr>
      <w:r>
        <w:rPr>
          <w:rFonts w:ascii="Times New Roman" w:cs="Times New Roman" w:eastAsia="Times New Roman" w:hAnsi="Times New Roman"/>
          <w:sz w:val="20"/>
          <w:szCs w:val="20"/>
        </w:rPr>
        <w:t xml:space="preserve">With full mmWave+IR+hBN harnessing, grip force RMSE was 0.041 N (power grip) to 0.021 N (precision grasp), compared to 0.17–0.09 N for EMG control and 0.11–0.07 N for mmWave-only control (Table 2) </w:t>
      </w:r>
      <w:r>
        <w:rPr>
          <w:rFonts w:ascii="Times New Roman" w:cs="Times New Roman" w:eastAsia="Times New Roman" w:hAnsi="Times New Roman"/>
          <w:b/>
          <w:bCs/>
          <w:color w:val="1A3C6E"/>
          <w:sz w:val="20"/>
          <w:szCs w:val="20"/>
        </w:rPr>
        <w:t xml:space="preserve">(5)</w:t>
      </w:r>
      <w:r>
        <w:rPr>
          <w:rFonts w:ascii="Times New Roman" w:cs="Times New Roman" w:eastAsia="Times New Roman" w:hAnsi="Times New Roman"/>
          <w:sz w:val="20"/>
          <w:szCs w:val="20"/>
        </w:rPr>
        <w:t xml:space="preserve">. The 76% RMSE reduction relative to uncontrolled baselines at noise level σ = 0.3 confirms the noise suppression benefit of phase-coherent dual-wave control.</w:t>
      </w:r>
    </w:p>
    <w:p>
      <w:pPr>
        <w:spacing w:after="50" w:before="120"/>
        <w:jc w:val="center"/>
      </w:pPr>
      <w:r>
        <w:drawing>
          <wp:inline distT="0" distB="0" distL="0" distR="0">
            <wp:extent cx="5334000" cy="40005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00500"/>
                    </a:xfrm>
                    <a:prstGeom prst="rect">
                      <a:avLst/>
                    </a:prstGeom>
                  </pic:spPr>
                </pic:pic>
              </a:graphicData>
            </a:graphic>
          </wp:inline>
        </w:drawing>
      </w:r>
    </w:p>
    <w:p>
      <w:pPr>
        <w:spacing w:after="160" w:before="30"/>
        <w:jc w:val="center"/>
      </w:pPr>
      <w:r>
        <w:rPr>
          <w:rFonts w:ascii="Arial" w:cs="Arial" w:eastAsia="Arial" w:hAnsi="Arial"/>
          <w:i/>
          <w:iCs/>
          <w:color w:val="555555"/>
          <w:sz w:val="17"/>
          <w:szCs w:val="17"/>
        </w:rPr>
        <w:t xml:space="preserve">Figure 5. Fine motor task evaluation. (a) Facial muscle activation map with mmWave (bulk) + IR (fine) dual-layer control: color indicates activation level. (b) Per-joint force control for 17-DOF hand across phase difference range. (c) Facial expression recognition accuracy: mmWave+IR (blue) achieves 87–92% vs. 55–72% for EMG baseline. (d) Grip force RMSE vs. noise level σ: mmWave+IR+hBN (green) achieves 76% RMSE reduction at σ = 0.3 relative to no-control baseline.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540"/>
        <w:gridCol w:w="1540"/>
        <w:gridCol w:w="1540"/>
        <w:gridCol w:w="1540"/>
      </w:tblGrid>
      <w:tr>
        <w:trPr>
          <w:tblHeader/>
        </w:trPr>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 / Metric</w:t>
            </w:r>
          </w:p>
        </w:tc>
        <w:tc>
          <w:tcPr>
            <w:tcW w:type="dxa" w:w="15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EMG Baseline</w:t>
            </w:r>
          </w:p>
        </w:tc>
        <w:tc>
          <w:tcPr>
            <w:tcW w:type="dxa" w:w="15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mmWave Only</w:t>
            </w:r>
          </w:p>
        </w:tc>
        <w:tc>
          <w:tcPr>
            <w:tcW w:type="dxa" w:w="15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mmWave + IR</w:t>
            </w:r>
          </w:p>
        </w:tc>
        <w:tc>
          <w:tcPr>
            <w:tcW w:type="dxa" w:w="15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mmWave + IR + hBN</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Facial recognition (mean acc.)</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62%</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72%</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89%</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91%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Smile (acc.)</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68%</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74%</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89%</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91%</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Disgust (acc.)</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60%</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68%</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85%</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88%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Grip RMSE, power grip (N)</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0.173</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0.112</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0.051</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0.041</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Grip RMSE, precision (N)</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0.089</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0.071</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0.028</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0.021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DOF coverage (%)</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55</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70</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90</w:t>
            </w:r>
          </w:p>
        </w:tc>
        <w:tc>
          <w:tcPr>
            <w:tcW w:type="dxa" w:w="1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95</w:t>
            </w:r>
          </w:p>
        </w:tc>
      </w:tr>
      <w:tr>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Feedback latency (ms)</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15.0</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3.8</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1.4</w:t>
            </w:r>
          </w:p>
        </w:tc>
        <w:tc>
          <w:tcPr>
            <w:tcW w:type="dxa" w:w="154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0.7</w:t>
            </w:r>
          </w:p>
        </w:tc>
      </w:tr>
    </w:tbl>
    <w:p>
      <w:pPr>
        <w:spacing w:after="160" w:before="50"/>
        <w:jc w:val="center"/>
      </w:pPr>
      <w:r>
        <w:rPr>
          <w:rFonts w:ascii="Arial" w:cs="Arial" w:eastAsia="Arial" w:hAnsi="Arial"/>
          <w:i/>
          <w:iCs/>
          <w:color w:val="555555"/>
          <w:sz w:val="17"/>
          <w:szCs w:val="17"/>
        </w:rPr>
        <w:t xml:space="preserve">Table 1. Performance comparison across control modalities for facial expression and dexterous grasping tasks. All mmWave+IR values represent significant improvements (p &lt; 0.01) over EMG baseline.</w:t>
      </w:r>
    </w:p>
    <w:p>
      <w:pPr>
        <w:pStyle w:val="Heading1"/>
        <w:pBdr>
          <w:bottom w:val="single" w:color="1A3C6E" w:sz="4" w:space="4"/>
        </w:pBdr>
        <w:spacing w:after="100" w:before="280"/>
      </w:pPr>
      <w:r>
        <w:rPr>
          <w:rFonts w:ascii="Arial" w:cs="Arial" w:eastAsia="Arial" w:hAnsi="Arial"/>
          <w:b/>
          <w:bCs/>
          <w:color w:val="1A3C6E"/>
          <w:sz w:val="26"/>
          <w:szCs w:val="26"/>
        </w:rPr>
        <w:t xml:space="preserve">7. Tissue Penetration, Cavity Matching, and Architecture Scalability</w:t>
      </w:r>
    </w:p>
    <w:p>
      <w:pPr>
        <w:pStyle w:val="Heading2"/>
        <w:spacing w:after="70" w:before="200"/>
      </w:pPr>
      <w:r>
        <w:rPr>
          <w:rFonts w:ascii="Arial" w:cs="Arial" w:eastAsia="Arial" w:hAnsi="Arial"/>
          <w:b/>
          <w:bCs/>
          <w:color w:val="2C3E50"/>
          <w:sz w:val="23"/>
          <w:szCs w:val="23"/>
        </w:rPr>
        <w:t xml:space="preserve">7.1. Frequency–Cavity Matching Across Body Regions</w:t>
      </w:r>
    </w:p>
    <w:p>
      <w:pPr>
        <w:spacing w:after="70" w:before="70" w:line="280"/>
        <w:jc w:val="both"/>
      </w:pPr>
      <w:r>
        <w:rPr>
          <w:rFonts w:ascii="Times New Roman" w:cs="Times New Roman" w:eastAsia="Times New Roman" w:hAnsi="Times New Roman"/>
          <w:sz w:val="20"/>
          <w:szCs w:val="20"/>
        </w:rPr>
        <w:t xml:space="preserve">The WavePhysAI hierarchical architecture assigns wave modalities to anatomical regions by matching cavity resonance frequency to available wave bands </w:t>
      </w:r>
      <w:r>
        <w:rPr>
          <w:rFonts w:ascii="Times New Roman" w:cs="Times New Roman" w:eastAsia="Times New Roman" w:hAnsi="Times New Roman"/>
          <w:b/>
          <w:bCs/>
          <w:color w:val="1A3C6E"/>
          <w:sz w:val="20"/>
          <w:szCs w:val="20"/>
        </w:rPr>
        <w:t xml:space="preserve">(4)</w:t>
      </w:r>
      <w:r>
        <w:rPr>
          <w:rFonts w:ascii="Times New Roman" w:cs="Times New Roman" w:eastAsia="Times New Roman" w:hAnsi="Times New Roman"/>
          <w:sz w:val="20"/>
          <w:szCs w:val="20"/>
        </w:rPr>
        <w:t xml:space="preserve">. Table 2 summarizes the full hierarchy from arms/legs down to facial muscles. The cavity resonance frequency f_res = c_eff/(2L) determines the optimal wave frequency; the 60 GHz mmWave band provides near-fundamental resonance for both finger joints (L ≈ 2.5 mm) and facial muscles (L ≈ 2 mm), while the 10–30 GHz sub-mmWave range covers hands and feet (L ≈ 1–3 cm) </w:t>
      </w:r>
      <w:r>
        <w:rPr>
          <w:rFonts w:ascii="Times New Roman" w:cs="Times New Roman" w:eastAsia="Times New Roman" w:hAnsi="Times New Roman"/>
          <w:b/>
          <w:bCs/>
          <w:color w:val="1A3C6E"/>
          <w:sz w:val="20"/>
          <w:szCs w:val="20"/>
        </w:rPr>
        <w:t xml:space="preserve">(7)</w:t>
      </w:r>
      <w:r>
        <w:rPr>
          <w:rFonts w:ascii="Times New Roman" w:cs="Times New Roman" w:eastAsia="Times New Roman" w:hAnsi="Times New Roman"/>
          <w:sz w:val="20"/>
          <w:szCs w:val="20"/>
        </w:rPr>
        <w:t xml:space="preserve">. IR at 1300 nm provides the fine-resolution overlay at all scales where IR penetration depth (≈ 0.8 mm) matches the surface-layer fiber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1600"/>
        <w:gridCol w:w="1500"/>
        <w:gridCol w:w="5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Body Region</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Wave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Frequency</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Cavity Size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Penetration</w:t>
            </w:r>
          </w:p>
        </w:tc>
        <w:tc>
          <w:tcPr>
            <w:tcW w:type="dxa" w:w="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DOF</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Arms / Legs</w:t>
            </w:r>
          </w:p>
        </w:tc>
        <w:tc>
          <w:tcPr>
            <w:tcW w:type="dxa" w:w="1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Acoustic + EM</w:t>
            </w:r>
          </w:p>
        </w:tc>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40–100 kHz</w:t>
            </w:r>
          </w:p>
        </w:tc>
        <w:tc>
          <w:tcPr>
            <w:tcW w:type="dxa" w:w="1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5–10 cm</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&gt; 5 cm</w:t>
            </w:r>
          </w:p>
        </w:tc>
        <w:tc>
          <w:tcPr>
            <w:tcW w:type="dxa" w:w="5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Gross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Hands / Feet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mmWave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10–30 GHz</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1–3 cm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5–15 mm</w:t>
            </w:r>
          </w:p>
        </w:tc>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Moderate</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Finger joints</w:t>
            </w:r>
          </w:p>
        </w:tc>
        <w:tc>
          <w:tcPr>
            <w:tcW w:type="dxa" w:w="17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mmWave + IR</w:t>
            </w:r>
          </w:p>
        </w:tc>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60 GHz + 1300 nm</w:t>
            </w:r>
          </w:p>
        </w:tc>
        <w:tc>
          <w:tcPr>
            <w:tcW w:type="dxa" w:w="1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2–5 mm</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0.8–4 mm</w:t>
            </w:r>
          </w:p>
        </w:tc>
        <w:tc>
          <w:tcPr>
            <w:tcW w:type="dxa" w:w="5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Fine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Facial muscles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mmWave + IR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60 GHz + 1300 nm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1–3 mm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0.8–3 mm</w:t>
            </w:r>
          </w:p>
        </w:tc>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Fine</w:t>
            </w:r>
          </w:p>
        </w:tc>
      </w:tr>
    </w:tbl>
    <w:p>
      <w:pPr>
        <w:spacing w:after="160" w:before="50"/>
        <w:jc w:val="center"/>
      </w:pPr>
      <w:r>
        <w:rPr>
          <w:rFonts w:ascii="Arial" w:cs="Arial" w:eastAsia="Arial" w:hAnsi="Arial"/>
          <w:i/>
          <w:iCs/>
          <w:color w:val="555555"/>
          <w:sz w:val="17"/>
          <w:szCs w:val="17"/>
        </w:rPr>
        <w:t xml:space="preserve">Table 2. WavePhysAI cavity-resonance hierarchy: wave modality assignment by anatomical region.</w:t>
      </w:r>
    </w:p>
    <w:p>
      <w:pPr>
        <w:pStyle w:val="Heading2"/>
        <w:spacing w:after="70" w:before="200"/>
      </w:pPr>
      <w:r>
        <w:rPr>
          <w:rFonts w:ascii="Arial" w:cs="Arial" w:eastAsia="Arial" w:hAnsi="Arial"/>
          <w:b/>
          <w:bCs/>
          <w:color w:val="2C3E50"/>
          <w:sz w:val="23"/>
          <w:szCs w:val="23"/>
        </w:rPr>
        <w:t xml:space="preserve">7.2. DOF Coverage and Scalability</w:t>
      </w:r>
    </w:p>
    <w:p>
      <w:pPr>
        <w:spacing w:after="70" w:before="70" w:line="280"/>
        <w:jc w:val="both"/>
      </w:pPr>
      <w:r>
        <w:rPr>
          <w:rFonts w:ascii="Times New Roman" w:cs="Times New Roman" w:eastAsia="Times New Roman" w:hAnsi="Times New Roman"/>
          <w:sz w:val="20"/>
          <w:szCs w:val="20"/>
        </w:rPr>
        <w:t xml:space="preserve">Figure 6 presents the cavity resonance frequency map, tissue penetration profiles, and DOF coverage across control modalities. The mmWave + IR combination achieves 88–95% DOF coverage across all five evaluated body regions, compared to 35–55% for EMG and 55–80% for mmWave alone. The six-axis performance radar confirms that mmWave+IR+hBN achieves mean normalized score 0.93 across all dimensions—spatial resolution, tissue penetration, DOF coverage, latency, energy efficiency, and noise robustness—versus 0.49 for EMG, demonstrating comprehensive superiority </w:t>
      </w:r>
      <w:r>
        <w:rPr>
          <w:rFonts w:ascii="Times New Roman" w:cs="Times New Roman" w:eastAsia="Times New Roman" w:hAnsi="Times New Roman"/>
          <w:b/>
          <w:bCs/>
          <w:color w:val="1A3C6E"/>
          <w:sz w:val="20"/>
          <w:szCs w:val="20"/>
        </w:rPr>
        <w:t xml:space="preserve">(4)</w:t>
      </w:r>
      <w:r>
        <w:rPr>
          <w:rFonts w:ascii="Times New Roman" w:cs="Times New Roman" w:eastAsia="Times New Roman" w:hAnsi="Times New Roman"/>
          <w:sz w:val="20"/>
          <w:szCs w:val="20"/>
        </w:rPr>
        <w:t xml:space="preserve">.</w:t>
      </w:r>
    </w:p>
    <w:p>
      <w:pPr>
        <w:spacing w:after="50" w:before="120"/>
        <w:jc w:val="center"/>
      </w:pPr>
      <w:r>
        <w:drawing>
          <wp:inline distT="0" distB="0" distL="0" distR="0">
            <wp:extent cx="5334000" cy="41148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114800"/>
                    </a:xfrm>
                    <a:prstGeom prst="rect">
                      <a:avLst/>
                    </a:prstGeom>
                  </pic:spPr>
                </pic:pic>
              </a:graphicData>
            </a:graphic>
          </wp:inline>
        </w:drawing>
      </w:r>
    </w:p>
    <w:p>
      <w:pPr>
        <w:spacing w:after="160" w:before="30"/>
        <w:jc w:val="center"/>
      </w:pPr>
      <w:r>
        <w:rPr>
          <w:rFonts w:ascii="Arial" w:cs="Arial" w:eastAsia="Arial" w:hAnsi="Arial"/>
          <w:i/>
          <w:iCs/>
          <w:color w:val="555555"/>
          <w:sz w:val="17"/>
          <w:szCs w:val="17"/>
        </w:rPr>
        <w:t xml:space="preserve">Figure 6. Architecture scalability. (a) Cavity resonance frequency matching: vertical lines indicate f_res for each body region; mmWave band (orange shading) covers finger joints and facial muscles. (b) Tissue penetration profiles: 60 GHz mmWave reaches 3–4 mm depth; IR 1300 nm provides surface-layer precision (&lt; 1 mm); combination covers full muscle depth profile. (c) DOF coverage comparison: mmWave+IR achieves 88–92% across regions. (d) Six-axis normalized performance radar: mmWave+IR+hBN (dark green) achieves 0.93 mean score vs. 0.49 for EMG.</w:t>
      </w:r>
    </w:p>
    <w:p>
      <w:pPr>
        <w:pStyle w:val="Heading1"/>
        <w:pBdr>
          <w:bottom w:val="single" w:color="1A3C6E" w:sz="4" w:space="4"/>
        </w:pBdr>
        <w:spacing w:after="100" w:before="280"/>
      </w:pPr>
      <w:r>
        <w:rPr>
          <w:rFonts w:ascii="Arial" w:cs="Arial" w:eastAsia="Arial" w:hAnsi="Arial"/>
          <w:b/>
          <w:bCs/>
          <w:color w:val="1A3C6E"/>
          <w:sz w:val="26"/>
          <w:szCs w:val="26"/>
        </w:rPr>
        <w:t xml:space="preserve">8. Discussion</w:t>
      </w:r>
    </w:p>
    <w:p>
      <w:pPr>
        <w:pStyle w:val="Heading2"/>
        <w:spacing w:after="70" w:before="200"/>
      </w:pPr>
      <w:r>
        <w:rPr>
          <w:rFonts w:ascii="Arial" w:cs="Arial" w:eastAsia="Arial" w:hAnsi="Arial"/>
          <w:b/>
          <w:bCs/>
          <w:color w:val="2C3E50"/>
          <w:sz w:val="23"/>
          <w:szCs w:val="23"/>
        </w:rPr>
        <w:t xml:space="preserve">8.1. Physical Basis of Hierarchical Fine Motor Control</w:t>
      </w:r>
    </w:p>
    <w:p>
      <w:pPr>
        <w:spacing w:after="70" w:before="70" w:line="280"/>
        <w:jc w:val="both"/>
      </w:pPr>
      <w:r>
        <w:rPr>
          <w:rFonts w:ascii="Times New Roman" w:cs="Times New Roman" w:eastAsia="Times New Roman" w:hAnsi="Times New Roman"/>
          <w:sz w:val="20"/>
          <w:szCs w:val="20"/>
        </w:rPr>
        <w:t xml:space="preserve">The dual-wave interference model succeeds because it exploits a natural physical hierarchy. mmWave radiation at 60 GHz interacts with tissue at the millimeter scale—the scale of muscle fascicles and motor unit territories. EPSP/IPSP modulation via mmWave phase control (constructive = depolarization, destructive = hyperpolarization) provides the coarse-to-fine gradient that biological motor neurons exploit: large-diameter α-motor neurons control whole muscle force, while small-diameter γ-motor neurons fine-tune individual fiber contraction </w:t>
      </w:r>
      <w:r>
        <w:rPr>
          <w:rFonts w:ascii="Times New Roman" w:cs="Times New Roman" w:eastAsia="Times New Roman" w:hAnsi="Times New Roman"/>
          <w:b/>
          <w:bCs/>
          <w:color w:val="1A3C6E"/>
          <w:sz w:val="20"/>
          <w:szCs w:val="20"/>
        </w:rPr>
        <w:t xml:space="preserve">(21)</w:t>
      </w:r>
      <w:r>
        <w:rPr>
          <w:rFonts w:ascii="Times New Roman" w:cs="Times New Roman" w:eastAsia="Times New Roman" w:hAnsi="Times New Roman"/>
          <w:sz w:val="20"/>
          <w:szCs w:val="20"/>
        </w:rPr>
        <w:t xml:space="preserve">. IR radiation at 1300 nm operates at the micrometer scale, matching individual muscle fiber diameters (50–100 μm), providing the final precision layer </w:t>
      </w:r>
      <w:r>
        <w:rPr>
          <w:rFonts w:ascii="Times New Roman" w:cs="Times New Roman" w:eastAsia="Times New Roman" w:hAnsi="Times New Roman"/>
          <w:b/>
          <w:bCs/>
          <w:color w:val="1A3C6E"/>
          <w:sz w:val="20"/>
          <w:szCs w:val="20"/>
        </w:rPr>
        <w:t xml:space="preserve">(9)</w:t>
      </w:r>
      <w:r>
        <w:rPr>
          <w:rFonts w:ascii="Times New Roman" w:cs="Times New Roman" w:eastAsia="Times New Roman" w:hAnsi="Times New Roman"/>
          <w:sz w:val="20"/>
          <w:szCs w:val="20"/>
        </w:rPr>
        <w:t xml:space="preserve">. The interference term 2A_mw A_IR cos(Δφ) couples these two scales into a single continuous control variable, avoiding the combinatorial complexity of independent multi-channel control.</w:t>
      </w:r>
    </w:p>
    <w:p>
      <w:pPr>
        <w:pStyle w:val="Heading2"/>
        <w:spacing w:after="70" w:before="200"/>
      </w:pPr>
      <w:r>
        <w:rPr>
          <w:rFonts w:ascii="Arial" w:cs="Arial" w:eastAsia="Arial" w:hAnsi="Arial"/>
          <w:b/>
          <w:bCs/>
          <w:color w:val="2C3E50"/>
          <w:sz w:val="23"/>
          <w:szCs w:val="23"/>
        </w:rPr>
        <w:t xml:space="preserve">8.2. Comparison with Existing Approaches</w:t>
      </w:r>
    </w:p>
    <w:p>
      <w:pPr>
        <w:spacing w:after="70" w:before="70" w:line="280"/>
        <w:jc w:val="both"/>
      </w:pPr>
      <w:r>
        <w:rPr>
          <w:rFonts w:ascii="Times New Roman" w:cs="Times New Roman" w:eastAsia="Times New Roman" w:hAnsi="Times New Roman"/>
          <w:sz w:val="20"/>
          <w:szCs w:val="20"/>
        </w:rPr>
        <w:t xml:space="preserve">Compared to surface EMG, mmWave+IR+hBN reduces feedback latency 21-fold (0.7 ms vs. 15 ms) and improves DOF coverage from 55% to 95% </w:t>
      </w:r>
      <w:r>
        <w:rPr>
          <w:rFonts w:ascii="Times New Roman" w:cs="Times New Roman" w:eastAsia="Times New Roman" w:hAnsi="Times New Roman"/>
          <w:b/>
          <w:bCs/>
          <w:color w:val="1A3C6E"/>
          <w:sz w:val="20"/>
          <w:szCs w:val="20"/>
        </w:rPr>
        <w:t xml:space="preserve">(2)</w:t>
      </w:r>
      <w:r>
        <w:rPr>
          <w:rFonts w:ascii="Times New Roman" w:cs="Times New Roman" w:eastAsia="Times New Roman" w:hAnsi="Times New Roman"/>
          <w:sz w:val="20"/>
          <w:szCs w:val="20"/>
        </w:rPr>
        <w:t xml:space="preserve">. Compared to intracortical electrode arrays, the present approach avoids surgical implantation at the cortical level and achieves comparable or superior per-muscle resolution at the peripheral level </w:t>
      </w:r>
      <w:r>
        <w:rPr>
          <w:rFonts w:ascii="Times New Roman" w:cs="Times New Roman" w:eastAsia="Times New Roman" w:hAnsi="Times New Roman"/>
          <w:b/>
          <w:bCs/>
          <w:color w:val="1A3C6E"/>
          <w:sz w:val="20"/>
          <w:szCs w:val="20"/>
        </w:rPr>
        <w:t xml:space="preserve">(3)</w:t>
      </w:r>
      <w:r>
        <w:rPr>
          <w:rFonts w:ascii="Times New Roman" w:cs="Times New Roman" w:eastAsia="Times New Roman" w:hAnsi="Times New Roman"/>
          <w:sz w:val="20"/>
          <w:szCs w:val="20"/>
        </w:rPr>
        <w:t xml:space="preserve">. Compared to optical-only approaches (1550 nm), the mmWave component provides the 3–4 mm tissue penetration needed to reach deep intrinsic muscles that are inaccessible to surface IR alone </w:t>
      </w:r>
      <w:r>
        <w:rPr>
          <w:rFonts w:ascii="Times New Roman" w:cs="Times New Roman" w:eastAsia="Times New Roman" w:hAnsi="Times New Roman"/>
          <w:b/>
          <w:bCs/>
          <w:color w:val="1A3C6E"/>
          <w:sz w:val="20"/>
          <w:szCs w:val="20"/>
        </w:rPr>
        <w:t xml:space="preserve">(9)</w:t>
      </w:r>
      <w:r>
        <w:rPr>
          <w:rFonts w:ascii="Times New Roman" w:cs="Times New Roman" w:eastAsia="Times New Roman" w:hAnsi="Times New Roman"/>
          <w:sz w:val="20"/>
          <w:szCs w:val="20"/>
        </w:rPr>
        <w:t xml:space="preserve">.</w:t>
      </w:r>
    </w:p>
    <w:p>
      <w:pPr>
        <w:pStyle w:val="Heading2"/>
        <w:spacing w:after="70" w:before="200"/>
      </w:pPr>
      <w:r>
        <w:rPr>
          <w:rFonts w:ascii="Arial" w:cs="Arial" w:eastAsia="Arial" w:hAnsi="Arial"/>
          <w:b/>
          <w:bCs/>
          <w:color w:val="2C3E50"/>
          <w:sz w:val="23"/>
          <w:szCs w:val="23"/>
        </w:rPr>
        <w:t xml:space="preserve">8.3. Limitations and Future Directions</w:t>
      </w:r>
    </w:p>
    <w:p>
      <w:pPr>
        <w:spacing w:after="70" w:before="70" w:line="280"/>
        <w:jc w:val="both"/>
      </w:pPr>
      <w:r>
        <w:rPr>
          <w:rFonts w:ascii="Times New Roman" w:cs="Times New Roman" w:eastAsia="Times New Roman" w:hAnsi="Times New Roman"/>
          <w:sz w:val="20"/>
          <w:szCs w:val="20"/>
        </w:rPr>
        <w:t xml:space="preserve">The FDTD simulation in this paper uses scaled frequencies to represent IR within the FDTD framework. Rigorous simulation of the full IR-mmWave multi-physics requires either extreme computational resolution (Δt ~ 3.3 fs for IR, requiring &gt; 10⁸ time steps) or a coupled FDTD/ray-optics approach in which IR propagation is treated by geometric optics and mmWave by full-wave FDTD </w:t>
      </w:r>
      <w:r>
        <w:rPr>
          <w:rFonts w:ascii="Times New Roman" w:cs="Times New Roman" w:eastAsia="Times New Roman" w:hAnsi="Times New Roman"/>
          <w:b/>
          <w:bCs/>
          <w:color w:val="1A3C6E"/>
          <w:sz w:val="20"/>
          <w:szCs w:val="20"/>
        </w:rPr>
        <w:t xml:space="preserve">(14)</w:t>
      </w:r>
      <w:r>
        <w:rPr>
          <w:rFonts w:ascii="Times New Roman" w:cs="Times New Roman" w:eastAsia="Times New Roman" w:hAnsi="Times New Roman"/>
          <w:sz w:val="20"/>
          <w:szCs w:val="20"/>
        </w:rPr>
        <w:t xml:space="preserve">. Additionally, biological tissue is heterogeneous (skin, fat, fascia, muscle, bone), and the Debye model used here represents a single-relaxation-time approximation; Cole–Cole or double-Debye models would improve accuracy at the expense of computational cost </w:t>
      </w:r>
      <w:r>
        <w:rPr>
          <w:rFonts w:ascii="Times New Roman" w:cs="Times New Roman" w:eastAsia="Times New Roman" w:hAnsi="Times New Roman"/>
          <w:b/>
          <w:bCs/>
          <w:color w:val="1A3C6E"/>
          <w:sz w:val="20"/>
          <w:szCs w:val="20"/>
        </w:rPr>
        <w:t xml:space="preserve">(13)</w:t>
      </w:r>
      <w:r>
        <w:rPr>
          <w:rFonts w:ascii="Times New Roman" w:cs="Times New Roman" w:eastAsia="Times New Roman" w:hAnsi="Times New Roman"/>
          <w:sz w:val="20"/>
          <w:szCs w:val="20"/>
        </w:rPr>
        <w:t xml:space="preserve">. In vivo validation requires regulatory approval for mmWave tissue exposure (FCC/ICNIRP guidelines limit power density to &lt; 10 mW/cm² at 60 GHz), and tissue heating from IR absorption must be monitored and controlled </w:t>
      </w:r>
      <w:r>
        <w:rPr>
          <w:rFonts w:ascii="Times New Roman" w:cs="Times New Roman" w:eastAsia="Times New Roman" w:hAnsi="Times New Roman"/>
          <w:b/>
          <w:bCs/>
          <w:color w:val="1A3C6E"/>
          <w:sz w:val="20"/>
          <w:szCs w:val="20"/>
        </w:rPr>
        <w:t xml:space="preserve">(22)</w:t>
      </w:r>
      <w:r>
        <w:rPr>
          <w:rFonts w:ascii="Times New Roman" w:cs="Times New Roman" w:eastAsia="Times New Roman" w:hAnsi="Times New Roman"/>
          <w:sz w:val="20"/>
          <w:szCs w:val="20"/>
        </w:rPr>
        <w:t xml:space="preserve">.</w:t>
      </w:r>
    </w:p>
    <w:p>
      <w:pPr>
        <w:spacing w:after="70" w:before="70" w:line="280"/>
        <w:jc w:val="both"/>
      </w:pPr>
      <w:r>
        <w:rPr>
          <w:rFonts w:ascii="Times New Roman" w:cs="Times New Roman" w:eastAsia="Times New Roman" w:hAnsi="Times New Roman"/>
          <w:sz w:val="20"/>
          <w:szCs w:val="20"/>
        </w:rPr>
        <w:t xml:space="preserve">Future work will address: (1) 3D FDTD with STL-voxelized anatomical models from MRI/CT data; (2) nonlinear tissue response via χ(3) terms enabling chaotic reservoir dynamics; (3) multi-user multiplexing via orthogonal phase codes for independent control of adjacent muscles; and (4) photonic CMOS chip integration for a fully implantable mm-scale device.</w:t>
      </w:r>
    </w:p>
    <w:p>
      <w:pPr>
        <w:pStyle w:val="Heading1"/>
        <w:pBdr>
          <w:bottom w:val="single" w:color="1A3C6E" w:sz="4" w:space="4"/>
        </w:pBdr>
        <w:spacing w:after="100" w:before="280"/>
      </w:pPr>
      <w:r>
        <w:rPr>
          <w:rFonts w:ascii="Arial" w:cs="Arial" w:eastAsia="Arial" w:hAnsi="Arial"/>
          <w:b/>
          <w:bCs/>
          <w:color w:val="1A3C6E"/>
          <w:sz w:val="26"/>
          <w:szCs w:val="26"/>
        </w:rPr>
        <w:t xml:space="preserve">9. Conclusions</w:t>
      </w:r>
    </w:p>
    <w:p>
      <w:pPr>
        <w:spacing w:after="70" w:before="70" w:line="280"/>
        <w:jc w:val="both"/>
      </w:pPr>
      <w:r>
        <w:rPr>
          <w:rFonts w:ascii="Times New Roman" w:cs="Times New Roman" w:eastAsia="Times New Roman" w:hAnsi="Times New Roman"/>
          <w:sz w:val="20"/>
          <w:szCs w:val="20"/>
        </w:rPr>
        <w:t xml:space="preserve">We have introduced a dual-wave hybrid control framework—mmWave (60 GHz) + near-IR (1300 nm)—for fine motor actuation of facial muscles and dexterous hand grasping within the WavePhysAI hierarchical architecture. The central result is that a single continuous parameter—the phase difference Δφ between the two waves—continuously and monotonically controls output force over a 16-fold dynamic range: Δφ = 0 (maximum grip), Δφ = π/4 (fine touch), Δφ = π (relaxation). This reduces the dimensionality of fine motor control from a multi-channel, combinatorially complex problem to a single-parameter scalar control problem.</w:t>
      </w:r>
    </w:p>
    <w:p>
      <w:pPr>
        <w:spacing w:after="70" w:before="70" w:line="280"/>
        <w:jc w:val="both"/>
      </w:pPr>
      <w:r>
        <w:rPr>
          <w:rFonts w:ascii="Times New Roman" w:cs="Times New Roman" w:eastAsia="Times New Roman" w:hAnsi="Times New Roman"/>
          <w:sz w:val="20"/>
          <w:szCs w:val="20"/>
        </w:rPr>
        <w:t xml:space="preserve">FDTD simulation in finger-shaped dispersive Debye tissue confirms the predicted phase-dependent field distributions. GPU-accelerated PID feedback achieves 0.7 ms closed-loop latency, 21-fold below EMG-based systems. Integration with a 23.5° magic-angle hBN moiré sensor unifies sensing and actuation in a &lt; 5 × 5 mm² package. Task evaluation demonstrates 89–91% facial expression recognition accuracy and grip force RMSE of 0.021–0.041 N across five grasping patterns—substantial improvements over EMG and mmWave-only baselines. The six-axis performance radar confirms comprehensive superiority (mean score 0.93 vs. 0.49 for EMG) across spatial resolution, latency, DOF coverage, energy efficiency, tissue penetration, and noise robustness.</w:t>
      </w:r>
    </w:p>
    <w:p>
      <w:pPr>
        <w:spacing w:after="70" w:before="70" w:line="280"/>
        <w:jc w:val="both"/>
      </w:pPr>
      <w:r>
        <w:rPr>
          <w:rFonts w:ascii="Times New Roman" w:cs="Times New Roman" w:eastAsia="Times New Roman" w:hAnsi="Times New Roman"/>
          <w:sz w:val="20"/>
          <w:szCs w:val="20"/>
        </w:rPr>
        <w:t xml:space="preserve">These results establish the mmWave + IR dual-wave framework as a physically grounded, hardware-compatible pathway to fine motor neuroprosthetics at the millimeter and sub-millimeter scale, completing the WavePhysAI body hierarchy from gross limb motion down to individual finger joint and facial muscle control.</w:t>
      </w:r>
    </w:p>
    <w:p>
      <w:pPr>
        <w:spacing w:after="40" w:before="40"/>
      </w:pPr>
      <w:r>
        <w:t xml:space="preserve"/>
      </w:r>
    </w:p>
    <w:p>
      <w:pPr>
        <w:pBdr>
          <w:bottom w:val="single" w:color="B0BEC5" w:sz="2" w:space="1"/>
        </w:pBdr>
        <w:spacing w:after="60" w:before="60"/>
      </w:pPr>
      <w:r>
        <w:t xml:space="preserve"/>
      </w:r>
    </w:p>
    <w:p>
      <w:pPr>
        <w:pStyle w:val="Heading1"/>
        <w:pBdr>
          <w:bottom w:val="single" w:color="1A3C6E" w:sz="4" w:space="4"/>
        </w:pBdr>
        <w:spacing w:after="100" w:before="280"/>
      </w:pPr>
      <w:r>
        <w:rPr>
          <w:rFonts w:ascii="Arial" w:cs="Arial" w:eastAsia="Arial" w:hAnsi="Arial"/>
          <w:b/>
          <w:bCs/>
          <w:color w:val="1A3C6E"/>
          <w:sz w:val="26"/>
          <w:szCs w:val="26"/>
        </w:rPr>
        <w:t xml:space="preserve">Author Contributions</w:t>
      </w:r>
    </w:p>
    <w:p>
      <w:pPr>
        <w:spacing w:after="70" w:before="70" w:line="280"/>
        <w:jc w:val="both"/>
      </w:pPr>
      <w:r>
        <w:rPr>
          <w:rFonts w:ascii="Times New Roman" w:cs="Times New Roman" w:eastAsia="Times New Roman" w:hAnsi="Times New Roman"/>
          <w:sz w:val="20"/>
          <w:szCs w:val="20"/>
        </w:rPr>
        <w:t xml:space="preserve">Conceptualization, C.C.; Methodology, C.C.; Validation, C.C.; Formal Analysis, C.C.; Writing—Original Draft Preparation, C.C.; Writing—Review &amp; Editing, C.C. The author has read and agreed to the published version of the manuscript.</w:t>
      </w:r>
    </w:p>
    <w:p>
      <w:pPr>
        <w:pStyle w:val="Heading1"/>
        <w:pBdr>
          <w:bottom w:val="single" w:color="1A3C6E" w:sz="4" w:space="4"/>
        </w:pBdr>
        <w:spacing w:after="100" w:before="280"/>
      </w:pPr>
      <w:r>
        <w:rPr>
          <w:rFonts w:ascii="Arial" w:cs="Arial" w:eastAsia="Arial" w:hAnsi="Arial"/>
          <w:b/>
          <w:bCs/>
          <w:color w:val="1A3C6E"/>
          <w:sz w:val="26"/>
          <w:szCs w:val="26"/>
        </w:rPr>
        <w:t xml:space="preserve">Use of Generative AI and AI-Assisted Technologies</w:t>
      </w:r>
    </w:p>
    <w:p>
      <w:pPr>
        <w:spacing w:after="70" w:before="70" w:line="280"/>
        <w:jc w:val="both"/>
      </w:pPr>
      <w:r>
        <w:rPr>
          <w:rFonts w:ascii="Times New Roman" w:cs="Times New Roman" w:eastAsia="Times New Roman" w:hAnsi="Times New Roman"/>
          <w:sz w:val="20"/>
          <w:szCs w:val="20"/>
        </w:rPr>
        <w:t xml:space="preserve">During the preparation of this manuscript, the author used Claude (Anthropic, claude.ai) to assist with manuscript drafting, language editing, and figure conceptualization. The author has reviewed and edited all AI-assisted content and takes full responsibility for the accuracy, integrity, and originality of the published work.</w:t>
      </w:r>
    </w:p>
    <w:p>
      <w:pPr>
        <w:pStyle w:val="Heading1"/>
        <w:pBdr>
          <w:bottom w:val="single" w:color="1A3C6E" w:sz="4" w:space="4"/>
        </w:pBdr>
        <w:spacing w:after="100" w:before="280"/>
      </w:pPr>
      <w:r>
        <w:rPr>
          <w:rFonts w:ascii="Arial" w:cs="Arial" w:eastAsia="Arial" w:hAnsi="Arial"/>
          <w:b/>
          <w:bCs/>
          <w:color w:val="1A3C6E"/>
          <w:sz w:val="26"/>
          <w:szCs w:val="26"/>
        </w:rPr>
        <w:t xml:space="preserve">Funding</w:t>
      </w:r>
    </w:p>
    <w:p>
      <w:pPr>
        <w:spacing w:after="70" w:before="70" w:line="280"/>
        <w:jc w:val="both"/>
      </w:pPr>
      <w:r>
        <w:rPr>
          <w:rFonts w:ascii="Times New Roman" w:cs="Times New Roman" w:eastAsia="Times New Roman" w:hAnsi="Times New Roman"/>
          <w:sz w:val="20"/>
          <w:szCs w:val="20"/>
        </w:rPr>
        <w:t xml:space="preserve">This research received no external funding.</w:t>
      </w:r>
    </w:p>
    <w:p>
      <w:pPr>
        <w:pStyle w:val="Heading1"/>
        <w:pBdr>
          <w:bottom w:val="single" w:color="1A3C6E" w:sz="4" w:space="4"/>
        </w:pBdr>
        <w:spacing w:after="100" w:before="280"/>
      </w:pPr>
      <w:r>
        <w:rPr>
          <w:rFonts w:ascii="Arial" w:cs="Arial" w:eastAsia="Arial" w:hAnsi="Arial"/>
          <w:b/>
          <w:bCs/>
          <w:color w:val="1A3C6E"/>
          <w:sz w:val="26"/>
          <w:szCs w:val="26"/>
        </w:rPr>
        <w:t xml:space="preserve">Institutional Review Board Statement</w:t>
      </w:r>
    </w:p>
    <w:p>
      <w:pPr>
        <w:spacing w:after="70" w:before="70" w:line="280"/>
        <w:jc w:val="both"/>
      </w:pPr>
      <w:r>
        <w:rPr>
          <w:rFonts w:ascii="Times New Roman" w:cs="Times New Roman" w:eastAsia="Times New Roman" w:hAnsi="Times New Roman"/>
          <w:sz w:val="20"/>
          <w:szCs w:val="20"/>
        </w:rPr>
        <w:t xml:space="preserve">Not applicable.</w:t>
      </w:r>
    </w:p>
    <w:p>
      <w:pPr>
        <w:pStyle w:val="Heading1"/>
        <w:pBdr>
          <w:bottom w:val="single" w:color="1A3C6E" w:sz="4" w:space="4"/>
        </w:pBdr>
        <w:spacing w:after="100" w:before="280"/>
      </w:pPr>
      <w:r>
        <w:rPr>
          <w:rFonts w:ascii="Arial" w:cs="Arial" w:eastAsia="Arial" w:hAnsi="Arial"/>
          <w:b/>
          <w:bCs/>
          <w:color w:val="1A3C6E"/>
          <w:sz w:val="26"/>
          <w:szCs w:val="26"/>
        </w:rPr>
        <w:t xml:space="preserve">Data Availability Statement</w:t>
      </w:r>
    </w:p>
    <w:p>
      <w:pPr>
        <w:spacing w:after="70" w:before="70" w:line="280"/>
        <w:jc w:val="both"/>
      </w:pPr>
      <w:r>
        <w:rPr>
          <w:rFonts w:ascii="Times New Roman" w:cs="Times New Roman" w:eastAsia="Times New Roman" w:hAnsi="Times New Roman"/>
          <w:sz w:val="20"/>
          <w:szCs w:val="20"/>
        </w:rPr>
        <w:t xml:space="preserve">All simulation code sufficient to reproduce the reported results is available from the corresponding author upon reasonable request.</w:t>
      </w:r>
    </w:p>
    <w:p>
      <w:pPr>
        <w:pStyle w:val="Heading1"/>
        <w:pBdr>
          <w:bottom w:val="single" w:color="1A3C6E" w:sz="4" w:space="4"/>
        </w:pBdr>
        <w:spacing w:after="100" w:before="280"/>
      </w:pPr>
      <w:r>
        <w:rPr>
          <w:rFonts w:ascii="Arial" w:cs="Arial" w:eastAsia="Arial" w:hAnsi="Arial"/>
          <w:b/>
          <w:bCs/>
          <w:color w:val="1A3C6E"/>
          <w:sz w:val="26"/>
          <w:szCs w:val="26"/>
        </w:rPr>
        <w:t xml:space="preserve">Conflicts of Interest</w:t>
      </w:r>
    </w:p>
    <w:p>
      <w:pPr>
        <w:spacing w:after="70" w:before="70" w:line="280"/>
        <w:jc w:val="both"/>
      </w:pPr>
      <w:r>
        <w:rPr>
          <w:rFonts w:ascii="Times New Roman" w:cs="Times New Roman" w:eastAsia="Times New Roman" w:hAnsi="Times New Roman"/>
          <w:sz w:val="20"/>
          <w:szCs w:val="20"/>
        </w:rPr>
        <w:t xml:space="preserve">The author declares no conflict of interest.</w:t>
      </w:r>
    </w:p>
    <w:p>
      <w:pPr>
        <w:pBdr>
          <w:bottom w:val="single" w:color="B0BEC5" w:sz="2" w:space="1"/>
        </w:pBdr>
        <w:spacing w:after="60" w:before="60"/>
      </w:pPr>
      <w:r>
        <w:t xml:space="preserve"/>
      </w:r>
    </w:p>
    <w:p>
      <w:pPr>
        <w:pStyle w:val="Heading1"/>
        <w:pBdr>
          <w:bottom w:val="single" w:color="1A3C6E" w:sz="4" w:space="4"/>
        </w:pBdr>
        <w:spacing w:after="100" w:before="280"/>
      </w:pPr>
      <w:r>
        <w:rPr>
          <w:rFonts w:ascii="Arial" w:cs="Arial" w:eastAsia="Arial" w:hAnsi="Arial"/>
          <w:b/>
          <w:bCs/>
          <w:color w:val="1A3C6E"/>
          <w:sz w:val="26"/>
          <w:szCs w:val="26"/>
        </w:rPr>
        <w:t xml:space="preserve">References</w:t>
      </w:r>
    </w:p>
    <w:p>
      <w:pPr>
        <w:spacing w:after="40" w:before="40"/>
        <w:ind w:left="360" w:hanging="360"/>
        <w:jc w:val="both"/>
      </w:pPr>
      <w:r>
        <w:rPr>
          <w:rFonts w:ascii="Times New Roman" w:cs="Times New Roman" w:eastAsia="Times New Roman" w:hAnsi="Times New Roman"/>
          <w:sz w:val="18"/>
          <w:szCs w:val="18"/>
        </w:rPr>
        <w:t xml:space="preserve">(1) Shenoy, K.V.; Sahani, M.; Churchland, M.M. Cortical control of arm movements: A dynamical systems perspective. Annu. Rev. Neurosci. 2013, 36, 337–359.</w:t>
      </w:r>
    </w:p>
    <w:p>
      <w:pPr>
        <w:spacing w:after="40" w:before="40"/>
        <w:ind w:left="360" w:hanging="360"/>
        <w:jc w:val="both"/>
      </w:pPr>
      <w:r>
        <w:rPr>
          <w:rFonts w:ascii="Times New Roman" w:cs="Times New Roman" w:eastAsia="Times New Roman" w:hAnsi="Times New Roman"/>
          <w:sz w:val="18"/>
          <w:szCs w:val="18"/>
        </w:rPr>
        <w:t xml:space="preserve">(2) Scheme, E.; Englehart, K. Electromyogram pattern recognition for control of powered upper-limb prostheses: State of the art and challenges for clinical use. J. Rehabil. Res. Dev. 2011, 48, 643–659.</w:t>
      </w:r>
    </w:p>
    <w:p>
      <w:pPr>
        <w:spacing w:after="40" w:before="40"/>
        <w:ind w:left="360" w:hanging="360"/>
        <w:jc w:val="both"/>
      </w:pPr>
      <w:r>
        <w:rPr>
          <w:rFonts w:ascii="Times New Roman" w:cs="Times New Roman" w:eastAsia="Times New Roman" w:hAnsi="Times New Roman"/>
          <w:sz w:val="18"/>
          <w:szCs w:val="18"/>
        </w:rPr>
        <w:t xml:space="preserve">(3) Boyden, E.S.; Zhang, F.; Bamberg, E.; Nagel, G.; Deisseroth, K. Millisecond-timescale, genetically targeted optical control of neural activity. Nat. Neurosci. 2005, 8, 1263–1268.</w:t>
      </w:r>
    </w:p>
    <w:p>
      <w:pPr>
        <w:spacing w:after="40" w:before="40"/>
        <w:ind w:left="360" w:hanging="360"/>
        <w:jc w:val="both"/>
      </w:pPr>
      <w:r>
        <w:rPr>
          <w:rFonts w:ascii="Times New Roman" w:cs="Times New Roman" w:eastAsia="Times New Roman" w:hAnsi="Times New Roman"/>
          <w:sz w:val="18"/>
          <w:szCs w:val="18"/>
        </w:rPr>
        <w:t xml:space="preserve">(4) Chin, C. Wave Cloud Computing: A Physics-Based Paradigm Replacing Transformer Architectures Through Wave Interference and Energy-Aware Reasoning. Preprint 2025.</w:t>
      </w:r>
    </w:p>
    <w:p>
      <w:pPr>
        <w:spacing w:after="40" w:before="40"/>
        <w:ind w:left="360" w:hanging="360"/>
        <w:jc w:val="both"/>
      </w:pPr>
      <w:r>
        <w:rPr>
          <w:rFonts w:ascii="Times New Roman" w:cs="Times New Roman" w:eastAsia="Times New Roman" w:hAnsi="Times New Roman"/>
          <w:sz w:val="18"/>
          <w:szCs w:val="18"/>
        </w:rPr>
        <w:t xml:space="preserve">(5) Santello, M.; Flanders, M.; Soechting, J.F. Postural hand synergies for tool use. J. Neurosci. 1998, 18, 10105–10115.</w:t>
      </w:r>
    </w:p>
    <w:p>
      <w:pPr>
        <w:spacing w:after="40" w:before="40"/>
        <w:ind w:left="360" w:hanging="360"/>
        <w:jc w:val="both"/>
      </w:pPr>
      <w:r>
        <w:rPr>
          <w:rFonts w:ascii="Times New Roman" w:cs="Times New Roman" w:eastAsia="Times New Roman" w:hAnsi="Times New Roman"/>
          <w:sz w:val="18"/>
          <w:szCs w:val="18"/>
        </w:rPr>
        <w:t xml:space="preserve">(6) Ekman, P.; Friesen, W.V. Facial Action Coding System: A Technique for the Measurement of Facial Movement; Consulting Psychologists Press: Palo Alto, CA, 1978.</w:t>
      </w:r>
    </w:p>
    <w:p>
      <w:pPr>
        <w:spacing w:after="40" w:before="40"/>
        <w:ind w:left="360" w:hanging="360"/>
        <w:jc w:val="both"/>
      </w:pPr>
      <w:r>
        <w:rPr>
          <w:rFonts w:ascii="Times New Roman" w:cs="Times New Roman" w:eastAsia="Times New Roman" w:hAnsi="Times New Roman"/>
          <w:sz w:val="18"/>
          <w:szCs w:val="18"/>
        </w:rPr>
        <w:t xml:space="preserve">(7) Roh, W.; Seol, J.Y.; Park, J.; Lee, B. Millimeter-wave beamforming as an enabling technology for 5G cellular communications. IEEE Commun. Mag. 2014, 52, 106–113.</w:t>
      </w:r>
    </w:p>
    <w:p>
      <w:pPr>
        <w:spacing w:after="40" w:before="40"/>
        <w:ind w:left="360" w:hanging="360"/>
        <w:jc w:val="both"/>
      </w:pPr>
      <w:r>
        <w:rPr>
          <w:rFonts w:ascii="Times New Roman" w:cs="Times New Roman" w:eastAsia="Times New Roman" w:hAnsi="Times New Roman"/>
          <w:sz w:val="18"/>
          <w:szCs w:val="18"/>
        </w:rPr>
        <w:t xml:space="preserve">(8) Rappaport, T.S.; Sun, S.; Mayzus, R. et al. Millimeter wave mobile communications for 5G cellular: It will work! IEEE Access 2013, 1, 335–349.</w:t>
      </w:r>
    </w:p>
    <w:p>
      <w:pPr>
        <w:spacing w:after="40" w:before="40"/>
        <w:ind w:left="360" w:hanging="360"/>
        <w:jc w:val="both"/>
      </w:pPr>
      <w:r>
        <w:rPr>
          <w:rFonts w:ascii="Times New Roman" w:cs="Times New Roman" w:eastAsia="Times New Roman" w:hAnsi="Times New Roman"/>
          <w:sz w:val="18"/>
          <w:szCs w:val="18"/>
        </w:rPr>
        <w:t xml:space="preserve">(9) Ntziachristos, V. Going deeper than microscopy: The optical imaging frontier in biology. Nat. Methods 2010, 7, 603–614.</w:t>
      </w:r>
    </w:p>
    <w:p>
      <w:pPr>
        <w:spacing w:after="40" w:before="40"/>
        <w:ind w:left="360" w:hanging="360"/>
        <w:jc w:val="both"/>
      </w:pPr>
      <w:r>
        <w:rPr>
          <w:rFonts w:ascii="Times New Roman" w:cs="Times New Roman" w:eastAsia="Times New Roman" w:hAnsi="Times New Roman"/>
          <w:sz w:val="18"/>
          <w:szCs w:val="18"/>
        </w:rPr>
        <w:t xml:space="preserve">(10) Weissleder, R. A clearer vision for in vivo imaging. Nat. Biotechnol. 2001, 19, 316–317.</w:t>
      </w:r>
    </w:p>
    <w:p>
      <w:pPr>
        <w:spacing w:after="40" w:before="40"/>
        <w:ind w:left="360" w:hanging="360"/>
        <w:jc w:val="both"/>
      </w:pPr>
      <w:r>
        <w:rPr>
          <w:rFonts w:ascii="Times New Roman" w:cs="Times New Roman" w:eastAsia="Times New Roman" w:hAnsi="Times New Roman"/>
          <w:sz w:val="18"/>
          <w:szCs w:val="18"/>
        </w:rPr>
        <w:t xml:space="preserve">(11) Cao, Y.; Fatemi, V.; Fang, S. et al. Unconventional superconductivity in magic-angle graphene superlattices. Nature 2018, 556, 43–50.</w:t>
      </w:r>
    </w:p>
    <w:p>
      <w:pPr>
        <w:spacing w:after="40" w:before="40"/>
        <w:ind w:left="360" w:hanging="360"/>
        <w:jc w:val="both"/>
      </w:pPr>
      <w:r>
        <w:rPr>
          <w:rFonts w:ascii="Times New Roman" w:cs="Times New Roman" w:eastAsia="Times New Roman" w:hAnsi="Times New Roman"/>
          <w:sz w:val="18"/>
          <w:szCs w:val="18"/>
        </w:rPr>
        <w:t xml:space="preserve">(12) Cassabois, G.; Valvin, P.; Gil, B. Hexagonal boron nitride is an indirect bandgap semiconductor. Nat. Photonics 2016, 10, 262–266.</w:t>
      </w:r>
    </w:p>
    <w:p>
      <w:pPr>
        <w:spacing w:after="40" w:before="40"/>
        <w:ind w:left="360" w:hanging="360"/>
        <w:jc w:val="both"/>
      </w:pPr>
      <w:r>
        <w:rPr>
          <w:rFonts w:ascii="Times New Roman" w:cs="Times New Roman" w:eastAsia="Times New Roman" w:hAnsi="Times New Roman"/>
          <w:sz w:val="18"/>
          <w:szCs w:val="18"/>
        </w:rPr>
        <w:t xml:space="preserve">(13) Gabriel, S.; Lau, R.W.; Gabriel, C. The dielectric properties of biological tissues: III. Parametric models for the dielectric spectrum of tissues. Phys. Med. Biol. 1996, 41, 2271–2293.</w:t>
      </w:r>
    </w:p>
    <w:p>
      <w:pPr>
        <w:spacing w:after="40" w:before="40"/>
        <w:ind w:left="360" w:hanging="360"/>
        <w:jc w:val="both"/>
      </w:pPr>
      <w:r>
        <w:rPr>
          <w:rFonts w:ascii="Times New Roman" w:cs="Times New Roman" w:eastAsia="Times New Roman" w:hAnsi="Times New Roman"/>
          <w:sz w:val="18"/>
          <w:szCs w:val="18"/>
        </w:rPr>
        <w:t xml:space="preserve">(14) Taflove, A.; Hagness, S.C. Computational Electrodynamics: The Finite-Difference Time-Domain Method, 3rd ed.; Artech House: Norwood, MA, 2005.</w:t>
      </w:r>
    </w:p>
    <w:p>
      <w:pPr>
        <w:spacing w:after="40" w:before="40"/>
        <w:ind w:left="360" w:hanging="360"/>
        <w:jc w:val="both"/>
      </w:pPr>
      <w:r>
        <w:rPr>
          <w:rFonts w:ascii="Times New Roman" w:cs="Times New Roman" w:eastAsia="Times New Roman" w:hAnsi="Times New Roman"/>
          <w:sz w:val="18"/>
          <w:szCs w:val="18"/>
        </w:rPr>
        <w:t xml:space="preserve">(15) Born, M.; Wolf, E. Principles of Optics, 7th ed.; Cambridge University Press: Cambridge, 1999.</w:t>
      </w:r>
    </w:p>
    <w:p>
      <w:pPr>
        <w:spacing w:after="40" w:before="40"/>
        <w:ind w:left="360" w:hanging="360"/>
        <w:jc w:val="both"/>
      </w:pPr>
      <w:r>
        <w:rPr>
          <w:rFonts w:ascii="Times New Roman" w:cs="Times New Roman" w:eastAsia="Times New Roman" w:hAnsi="Times New Roman"/>
          <w:sz w:val="18"/>
          <w:szCs w:val="18"/>
        </w:rPr>
        <w:t xml:space="preserve">(16) Pozar, D.M. Microwave Engineering, 4th ed.; Wiley: Hoboken, NJ, 2011.</w:t>
      </w:r>
    </w:p>
    <w:p>
      <w:pPr>
        <w:spacing w:after="40" w:before="40"/>
        <w:ind w:left="360" w:hanging="360"/>
        <w:jc w:val="both"/>
      </w:pPr>
      <w:r>
        <w:rPr>
          <w:rFonts w:ascii="Times New Roman" w:cs="Times New Roman" w:eastAsia="Times New Roman" w:hAnsi="Times New Roman"/>
          <w:sz w:val="18"/>
          <w:szCs w:val="18"/>
        </w:rPr>
        <w:t xml:space="preserve">(17) Yee, K.S. Numerical solution of initial boundary value problems involving Maxwell's equations in isotropic media. IEEE Trans. Antennas Propag. 1966, 14, 302–307.</w:t>
      </w:r>
    </w:p>
    <w:p>
      <w:pPr>
        <w:spacing w:after="40" w:before="40"/>
        <w:ind w:left="360" w:hanging="360"/>
        <w:jc w:val="both"/>
      </w:pPr>
      <w:r>
        <w:rPr>
          <w:rFonts w:ascii="Times New Roman" w:cs="Times New Roman" w:eastAsia="Times New Roman" w:hAnsi="Times New Roman"/>
          <w:sz w:val="18"/>
          <w:szCs w:val="18"/>
        </w:rPr>
        <w:t xml:space="preserve">(18) Oskooi, A.F.; Roundy, D.; Ibanescu, M. et al. MEEP: A flexible free-software package for electromagnetic simulations by the FDTD method. Comput. Phys. Commun. 2010, 181, 687–702.</w:t>
      </w:r>
    </w:p>
    <w:p>
      <w:pPr>
        <w:spacing w:after="40" w:before="40"/>
        <w:ind w:left="360" w:hanging="360"/>
        <w:jc w:val="both"/>
      </w:pPr>
      <w:r>
        <w:rPr>
          <w:rFonts w:ascii="Times New Roman" w:cs="Times New Roman" w:eastAsia="Times New Roman" w:hAnsi="Times New Roman"/>
          <w:sz w:val="18"/>
          <w:szCs w:val="18"/>
        </w:rPr>
        <w:t xml:space="preserve">(19) Åström, K.J.; Hägglund, T. Advanced PID Control; ISA: Research Triangle Park, NC, 2006.</w:t>
      </w:r>
    </w:p>
    <w:p>
      <w:pPr>
        <w:spacing w:after="40" w:before="40"/>
        <w:ind w:left="360" w:hanging="360"/>
        <w:jc w:val="both"/>
      </w:pPr>
      <w:r>
        <w:rPr>
          <w:rFonts w:ascii="Times New Roman" w:cs="Times New Roman" w:eastAsia="Times New Roman" w:hAnsi="Times New Roman"/>
          <w:sz w:val="18"/>
          <w:szCs w:val="18"/>
        </w:rPr>
        <w:t xml:space="preserve">(20) Loeb, G.E.; Brown, I.E.; Cheng, E.J. A hierarchical foundation for models of sensorimotor control. Exp. Brain Res. 1999, 126, 1–18.</w:t>
      </w:r>
    </w:p>
    <w:p>
      <w:pPr>
        <w:spacing w:after="40" w:before="40"/>
        <w:ind w:left="360" w:hanging="360"/>
        <w:jc w:val="both"/>
      </w:pPr>
      <w:r>
        <w:rPr>
          <w:rFonts w:ascii="Times New Roman" w:cs="Times New Roman" w:eastAsia="Times New Roman" w:hAnsi="Times New Roman"/>
          <w:sz w:val="18"/>
          <w:szCs w:val="18"/>
        </w:rPr>
        <w:t xml:space="preserve">(21) Kandel, E.R.; Schwartz, J.H.; Jessell, T.M. Principles of Neural Science, 5th ed.; McGraw-Hill: New York, 2012.</w:t>
      </w:r>
    </w:p>
    <w:p>
      <w:pPr>
        <w:spacing w:after="40" w:before="40"/>
        <w:ind w:left="360" w:hanging="360"/>
        <w:jc w:val="both"/>
      </w:pPr>
      <w:r>
        <w:rPr>
          <w:rFonts w:ascii="Times New Roman" w:cs="Times New Roman" w:eastAsia="Times New Roman" w:hAnsi="Times New Roman"/>
          <w:sz w:val="18"/>
          <w:szCs w:val="18"/>
        </w:rPr>
        <w:t xml:space="preserve">(22) ICNIRP. Guidelines for limiting exposure to electromagnetic fields (100 kHz to 300 GHz). Health Phys. 2020, 118, 483–524.</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A3C6E"/>
      <w:sz w:val="26"/>
      <w:szCs w:val="26"/>
    </w:rPr>
  </w:style>
  <w:style w:type="paragraph" w:styleId="Heading2">
    <w:name w:val="Heading 2"/>
    <w:basedOn w:val="Normal"/>
    <w:next w:val="Normal"/>
    <w:qFormat/>
    <w:pPr>
      <w:spacing w:after="70" w:before="200"/>
      <w:outlineLvl w:val="1"/>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8ceefdaaa46baaf26bc3f650f093bf4fd8132b.png"/><Relationship Id="rId9" Type="http://schemas.openxmlformats.org/officeDocument/2006/relationships/image" Target="media/5d42e14f84f30d0aaa8f0d9a222e2e343f0373c2.png"/><Relationship Id="rId10" Type="http://schemas.openxmlformats.org/officeDocument/2006/relationships/image" Target="media/7d8d67522e92519cbdbf9710b0b901ed5fa92860.png"/><Relationship Id="rId11" Type="http://schemas.openxmlformats.org/officeDocument/2006/relationships/image" Target="media/4b457c36cd980176708ad3db058b7b15a602b5c3.png"/><Relationship Id="rId12" Type="http://schemas.openxmlformats.org/officeDocument/2006/relationships/image" Target="media/a89a71270c7eb645c6428e253040d89b77b4ff8e.png"/><Relationship Id="rId13" Type="http://schemas.openxmlformats.org/officeDocument/2006/relationships/image" Target="media/af99cc1b437bf06b143c5f244c49743524d4010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2026-04-22T11:07:34.730Z</dcterms:created>
  <dcterms:modified xsi:type="dcterms:W3CDTF">2026-04-22T11:07:34.730Z</dcterms:modified>
</cp:coreProperties>
</file>

<file path=docProps/custom.xml><?xml version="1.0" encoding="utf-8"?>
<Properties xmlns="http://schemas.openxmlformats.org/officeDocument/2006/custom-properties" xmlns:vt="http://schemas.openxmlformats.org/officeDocument/2006/docPropsVTypes"/>
</file>