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Wave-Based Neuromorphic Physical AI for Full-Body Humanoid Control:</w:t>
      </w:r>
    </w:p>
    <w:p>
      <w:pPr>
        <w:spacing w:after="240" w:before="0"/>
        <w:jc w:val="center"/>
      </w:pPr>
      <w:r>
        <w:rPr>
          <w:rFonts w:ascii="Times New Roman" w:cs="Times New Roman" w:eastAsia="Times New Roman" w:hAnsi="Times New Roman"/>
          <w:b/>
          <w:bCs/>
          <w:sz w:val="28"/>
          <w:szCs w:val="28"/>
        </w:rPr>
        <w:t xml:space="preserve">Distributed hBN Synapse Cavity Networks Mimicking Spinal, Peripheral, and Autonomic Neural Architecture</w:t>
      </w:r>
    </w:p>
    <w:p>
      <w:pPr>
        <w:spacing w:after="60" w:before="0"/>
        <w:jc w:val="center"/>
      </w:pPr>
      <w:r>
        <w:rPr>
          <w:rFonts w:ascii="Times New Roman" w:cs="Times New Roman" w:eastAsia="Times New Roman" w:hAnsi="Times New Roman"/>
          <w:b/>
          <w:bCs/>
          <w:sz w:val="22"/>
          <w:szCs w:val="22"/>
        </w:rPr>
        <w:t xml:space="preserve">Chur Chin</w:t>
      </w:r>
      <w:r>
        <w:rPr>
          <w:rFonts w:ascii="Times New Roman" w:cs="Times New Roman" w:eastAsia="Times New Roman" w:hAnsi="Times New Roman"/>
          <w:sz w:val="16"/>
          <w:szCs w:val="16"/>
          <w:vertAlign w:val="superscript"/>
        </w:rPr>
        <w:t xml:space="preserve">a,*</w:t>
      </w:r>
    </w:p>
    <w:p>
      <w:pPr>
        <w:spacing w:after="60" w:before="0"/>
        <w:jc w:val="center"/>
      </w:pPr>
      <w:r>
        <w:rPr>
          <w:rFonts w:ascii="Times New Roman" w:cs="Times New Roman" w:eastAsia="Times New Roman" w:hAnsi="Times New Roman"/>
          <w:sz w:val="18"/>
          <w:szCs w:val="18"/>
          <w:vertAlign w:val="superscript"/>
        </w:rPr>
        <w:t xml:space="preserve">ᵃ</w:t>
      </w:r>
      <w:r>
        <w:rPr>
          <w:rFonts w:ascii="Times New Roman" w:cs="Times New Roman" w:eastAsia="Times New Roman" w:hAnsi="Times New Roman"/>
          <w:sz w:val="18"/>
          <w:szCs w:val="18"/>
        </w:rPr>
        <w:t xml:space="preserve">Department of Family Medicine, Dong-eui Medical Center, Busan 47227, Republic of Korea</w:t>
      </w:r>
    </w:p>
    <w:p>
      <w:pPr>
        <w:spacing w:after="240" w:before="0"/>
        <w:jc w:val="center"/>
      </w:pPr>
      <w:r>
        <w:rPr>
          <w:rFonts w:ascii="Times New Roman" w:cs="Times New Roman" w:eastAsia="Times New Roman" w:hAnsi="Times New Roman"/>
          <w:i/>
          <w:iCs/>
          <w:sz w:val="18"/>
          <w:szCs w:val="18"/>
        </w:rPr>
        <w:t xml:space="preserve">*Electronic mail: chur.chin@dmc.or.kr</w:t>
      </w:r>
    </w:p>
    <w:p>
      <w:pPr>
        <w:spacing w:after="60" w:before="0"/>
      </w:pPr>
      <w:r>
        <w:rPr>
          <w:rFonts w:ascii="Times New Roman" w:cs="Times New Roman" w:eastAsia="Times New Roman" w:hAnsi="Times New Roman"/>
          <w:b/>
          <w:bCs/>
          <w:sz w:val="22"/>
          <w:szCs w:val="22"/>
        </w:rPr>
        <w:t xml:space="preserve">ABSTRACT</w:t>
      </w:r>
    </w:p>
    <w:p>
      <w:pPr>
        <w:spacing w:after="120" w:before="0" w:line="276" w:lineRule="auto"/>
        <w:jc w:val="both"/>
      </w:pPr>
      <w:r>
        <w:rPr>
          <w:rFonts w:ascii="Times New Roman" w:cs="Times New Roman" w:eastAsia="Times New Roman" w:hAnsi="Times New Roman"/>
          <w:sz w:val="20"/>
          <w:szCs w:val="20"/>
        </w:rPr>
        <w:t xml:space="preserve">We present a unified physical AI architecture for full-body humanoid control based on distributed hexagonal boron nitride (hBN) synaptic cavities interconnected by serpentine waveguide networks. Inspired by the tripartite organisation of the biological nervous system — spinal cord, peripheral plexuses, and autonomic ganglia — the proposed framework maps wave interference directly onto motor computation without discrete digital processing. The central cavity (head) performs global wave interference analogous to spinal cord integration; modular peripheral cavities at each joint implement local reflex processing; and serpentine inter-cavity waveguides mimic the brachial plexus (C5–T1) and sciatic nerve (L4–S3) branching topology. The hBN memristor stack (8–18 atomic layers, CVD-grown, flexible PET substrate) provides attojoule-per-event synaptic switching and broadband tactile sensing up to the MHz regime via 23.5° twist-angle moiré phonon-polariton enhancement. A hierarchical control architecture integrating a high-level GR00T planning module with the real-time distributed wave system is formalised, including a wave-parameter mapping layer, Time-Sensitive Networking (TSN) communication protocol, and a Von Mises / Particle-Filter phase-tracking pipeline achieving sub-millisecond reflex latency. Simulation results confirm XOR-gate physical logic, Kepler-scaling echo memory (T∝ L</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sz w:val="20"/>
          <w:szCs w:val="20"/>
        </w:rPr>
        <w:t xml:space="preserve">), and &gt;98% classification accuracy at the optimal operating point (α = 0.88, Q = 10</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This work establishes the theoretical and engineering foundation for a Physical AI humanoid whose nervous system is implemented entirely in the wave dynamics of a 2D-material heterostructure, with direct implications for energy-efficient robotics, neuromorphic prosthetics, and distributed embedded intelligence.</w:t>
      </w:r>
    </w:p>
    <w:p>
      <w:pPr>
        <w:spacing w:after="60" w:before="0"/>
      </w:pPr>
      <w:r>
        <w:t xml:space="preserve"/>
      </w:r>
    </w:p>
    <w:p>
      <w:pPr>
        <w:spacing w:after="240" w:before="0" w:line="276" w:lineRule="auto"/>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Physical AI; hBN memristor; serpentine waveguide; neuromorphic computing; humanoid control; brachial plexus; sciatic nerve; wave interference; moiré synapse; distributed cavity network; spinal cord architecture; reflex loop; Von Mises filter; THz plasmonics; reservoir computing</w:t>
      </w:r>
    </w:p>
    <w:p>
      <w:pPr>
        <w:spacing w:after="120" w:before="240"/>
      </w:pPr>
      <w:r>
        <w:rPr>
          <w:rFonts w:ascii="Times New Roman" w:cs="Times New Roman" w:eastAsia="Times New Roman" w:hAnsi="Times New Roman"/>
          <w:b/>
          <w:bCs/>
          <w:sz w:val="24"/>
          <w:szCs w:val="24"/>
        </w:rPr>
        <w:t xml:space="preserve">I.  INTRODUCTION</w:t>
      </w:r>
    </w:p>
    <w:p>
      <w:pPr>
        <w:spacing w:after="120" w:before="0" w:line="276" w:lineRule="auto"/>
        <w:jc w:val="both"/>
      </w:pPr>
      <w:r>
        <w:rPr>
          <w:rFonts w:ascii="Times New Roman" w:cs="Times New Roman" w:eastAsia="Times New Roman" w:hAnsi="Times New Roman"/>
          <w:sz w:val="20"/>
          <w:szCs w:val="20"/>
        </w:rPr>
        <w:t xml:space="preserve">Modern humanoid robots rely on centralised GPU clusters for motor inference, consuming watts per joint and introducing latencies that preclude biological-speed reflexes.</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sz w:val="20"/>
          <w:szCs w:val="20"/>
        </w:rPr>
        <w:t xml:space="preserve"> The von Neumann bottleneck — shuttling data between processor and memory — accounts for over 60% of computing energy in contemporary robotic controllers.</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sz w:val="20"/>
          <w:szCs w:val="20"/>
        </w:rPr>
        <w:t xml:space="preserve"> Reservoir computing offers a compelling alternative: exploit the intrinsic dynamics of a physical medium as a distributed, continuously updated memory, reading out motor commands without discrete digital logic.</w:t>
      </w:r>
      <w:r>
        <w:rPr>
          <w:rFonts w:ascii="Times New Roman" w:cs="Times New Roman" w:eastAsia="Times New Roman" w:hAnsi="Times New Roman"/>
          <w:sz w:val="16"/>
          <w:szCs w:val="16"/>
          <w:vertAlign w:val="superscript"/>
        </w:rPr>
        <w:t xml:space="preserve">4,5</w:t>
      </w:r>
    </w:p>
    <w:p>
      <w:pPr>
        <w:spacing w:after="120" w:before="0" w:line="276" w:lineRule="auto"/>
        <w:jc w:val="both"/>
      </w:pPr>
      <w:r>
        <w:rPr>
          <w:rFonts w:ascii="Times New Roman" w:cs="Times New Roman" w:eastAsia="Times New Roman" w:hAnsi="Times New Roman"/>
          <w:sz w:val="20"/>
          <w:szCs w:val="20"/>
        </w:rPr>
        <w:t xml:space="preserve">Graphene–hBN moiré heterostructures support THz/IR plasmon-polariton modes with exceptional field confinement and gate-tunability at ~10</w:t>
      </w:r>
      <w:r>
        <w:rPr>
          <w:rFonts w:ascii="Times New Roman" w:cs="Times New Roman" w:eastAsia="Times New Roman" w:hAnsi="Times New Roman"/>
          <w:sz w:val="16"/>
          <w:szCs w:val="16"/>
          <w:vertAlign w:val="superscript"/>
        </w:rPr>
        <w:t xml:space="preserve">−11</w:t>
      </w:r>
      <w:r>
        <w:rPr>
          <w:rFonts w:ascii="Times New Roman" w:cs="Times New Roman" w:eastAsia="Times New Roman" w:hAnsi="Times New Roman"/>
          <w:sz w:val="20"/>
          <w:szCs w:val="20"/>
        </w:rPr>
        <w:t xml:space="preserve"> J/operation, making them ideal substrates for physical reservoir computing.</w:t>
      </w:r>
      <w:r>
        <w:rPr>
          <w:rFonts w:ascii="Times New Roman" w:cs="Times New Roman" w:eastAsia="Times New Roman" w:hAnsi="Times New Roman"/>
          <w:sz w:val="16"/>
          <w:szCs w:val="16"/>
          <w:vertAlign w:val="superscript"/>
        </w:rPr>
        <w:t xml:space="preserve">6,7</w:t>
      </w:r>
      <w:r>
        <w:rPr>
          <w:rFonts w:ascii="Times New Roman" w:cs="Times New Roman" w:eastAsia="Times New Roman" w:hAnsi="Times New Roman"/>
          <w:sz w:val="20"/>
          <w:szCs w:val="20"/>
        </w:rPr>
        <w:t xml:space="preserve"> The serpentine channel geometry implements spatiotemporal memory with echo dynamics scaling as T∝L</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sz w:val="20"/>
          <w:szCs w:val="20"/>
        </w:rPr>
        <w:t xml:space="preserve">, a Keplerian analogy derived in prior work.</w:t>
      </w:r>
      <w:r>
        <w:rPr>
          <w:rFonts w:ascii="Times New Roman" w:cs="Times New Roman" w:eastAsia="Times New Roman" w:hAnsi="Times New Roman"/>
          <w:sz w:val="16"/>
          <w:szCs w:val="16"/>
          <w:vertAlign w:val="superscript"/>
        </w:rPr>
        <w:t xml:space="preserve">8,9</w:t>
      </w:r>
    </w:p>
    <w:p>
      <w:pPr>
        <w:spacing w:after="120" w:before="0" w:line="276" w:lineRule="auto"/>
        <w:jc w:val="both"/>
      </w:pPr>
      <w:r>
        <w:rPr>
          <w:rFonts w:ascii="Times New Roman" w:cs="Times New Roman" w:eastAsia="Times New Roman" w:hAnsi="Times New Roman"/>
          <w:sz w:val="20"/>
          <w:szCs w:val="20"/>
        </w:rPr>
        <w:t xml:space="preserve">In this work we make a conceptually distinct advance: we deploy hBN synaptic cavities not in a single head-mounted module but throughout the entire humanoid body, forming a body-wide distributed cavity network whose wave dynamics directly compute and transmit motor commands. The architecture is explicitly mapped onto three tiers of the biological nervous system: (i) a central spinal-cord analogue performing global interference and reflex pattern generation; (ii) peripheral nerve analogues — brachial plexus and sciatic nerve — implemented as serpentine waveguide bundles branching to each joint; and (iii) autonomic ganglion analogues as threshold cavity nodes providing slow modulatory control.</w:t>
      </w:r>
      <w:r>
        <w:rPr>
          <w:rFonts w:ascii="Times New Roman" w:cs="Times New Roman" w:eastAsia="Times New Roman" w:hAnsi="Times New Roman"/>
          <w:sz w:val="16"/>
          <w:szCs w:val="16"/>
          <w:vertAlign w:val="superscript"/>
        </w:rPr>
        <w:t xml:space="preserve">10,11</w:t>
      </w:r>
    </w:p>
    <w:p>
      <w:pPr>
        <w:spacing w:after="120" w:before="0" w:line="276" w:lineRule="auto"/>
        <w:jc w:val="both"/>
      </w:pPr>
      <w:r>
        <w:rPr>
          <w:rFonts w:ascii="Times New Roman" w:cs="Times New Roman" w:eastAsia="Times New Roman" w:hAnsi="Times New Roman"/>
          <w:sz w:val="20"/>
          <w:szCs w:val="20"/>
        </w:rPr>
        <w:t xml:space="preserve">This paper presents the complete mathematical framework, architecture design, communication protocol, phase-tracking pipeline, and simulation validation of the proposed system. Section II formalises the wave computation model. Section III describes the three-tier cavity architecture. Section IV presents the hierarchical GR00T–Wave hybrid controller. Section V details the hBN synapse stack and moiré physics. Section VI covers simulation results. Sections VII and VIII discuss implications and conclude.</w:t>
      </w:r>
    </w:p>
    <w:p>
      <w:pPr>
        <w:spacing w:after="120" w:before="240"/>
      </w:pPr>
      <w:r>
        <w:rPr>
          <w:rFonts w:ascii="Times New Roman" w:cs="Times New Roman" w:eastAsia="Times New Roman" w:hAnsi="Times New Roman"/>
          <w:b/>
          <w:bCs/>
          <w:sz w:val="24"/>
          <w:szCs w:val="24"/>
        </w:rPr>
        <w:t xml:space="preserve">II.  WAVE COMPUTATION MODEL</w:t>
      </w:r>
    </w:p>
    <w:p>
      <w:pPr>
        <w:spacing w:after="60" w:before="180"/>
      </w:pPr>
      <w:r>
        <w:rPr>
          <w:rFonts w:ascii="Times New Roman" w:cs="Times New Roman" w:eastAsia="Times New Roman" w:hAnsi="Times New Roman"/>
          <w:b/>
          <w:bCs/>
          <w:i/>
          <w:iCs/>
          <w:sz w:val="22"/>
          <w:szCs w:val="22"/>
        </w:rPr>
        <w:t xml:space="preserve">A.  Physical XOR Gate via Wave Interference</w:t>
      </w:r>
    </w:p>
    <w:p>
      <w:pPr>
        <w:spacing w:after="120" w:before="0" w:line="276" w:lineRule="auto"/>
        <w:jc w:val="both"/>
      </w:pPr>
      <w:r>
        <w:rPr>
          <w:rFonts w:ascii="Times New Roman" w:cs="Times New Roman" w:eastAsia="Times New Roman" w:hAnsi="Times New Roman"/>
          <w:sz w:val="20"/>
          <w:szCs w:val="20"/>
        </w:rPr>
        <w:t xml:space="preserve">The fundamental computational primitive is a wave-based XOR gate realised through constructive and destructive interference. Two input waves carry amplitudes A and phases φ</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20"/>
          <w:szCs w:val="20"/>
        </w:rPr>
        <w:t xml:space="preserve">, φ</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20"/>
          <w:szCs w:val="20"/>
        </w:rPr>
        <w:t xml:space="preserve">; the output intensity is</w:t>
      </w:r>
    </w:p>
    <w:p>
      <w:pPr>
        <w:spacing w:after="60" w:before="60"/>
        <w:jc w:val="center"/>
      </w:pPr>
      <w:r>
        <w:rPr>
          <w:rFonts w:ascii="Cambria Math" w:cs="Cambria Math" w:eastAsia="Cambria Math" w:hAnsi="Cambria Math"/>
          <w:i/>
          <w:iCs/>
          <w:sz w:val="20"/>
          <w:szCs w:val="20"/>
        </w:rPr>
        <w:t xml:space="preserve">Iᵒᵘᵗ = |Aeⁱφ₁ + Beⁱφ₂|²</w:t>
      </w:r>
    </w:p>
    <w:p>
      <w:pPr>
        <w:spacing w:after="120" w:before="0" w:line="276" w:lineRule="auto"/>
        <w:jc w:val="both"/>
      </w:pPr>
      <w:r>
        <w:rPr>
          <w:rFonts w:ascii="Times New Roman" w:cs="Times New Roman" w:eastAsia="Times New Roman" w:hAnsi="Times New Roman"/>
          <w:sz w:val="20"/>
          <w:szCs w:val="20"/>
        </w:rPr>
        <w:t xml:space="preserve">XOR logic emerges when both inputs are present with relative phase Δφ = π: destructive interference drives Iᵒᵘᵗ 0, implementing the (1, 1) →0 entry. Table I summarises the complete truth table.</w:t>
      </w:r>
      <w:r>
        <w:rPr>
          <w:rFonts w:ascii="Times New Roman" w:cs="Times New Roman" w:eastAsia="Times New Roman" w:hAnsi="Times New Roman"/>
          <w:sz w:val="16"/>
          <w:szCs w:val="16"/>
          <w:vertAlign w:val="superscript"/>
        </w:rPr>
        <w:t xml:space="preserve">12,13</w:t>
      </w:r>
    </w:p>
    <w:p>
      <w:pPr>
        <w:spacing w:after="60" w:before="0"/>
      </w:pPr>
      <w:r>
        <w:t xml:space="preserve"/>
      </w:r>
    </w:p>
    <w:p>
      <w:pPr>
        <w:spacing w:after="60" w:before="0"/>
      </w:pPr>
      <w:r>
        <w:rPr>
          <w:rFonts w:ascii="Times New Roman" w:cs="Times New Roman" w:eastAsia="Times New Roman" w:hAnsi="Times New Roman"/>
          <w:b/>
          <w:bCs/>
          <w:sz w:val="20"/>
          <w:szCs w:val="20"/>
        </w:rPr>
        <w:t xml:space="preserve">TABLE I. </w:t>
      </w:r>
      <w:r>
        <w:rPr>
          <w:rFonts w:ascii="Times New Roman" w:cs="Times New Roman" w:eastAsia="Times New Roman" w:hAnsi="Times New Roman"/>
          <w:sz w:val="20"/>
          <w:szCs w:val="20"/>
        </w:rPr>
        <w:t xml:space="preserve">Physical XOR gate truth table implemented by wave interference in the hBN serpentine cavity.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340"/>
        <w:gridCol w:w="2340"/>
      </w:tblGrid>
      <w:tr>
        <w:tc>
          <w:tcPr>
            <w:tcW w:type="dxa" w:w="156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Input A</w:t>
            </w:r>
          </w:p>
        </w:tc>
        <w:tc>
          <w:tcPr>
            <w:tcW w:type="dxa" w:w="156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Input B</w:t>
            </w:r>
          </w:p>
        </w:tc>
        <w:tc>
          <w:tcPr>
            <w:tcW w:type="dxa" w:w="156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Output (XOR)</w:t>
            </w:r>
          </w:p>
        </w:tc>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Interference</w:t>
            </w:r>
          </w:p>
        </w:tc>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Physical Mechanism</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None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 input</w:t>
            </w:r>
          </w:p>
        </w:tc>
      </w:tr>
      <w:tr>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Single-source</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Route 0 dominant</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Single-source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Route 1 dominant</w:t>
            </w:r>
          </w:p>
        </w:tc>
      </w:tr>
      <w:tr>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Destructive (Δφ=π)</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Complete cancellation</w:t>
            </w:r>
          </w:p>
        </w:tc>
      </w:tr>
    </w:tbl>
    <w:p>
      <w:pPr>
        <w:spacing w:after="120" w:before="0"/>
      </w:pPr>
      <w:r>
        <w:t xml:space="preserve"/>
      </w:r>
    </w:p>
    <w:p>
      <w:pPr>
        <w:pBdr>
          <w:top w:val="single" w:color="AAAAAA" w:sz="1"/>
          <w:bottom w:val="single" w:color="AAAAAA" w:sz="1"/>
          <w:left w:val="single" w:color="AAAAAA" w:sz="1"/>
          <w:right w:val="single" w:color="AAAAAA" w:sz="1"/>
        </w:pBdr>
        <w:shd w:fill="F0F4F8" w:val="clear"/>
        <w:spacing w:after="60" w:before="120"/>
        <w:jc w:val="left"/>
      </w:pPr>
      <w:r>
        <w:rPr>
          <w:rFonts w:ascii="Courier New" w:cs="Courier New" w:eastAsia="Courier New" w:hAnsi="Courier New"/>
          <w:b/>
          <w:bCs/>
          <w:sz w:val="20"/>
          <w:szCs w:val="20"/>
        </w:rPr>
        <w:t xml:space="preserve">FIGURE 1: Wave XOR Gate Architecture</w:t>
      </w:r>
      <w:r>
        <w:rPr>
          <w:rFonts w:ascii="Courier New" w:cs="Courier New" w:eastAsia="Courier New" w:hAnsi="Courier New"/>
          <w:sz w:val="18"/>
          <w:szCs w:val="18"/>
        </w:rPr>
        <w:br/>
        <w:t xml:space="preserve">  [Input A: phase φ₁] ----\</w:t>
        <w:br/>
        <w:t xml:space="preserve">                          &gt;--- [hBN Synapse Region] --- [Threshold Detector] --- Output {0,1}</w:t>
        <w:br/>
        <w:t xml:space="preserve">  [Input B: phase φ₂] ----/</w:t>
        <w:br/>
        <w:t xml:space="preserve"/>
        <w:br/>
        <w:t xml:space="preserve">  Δφ = 0  → Constructive interference → I_out &gt; I_thresh → HIGH (1)</w:t>
        <w:br/>
        <w:t xml:space="preserve">  Δφ = π  → Destructive interference → I_out &lt; I_thresh → LOW  (0)</w:t>
      </w:r>
    </w:p>
    <w:p>
      <w:pPr>
        <w:spacing w:after="180" w:before="60"/>
        <w:jc w:val="both"/>
      </w:pPr>
      <w:r>
        <w:rPr>
          <w:rFonts w:ascii="Times New Roman" w:cs="Times New Roman" w:eastAsia="Times New Roman" w:hAnsi="Times New Roman"/>
          <w:i/>
          <w:iCs/>
          <w:sz w:val="18"/>
          <w:szCs w:val="18"/>
        </w:rPr>
        <w:t xml:space="preserve">FIG. 1. Physical XOR gate using wave interference in the hBN serpentine cavity. Input phases φ₁ and φ₂ are set by polarisation-controlled graphene phase shifters. The threshold detector converts the interference intensity directly to binary output without electronic logic.</w:t>
      </w:r>
    </w:p>
    <w:p>
      <w:pPr>
        <w:spacing w:after="60" w:before="180"/>
      </w:pPr>
      <w:r>
        <w:rPr>
          <w:rFonts w:ascii="Times New Roman" w:cs="Times New Roman" w:eastAsia="Times New Roman" w:hAnsi="Times New Roman"/>
          <w:b/>
          <w:bCs/>
          <w:i/>
          <w:iCs/>
          <w:sz w:val="22"/>
          <w:szCs w:val="22"/>
        </w:rPr>
        <w:t xml:space="preserve">B.  Spinal Cord as Wave Summation Processor</w:t>
      </w:r>
    </w:p>
    <w:p>
      <w:pPr>
        <w:spacing w:after="120" w:before="0" w:line="276" w:lineRule="auto"/>
        <w:jc w:val="both"/>
      </w:pPr>
      <w:r>
        <w:rPr>
          <w:rFonts w:ascii="Times New Roman" w:cs="Times New Roman" w:eastAsia="Times New Roman" w:hAnsi="Times New Roman"/>
          <w:sz w:val="20"/>
          <w:szCs w:val="20"/>
        </w:rPr>
        <w:t xml:space="preserve">The spinal cord is modelled as a 2D wave field in which excitatory (EPSP) and inhibitory (IPSP) neural signals map onto constructive and destructive wave interference respectively. The total intensity field at position x is</w:t>
      </w:r>
    </w:p>
    <w:p>
      <w:pPr>
        <w:spacing w:after="60" w:before="60"/>
        <w:jc w:val="center"/>
      </w:pPr>
      <w:r>
        <w:rPr>
          <w:rFonts w:ascii="Cambria Math" w:cs="Cambria Math" w:eastAsia="Cambria Math" w:hAnsi="Cambria Math"/>
          <w:i/>
          <w:iCs/>
          <w:sz w:val="20"/>
          <w:szCs w:val="20"/>
        </w:rPr>
        <w:t xml:space="preserve">I(x) = |Σₖ Aₖ e⁻ⁱφₖ|²</w:t>
      </w:r>
    </w:p>
    <w:p>
      <w:pPr>
        <w:spacing w:after="120" w:before="0" w:line="276" w:lineRule="auto"/>
        <w:jc w:val="both"/>
      </w:pPr>
      <w:r>
        <w:rPr>
          <w:rFonts w:ascii="Times New Roman" w:cs="Times New Roman" w:eastAsia="Times New Roman" w:hAnsi="Times New Roman"/>
          <w:sz w:val="20"/>
          <w:szCs w:val="20"/>
        </w:rPr>
        <w:t xml:space="preserve">This fully-connected summation is performed in O(1) time by the physical propagation of waves through the cavity network, eliminating the O(N²) multiply-accumulate operations required by digital neural networks.</w:t>
      </w:r>
      <w:r>
        <w:rPr>
          <w:rFonts w:ascii="Times New Roman" w:cs="Times New Roman" w:eastAsia="Times New Roman" w:hAnsi="Times New Roman"/>
          <w:sz w:val="16"/>
          <w:szCs w:val="16"/>
          <w:vertAlign w:val="superscript"/>
        </w:rPr>
        <w:t xml:space="preserve">4</w:t>
      </w:r>
    </w:p>
    <w:p>
      <w:pPr>
        <w:spacing w:after="60" w:before="180"/>
      </w:pPr>
      <w:r>
        <w:rPr>
          <w:rFonts w:ascii="Times New Roman" w:cs="Times New Roman" w:eastAsia="Times New Roman" w:hAnsi="Times New Roman"/>
          <w:b/>
          <w:bCs/>
          <w:i/>
          <w:iCs/>
          <w:sz w:val="22"/>
          <w:szCs w:val="22"/>
        </w:rPr>
        <w:t xml:space="preserve">C.  Ganglion as Neuromorphic Threshold Gate</w:t>
      </w:r>
    </w:p>
    <w:p>
      <w:pPr>
        <w:spacing w:after="120" w:before="0" w:line="276" w:lineRule="auto"/>
        <w:jc w:val="both"/>
      </w:pPr>
      <w:r>
        <w:rPr>
          <w:rFonts w:ascii="Times New Roman" w:cs="Times New Roman" w:eastAsia="Times New Roman" w:hAnsi="Times New Roman"/>
          <w:sz w:val="20"/>
          <w:szCs w:val="20"/>
        </w:rPr>
        <w:t xml:space="preserve">Each ganglion node implements a nonlinear activation function analogous to the biological preganglionic–postganglionic synapse:</w:t>
      </w:r>
    </w:p>
    <w:p>
      <w:pPr>
        <w:spacing w:after="60" w:before="60"/>
        <w:jc w:val="center"/>
      </w:pPr>
      <w:r>
        <w:rPr>
          <w:rFonts w:ascii="Cambria Math" w:cs="Cambria Math" w:eastAsia="Cambria Math" w:hAnsi="Cambria Math"/>
          <w:i/>
          <w:iCs/>
          <w:sz w:val="20"/>
          <w:szCs w:val="20"/>
        </w:rPr>
        <w:t xml:space="preserve">O = σ(I − θ)</w:t>
      </w:r>
    </w:p>
    <w:p>
      <w:pPr>
        <w:spacing w:after="120" w:before="0" w:line="276" w:lineRule="auto"/>
        <w:jc w:val="both"/>
      </w:pPr>
      <w:r>
        <w:rPr>
          <w:rFonts w:ascii="Times New Roman" w:cs="Times New Roman" w:eastAsia="Times New Roman" w:hAnsi="Times New Roman"/>
          <w:sz w:val="20"/>
          <w:szCs w:val="20"/>
        </w:rPr>
        <w:t xml:space="preserve">where I is the local wave energy, θ is the threshold, and σ is a sigmoid nonlinearity. In hardware, the hBN memristor switching event provides the threshold: when accumulated wave energy exceeds the memristor switching barrier, the resistance state changes, providing a binary output current pulse with ~attojoule energy cost per event.</w:t>
      </w:r>
      <w:r>
        <w:rPr>
          <w:rFonts w:ascii="Times New Roman" w:cs="Times New Roman" w:eastAsia="Times New Roman" w:hAnsi="Times New Roman"/>
          <w:sz w:val="16"/>
          <w:szCs w:val="16"/>
          <w:vertAlign w:val="superscript"/>
        </w:rPr>
        <w:t xml:space="preserve">14,15</w:t>
      </w:r>
    </w:p>
    <w:p>
      <w:pPr>
        <w:spacing w:after="60" w:before="180"/>
      </w:pPr>
      <w:r>
        <w:rPr>
          <w:rFonts w:ascii="Times New Roman" w:cs="Times New Roman" w:eastAsia="Times New Roman" w:hAnsi="Times New Roman"/>
          <w:b/>
          <w:bCs/>
          <w:i/>
          <w:iCs/>
          <w:sz w:val="22"/>
          <w:szCs w:val="22"/>
        </w:rPr>
        <w:t xml:space="preserve">D.  Autonomic Modulation via Slow Phase Drift</w:t>
      </w:r>
    </w:p>
    <w:p>
      <w:pPr>
        <w:spacing w:after="120" w:before="0" w:line="276" w:lineRule="auto"/>
        <w:jc w:val="both"/>
      </w:pPr>
      <w:r>
        <w:rPr>
          <w:rFonts w:ascii="Times New Roman" w:cs="Times New Roman" w:eastAsia="Times New Roman" w:hAnsi="Times New Roman"/>
          <w:sz w:val="20"/>
          <w:szCs w:val="20"/>
        </w:rPr>
        <w:t xml:space="preserve">Autonomic control is modelled as a slow time-varying phase offset superimposed on the reflex carrier:</w:t>
      </w:r>
    </w:p>
    <w:p>
      <w:pPr>
        <w:spacing w:after="60" w:before="60"/>
        <w:jc w:val="center"/>
      </w:pPr>
      <w:r>
        <w:rPr>
          <w:rFonts w:ascii="Cambria Math" w:cs="Cambria Math" w:eastAsia="Cambria Math" w:hAnsi="Cambria Math"/>
          <w:i/>
          <w:iCs/>
          <w:sz w:val="20"/>
          <w:szCs w:val="20"/>
        </w:rPr>
        <w:t xml:space="preserve">φ(t) = φ₀ + ωt + Δφₐᵤᵗᵒ</w:t>
      </w:r>
    </w:p>
    <w:p>
      <w:pPr>
        <w:spacing w:after="120" w:before="0" w:line="276" w:lineRule="auto"/>
        <w:jc w:val="both"/>
      </w:pPr>
      <w:r>
        <w:rPr>
          <w:rFonts w:ascii="Times New Roman" w:cs="Times New Roman" w:eastAsia="Times New Roman" w:hAnsi="Times New Roman"/>
          <w:sz w:val="20"/>
          <w:szCs w:val="20"/>
        </w:rPr>
        <w:t xml:space="preserve">This produces a slowly varying baseline tone that modulates reflex gain independently of fast spinal processing, mimicking the sympathetic/parasympathetic balance in biological autonomic regulation.</w:t>
      </w:r>
      <w:r>
        <w:rPr>
          <w:rFonts w:ascii="Times New Roman" w:cs="Times New Roman" w:eastAsia="Times New Roman" w:hAnsi="Times New Roman"/>
          <w:sz w:val="16"/>
          <w:szCs w:val="16"/>
          <w:vertAlign w:val="superscript"/>
        </w:rPr>
        <w:t xml:space="preserve">16</w:t>
      </w:r>
    </w:p>
    <w:p>
      <w:pPr>
        <w:spacing w:after="120" w:before="240"/>
      </w:pPr>
      <w:r>
        <w:rPr>
          <w:rFonts w:ascii="Times New Roman" w:cs="Times New Roman" w:eastAsia="Times New Roman" w:hAnsi="Times New Roman"/>
          <w:b/>
          <w:bCs/>
          <w:sz w:val="24"/>
          <w:szCs w:val="24"/>
        </w:rPr>
        <w:t xml:space="preserve">III.  THREE-TIER DISTRIBUTED CAVITY ARCHITECTURE</w:t>
      </w:r>
    </w:p>
    <w:p>
      <w:pPr>
        <w:spacing w:after="60" w:before="180"/>
      </w:pPr>
      <w:r>
        <w:rPr>
          <w:rFonts w:ascii="Times New Roman" w:cs="Times New Roman" w:eastAsia="Times New Roman" w:hAnsi="Times New Roman"/>
          <w:b/>
          <w:bCs/>
          <w:i/>
          <w:iCs/>
          <w:sz w:val="22"/>
          <w:szCs w:val="22"/>
        </w:rPr>
        <w:t xml:space="preserve">A.  Core Cavity: Central Hub (Head)</w:t>
      </w:r>
    </w:p>
    <w:p>
      <w:pPr>
        <w:spacing w:after="120" w:before="0" w:line="276" w:lineRule="auto"/>
        <w:jc w:val="both"/>
      </w:pPr>
      <w:r>
        <w:rPr>
          <w:rFonts w:ascii="Times New Roman" w:cs="Times New Roman" w:eastAsia="Times New Roman" w:hAnsi="Times New Roman"/>
          <w:sz w:val="20"/>
          <w:szCs w:val="20"/>
        </w:rPr>
        <w:t xml:space="preserve">The head-mounted central cavity (~10–15 cm³) hosts the highest-density hBN crossbar array (&gt;10⁴ memristor elements) and performs global wave interference equivalent to spinal cord integration. A master clock wave broadcast at THz frequency synchronises all peripheral cavities via phase-locking, analogous to the descending reticulospinal tracts.</w:t>
      </w:r>
      <w:r>
        <w:rPr>
          <w:rFonts w:ascii="Times New Roman" w:cs="Times New Roman" w:eastAsia="Times New Roman" w:hAnsi="Times New Roman"/>
          <w:sz w:val="16"/>
          <w:szCs w:val="16"/>
          <w:vertAlign w:val="superscript"/>
        </w:rPr>
        <w:t xml:space="preserve">17</w:t>
      </w:r>
    </w:p>
    <w:p>
      <w:pPr>
        <w:spacing w:after="60" w:before="180"/>
      </w:pPr>
      <w:r>
        <w:rPr>
          <w:rFonts w:ascii="Times New Roman" w:cs="Times New Roman" w:eastAsia="Times New Roman" w:hAnsi="Times New Roman"/>
          <w:b/>
          <w:bCs/>
          <w:i/>
          <w:iCs/>
          <w:sz w:val="22"/>
          <w:szCs w:val="22"/>
        </w:rPr>
        <w:t xml:space="preserve">B.  Peripheral Cavity Modules: Limb Nodes</w:t>
      </w:r>
    </w:p>
    <w:p>
      <w:pPr>
        <w:spacing w:after="120" w:before="0" w:line="276" w:lineRule="auto"/>
        <w:jc w:val="both"/>
      </w:pPr>
      <w:r>
        <w:rPr>
          <w:rFonts w:ascii="Times New Roman" w:cs="Times New Roman" w:eastAsia="Times New Roman" w:hAnsi="Times New Roman"/>
          <w:sz w:val="20"/>
          <w:szCs w:val="20"/>
        </w:rPr>
        <w:t xml:space="preserve">Modular cavities (2–5 cm³ each, flexible hBN film on PET substrate) are implanted at functional anatomical landmarks: shoulder, elbow, and wrist for the upper limb; hip, knee, and ankle for the lower limb; and four to six nodes along the thoracolumbar spine. Each peripheral cavity performs local sensory-motor interference, implementing STDP (spike-timing-dependent plasticity) and LTP/LTD analogues through the hBN memristor hysteresis. This enables autonomous joint-level reflexes without latency from the central hub.</w:t>
      </w:r>
      <w:r>
        <w:rPr>
          <w:rFonts w:ascii="Times New Roman" w:cs="Times New Roman" w:eastAsia="Times New Roman" w:hAnsi="Times New Roman"/>
          <w:sz w:val="16"/>
          <w:szCs w:val="16"/>
          <w:vertAlign w:val="superscript"/>
        </w:rPr>
        <w:t xml:space="preserve">18,19</w:t>
      </w:r>
    </w:p>
    <w:p>
      <w:pPr>
        <w:spacing w:after="60" w:before="180"/>
      </w:pPr>
      <w:r>
        <w:rPr>
          <w:rFonts w:ascii="Times New Roman" w:cs="Times New Roman" w:eastAsia="Times New Roman" w:hAnsi="Times New Roman"/>
          <w:b/>
          <w:bCs/>
          <w:i/>
          <w:iCs/>
          <w:sz w:val="22"/>
          <w:szCs w:val="22"/>
        </w:rPr>
        <w:t xml:space="preserve">C.  Inter-Cavity Serpentine Waveguide Backbone</w:t>
      </w:r>
    </w:p>
    <w:p>
      <w:pPr>
        <w:spacing w:after="120" w:before="0" w:line="276" w:lineRule="auto"/>
        <w:jc w:val="both"/>
      </w:pPr>
      <w:r>
        <w:rPr>
          <w:rFonts w:ascii="Times New Roman" w:cs="Times New Roman" w:eastAsia="Times New Roman" w:hAnsi="Times New Roman"/>
          <w:sz w:val="20"/>
          <w:szCs w:val="20"/>
        </w:rPr>
        <w:t xml:space="preserve">Cavities are linked by serpentine waveguide channels routed through the robot frame. Two to three parallel waveguide paths provide redundancy analogous to nerve-fibre bundles, enabling fault-tolerant rerouting if one channel fails. At each branching node — corresponding to brachial or sciatic plexus — Y-junction splitters (120° branch angle) distribute the wave to downstream cavities with tunable phase shifters (hBN-based varactors) for dynamic routing.</w:t>
      </w:r>
      <w:r>
        <w:rPr>
          <w:rFonts w:ascii="Times New Roman" w:cs="Times New Roman" w:eastAsia="Times New Roman" w:hAnsi="Times New Roman"/>
          <w:sz w:val="16"/>
          <w:szCs w:val="16"/>
          <w:vertAlign w:val="superscript"/>
        </w:rPr>
        <w:t xml:space="preserve">20</w:t>
      </w:r>
    </w:p>
    <w:p>
      <w:pPr>
        <w:pBdr>
          <w:top w:val="single" w:color="AAAAAA" w:sz="1"/>
          <w:bottom w:val="single" w:color="AAAAAA" w:sz="1"/>
          <w:left w:val="single" w:color="AAAAAA" w:sz="1"/>
          <w:right w:val="single" w:color="AAAAAA" w:sz="1"/>
        </w:pBdr>
        <w:shd w:fill="F0F4F8" w:val="clear"/>
        <w:spacing w:after="60" w:before="120"/>
        <w:jc w:val="left"/>
      </w:pPr>
      <w:r>
        <w:rPr>
          <w:rFonts w:ascii="Courier New" w:cs="Courier New" w:eastAsia="Courier New" w:hAnsi="Courier New"/>
          <w:b/>
          <w:bCs/>
          <w:sz w:val="20"/>
          <w:szCs w:val="20"/>
        </w:rPr>
        <w:t xml:space="preserve">FIGURE 2: Full-Body Cavity Network Architecture</w:t>
      </w:r>
      <w:r>
        <w:rPr>
          <w:rFonts w:ascii="Courier New" w:cs="Courier New" w:eastAsia="Courier New" w:hAnsi="Courier New"/>
          <w:sz w:val="18"/>
          <w:szCs w:val="18"/>
        </w:rPr>
        <w:br/>
        <w:t xml:space="preserve">  [HEAD: Core Cavity — Central Hub]</w:t>
        <w:br/>
        <w:t xml:space="preserve">        |  (strong coupling, straight waveguide)</w:t>
        <w:br/>
        <w:t xml:space="preserve">  [SHOULDER Cavity] — Brachial-plexus-like branching</w:t>
        <w:br/>
        <w:t xml:space="preserve">        |             \</w:t>
        <w:br/>
        <w:t xml:space="preserve">  [ELBOW Cavity]    [ELBOW Cavity (other arm)]</w:t>
        <w:br/>
        <w:t xml:space="preserve">        |</w:t>
        <w:br/>
        <w:t xml:space="preserve">  [WRIST Cavity]</w:t>
        <w:br/>
        <w:t xml:space="preserve"/>
        <w:br/>
        <w:t xml:space="preserve">        | (strong coupling, spinal waveguide)</w:t>
        <w:br/>
        <w:t xml:space="preserve">  [HIP Cavity]  — Sciatic-nerve-like long trunk</w:t>
        <w:br/>
        <w:t xml:space="preserve">        |</w:t>
        <w:br/>
        <w:t xml:space="preserve">  [KNEE Cavity]</w:t>
        <w:br/>
        <w:t xml:space="preserve">        |</w:t>
        <w:br/>
        <w:t xml:space="preserve">  [ANKLE Cavity]</w:t>
        <w:br/>
        <w:t xml:space="preserve"/>
        <w:br/>
        <w:t xml:space="preserve">  Serpentine loops at joints provide:</w:t>
        <w:br/>
        <w:t xml:space="preserve">    - Phase delay (chaos filtering)</w:t>
        <w:br/>
        <w:t xml:space="preserve">    - Coupling strength control (loop radius R)</w:t>
        <w:br/>
        <w:t xml:space="preserve">    - Redundancy (parallel paths)</w:t>
      </w:r>
    </w:p>
    <w:p>
      <w:pPr>
        <w:spacing w:after="180" w:before="60"/>
        <w:jc w:val="both"/>
      </w:pPr>
      <w:r>
        <w:rPr>
          <w:rFonts w:ascii="Times New Roman" w:cs="Times New Roman" w:eastAsia="Times New Roman" w:hAnsi="Times New Roman"/>
          <w:i/>
          <w:iCs/>
          <w:sz w:val="18"/>
          <w:szCs w:val="18"/>
        </w:rPr>
        <w:t xml:space="preserve">FIG. 2. Full-body distributed hBN cavity network. The central hub broadcasts a master phase clock; peripheral cavities at each joint perform local reflex computation. Serpentine waveguide bundles mimic brachial plexus (upper limb) and sciatic nerve (lower limb) branching topology, with Y-junction nodes providing tunable routing.</w:t>
      </w:r>
    </w:p>
    <w:p>
      <w:pPr>
        <w:spacing w:after="120" w:before="240"/>
      </w:pPr>
      <w:r>
        <w:rPr>
          <w:rFonts w:ascii="Times New Roman" w:cs="Times New Roman" w:eastAsia="Times New Roman" w:hAnsi="Times New Roman"/>
          <w:b/>
          <w:bCs/>
          <w:sz w:val="24"/>
          <w:szCs w:val="24"/>
        </w:rPr>
        <w:t xml:space="preserve">IV.  PERIPHERAL NERVE ANALOGUE: BRACHIAL PLEXUS AND SCIATIC NERVE</w:t>
      </w:r>
    </w:p>
    <w:p>
      <w:pPr>
        <w:spacing w:after="60" w:before="180"/>
      </w:pPr>
      <w:r>
        <w:rPr>
          <w:rFonts w:ascii="Times New Roman" w:cs="Times New Roman" w:eastAsia="Times New Roman" w:hAnsi="Times New Roman"/>
          <w:b/>
          <w:bCs/>
          <w:i/>
          <w:iCs/>
          <w:sz w:val="22"/>
          <w:szCs w:val="22"/>
        </w:rPr>
        <w:t xml:space="preserve">A.  Brachial Plexus Waveguide Bundle (Upper Limb)</w:t>
      </w:r>
    </w:p>
    <w:p>
      <w:pPr>
        <w:spacing w:after="120" w:before="0" w:line="276" w:lineRule="auto"/>
        <w:jc w:val="both"/>
      </w:pPr>
      <w:r>
        <w:rPr>
          <w:rFonts w:ascii="Times New Roman" w:cs="Times New Roman" w:eastAsia="Times New Roman" w:hAnsi="Times New Roman"/>
          <w:sz w:val="20"/>
          <w:szCs w:val="20"/>
        </w:rPr>
        <w:t xml:space="preserve">The biological brachial plexus emerges from C5–T1 and distributes motor and sensory information via a Trunk–Division–Cord–Terminal hierarchy with high fault tolerance through redundant pathways. The Wave System implementation uses three to five parallel serpentine waveguides from the shoulder cavity to the elbow, then branches into individual channels for each wrist and finger micro-cavity. Constructive interference in the parallel bundle amplifies excitatory (motor) signals; destructive interference implements inhibitory control. Table II maps biological brachial nerve bundles to wave system channels.</w:t>
      </w:r>
      <w:r>
        <w:rPr>
          <w:rFonts w:ascii="Times New Roman" w:cs="Times New Roman" w:eastAsia="Times New Roman" w:hAnsi="Times New Roman"/>
          <w:sz w:val="16"/>
          <w:szCs w:val="16"/>
          <w:vertAlign w:val="superscript"/>
        </w:rPr>
        <w:t xml:space="preserve">21,22</w:t>
      </w:r>
    </w:p>
    <w:p>
      <w:pPr>
        <w:spacing w:after="60" w:before="0"/>
      </w:pPr>
      <w:r>
        <w:t xml:space="preserve"/>
      </w:r>
    </w:p>
    <w:p>
      <w:pPr>
        <w:spacing w:after="60" w:before="0"/>
      </w:pPr>
      <w:r>
        <w:rPr>
          <w:rFonts w:ascii="Times New Roman" w:cs="Times New Roman" w:eastAsia="Times New Roman" w:hAnsi="Times New Roman"/>
          <w:b/>
          <w:bCs/>
          <w:sz w:val="20"/>
          <w:szCs w:val="20"/>
        </w:rPr>
        <w:t xml:space="preserve">TABLE II. </w:t>
      </w:r>
      <w:r>
        <w:rPr>
          <w:rFonts w:ascii="Times New Roman" w:cs="Times New Roman" w:eastAsia="Times New Roman" w:hAnsi="Times New Roman"/>
          <w:sz w:val="20"/>
          <w:szCs w:val="20"/>
        </w:rPr>
        <w:t xml:space="preserve">Brachial plexus-to-wave-system anatomical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Nerve Bundle</w:t>
            </w:r>
          </w:p>
        </w:tc>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Anatomy</w:t>
            </w:r>
          </w:p>
        </w:tc>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Wave Channel</w:t>
            </w:r>
          </w:p>
        </w:tc>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Function</w:t>
            </w:r>
          </w:p>
        </w:tc>
      </w:tr>
      <w:tr>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Upper trunk</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C5–C6</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Strong coupling, short path</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Shoulder / elbow command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Middle trunk</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 serpentine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Forearm / wrist</w:t>
            </w:r>
          </w:p>
        </w:tc>
      </w:tr>
      <w:tr>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Lower trunk</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C8–T1</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Long serpentine, weak coupling</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Hand / fingers (fine motor)</w:t>
            </w:r>
          </w:p>
        </w:tc>
      </w:tr>
    </w:tbl>
    <w:p>
      <w:pPr>
        <w:spacing w:after="120" w:before="0"/>
      </w:pPr>
      <w:r>
        <w:t xml:space="preserve"/>
      </w:r>
    </w:p>
    <w:p>
      <w:pPr>
        <w:spacing w:after="60" w:before="180"/>
      </w:pPr>
      <w:r>
        <w:rPr>
          <w:rFonts w:ascii="Times New Roman" w:cs="Times New Roman" w:eastAsia="Times New Roman" w:hAnsi="Times New Roman"/>
          <w:b/>
          <w:bCs/>
          <w:i/>
          <w:iCs/>
          <w:sz w:val="22"/>
          <w:szCs w:val="22"/>
        </w:rPr>
        <w:t xml:space="preserve">B.  Sciatic Nerve Waveguide (Lower Limb)</w:t>
      </w:r>
    </w:p>
    <w:p>
      <w:pPr>
        <w:spacing w:after="120" w:before="0" w:line="276" w:lineRule="auto"/>
        <w:jc w:val="both"/>
      </w:pPr>
      <w:r>
        <w:rPr>
          <w:rFonts w:ascii="Times New Roman" w:cs="Times New Roman" w:eastAsia="Times New Roman" w:hAnsi="Times New Roman"/>
          <w:sz w:val="20"/>
          <w:szCs w:val="20"/>
        </w:rPr>
        <w:t xml:space="preserve">The sciatic nerve (L4–S3) is the longest peripheral nerve and splits at the popliteal fossa into tibial and common peroneal branches. The wave analogue uses a long-trunk waveguide from the hip cavity to the knee, with a branching node at the knee providing separate channels for plantar flexion (tibial branch) and dorsiflexion (peroneal branch). The delay introduced by the long serpentine path models the conduction velocity of large-diameter Aα motor axons (~70 m/s). Table III details the sciatic nerve mapping.</w:t>
      </w:r>
      <w:r>
        <w:rPr>
          <w:rFonts w:ascii="Times New Roman" w:cs="Times New Roman" w:eastAsia="Times New Roman" w:hAnsi="Times New Roman"/>
          <w:sz w:val="16"/>
          <w:szCs w:val="16"/>
          <w:vertAlign w:val="superscript"/>
        </w:rPr>
        <w:t xml:space="preserve">22,23</w:t>
      </w:r>
    </w:p>
    <w:p>
      <w:pPr>
        <w:spacing w:after="60" w:before="0"/>
      </w:pPr>
      <w:r>
        <w:t xml:space="preserve"/>
      </w:r>
    </w:p>
    <w:p>
      <w:pPr>
        <w:spacing w:after="60" w:before="0"/>
      </w:pPr>
      <w:r>
        <w:rPr>
          <w:rFonts w:ascii="Times New Roman" w:cs="Times New Roman" w:eastAsia="Times New Roman" w:hAnsi="Times New Roman"/>
          <w:b/>
          <w:bCs/>
          <w:sz w:val="20"/>
          <w:szCs w:val="20"/>
        </w:rPr>
        <w:t xml:space="preserve">TABLE III. </w:t>
      </w:r>
      <w:r>
        <w:rPr>
          <w:rFonts w:ascii="Times New Roman" w:cs="Times New Roman" w:eastAsia="Times New Roman" w:hAnsi="Times New Roman"/>
          <w:sz w:val="20"/>
          <w:szCs w:val="20"/>
        </w:rPr>
        <w:t xml:space="preserve">Sciatic nerve-to-wave-system anatomical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Nerve Branch</w:t>
            </w:r>
          </w:p>
        </w:tc>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Anatomy</w:t>
            </w:r>
          </w:p>
        </w:tc>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Wave Channel</w:t>
            </w:r>
          </w:p>
        </w:tc>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Function</w:t>
            </w:r>
          </w:p>
        </w:tc>
      </w:tr>
      <w:tr>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Main trunk</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L4–S3</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Long trunk, strong coupling</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Global leg command propagation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Tibial nerve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S1–S3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Branch A (plantar)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Calf / foot flexion</w:t>
            </w:r>
          </w:p>
        </w:tc>
      </w:tr>
      <w:tr>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Common peroneal</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L4–S2</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Branch B (dorsal)</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Anterior tibial / dorsiflexion</w:t>
            </w:r>
          </w:p>
        </w:tc>
      </w:tr>
    </w:tbl>
    <w:p>
      <w:pPr>
        <w:spacing w:after="120" w:before="0"/>
      </w:pPr>
      <w:r>
        <w:t xml:space="preserve"/>
      </w:r>
    </w:p>
    <w:p>
      <w:pPr>
        <w:spacing w:after="120" w:before="240"/>
      </w:pPr>
      <w:r>
        <w:rPr>
          <w:rFonts w:ascii="Times New Roman" w:cs="Times New Roman" w:eastAsia="Times New Roman" w:hAnsi="Times New Roman"/>
          <w:b/>
          <w:bCs/>
          <w:sz w:val="24"/>
          <w:szCs w:val="24"/>
        </w:rPr>
        <w:t xml:space="preserve">V.  hBN SYNAPSE STACK AND MOIRÉ PHONON PHYSICS</w:t>
      </w:r>
    </w:p>
    <w:p>
      <w:pPr>
        <w:spacing w:after="60" w:before="180"/>
      </w:pPr>
      <w:r>
        <w:rPr>
          <w:rFonts w:ascii="Times New Roman" w:cs="Times New Roman" w:eastAsia="Times New Roman" w:hAnsi="Times New Roman"/>
          <w:b/>
          <w:bCs/>
          <w:i/>
          <w:iCs/>
          <w:sz w:val="22"/>
          <w:szCs w:val="22"/>
        </w:rPr>
        <w:t xml:space="preserve">A.  Vertical Memristor Layer Stack</w:t>
      </w:r>
    </w:p>
    <w:p>
      <w:pPr>
        <w:spacing w:after="120" w:before="0" w:line="276" w:lineRule="auto"/>
        <w:jc w:val="both"/>
      </w:pPr>
      <w:r>
        <w:rPr>
          <w:rFonts w:ascii="Times New Roman" w:cs="Times New Roman" w:eastAsia="Times New Roman" w:hAnsi="Times New Roman"/>
          <w:sz w:val="20"/>
          <w:szCs w:val="20"/>
        </w:rPr>
        <w:t xml:space="preserve">Each synapse element consists of a vertical hBN memristor stack: Au/Ti (50 nm) bottom electrode / CVD-grown multilayer hBN (8–18 atomic layers, ~8–10 nm) / Ti/Ag (50 nm) top electrode / flexible PET or PI substrate. This stack provides a switching ratio &gt;10⁵, retention &gt;10⁵ s, and switching energy in the attojoule range per event.</w:t>
      </w:r>
      <w:r>
        <w:rPr>
          <w:rFonts w:ascii="Times New Roman" w:cs="Times New Roman" w:eastAsia="Times New Roman" w:hAnsi="Times New Roman"/>
          <w:sz w:val="16"/>
          <w:szCs w:val="16"/>
          <w:vertAlign w:val="superscript"/>
        </w:rPr>
        <w:t xml:space="preserve">24,25</w:t>
      </w:r>
      <w:r>
        <w:rPr>
          <w:rFonts w:ascii="Times New Roman" w:cs="Times New Roman" w:eastAsia="Times New Roman" w:hAnsi="Times New Roman"/>
          <w:sz w:val="20"/>
          <w:szCs w:val="20"/>
        </w:rPr>
        <w:t xml:space="preserve"> The flexible substrate accommodates joint bending without delamination, and inkjet-printed electrodes allow wafer-scale patterning.</w:t>
      </w:r>
      <w:r>
        <w:rPr>
          <w:rFonts w:ascii="Times New Roman" w:cs="Times New Roman" w:eastAsia="Times New Roman" w:hAnsi="Times New Roman"/>
          <w:sz w:val="16"/>
          <w:szCs w:val="16"/>
          <w:vertAlign w:val="superscript"/>
        </w:rPr>
        <w:t xml:space="preserve">26</w:t>
      </w:r>
    </w:p>
    <w:p>
      <w:pPr>
        <w:spacing w:after="60" w:before="180"/>
      </w:pPr>
      <w:r>
        <w:rPr>
          <w:rFonts w:ascii="Times New Roman" w:cs="Times New Roman" w:eastAsia="Times New Roman" w:hAnsi="Times New Roman"/>
          <w:b/>
          <w:bCs/>
          <w:i/>
          <w:iCs/>
          <w:sz w:val="22"/>
          <w:szCs w:val="22"/>
        </w:rPr>
        <w:t xml:space="preserve">B.  23.5° Twist-Angle Moiré Enhancement</w:t>
      </w:r>
    </w:p>
    <w:p>
      <w:pPr>
        <w:spacing w:after="120" w:before="0" w:line="276" w:lineRule="auto"/>
        <w:jc w:val="both"/>
      </w:pPr>
      <w:r>
        <w:rPr>
          <w:rFonts w:ascii="Times New Roman" w:cs="Times New Roman" w:eastAsia="Times New Roman" w:hAnsi="Times New Roman"/>
          <w:sz w:val="20"/>
          <w:szCs w:val="20"/>
        </w:rPr>
        <w:t xml:space="preserve">The 23.5° twist angle between hBN layers places the moiré superlattice in an incommensurate (high-angle) regime that confers three key advantages over magic-angle (~1°) configurations for Physical AI applications: (1) structural stability — no atomic reconstruction under joint-induced strain; (2) high carrier mobility — non-flat minibands support fast synaptic switching compatible with sub-millisecond reflex loops; (3) broad-bandwidth tactile sensing — the shorter moiré period (Lₘ ≈ a/θ ∝ 1/θ) supports MHz-range resonances for Tactile Wave Fingerprinting, providing ~10³× wider bandwidth than conventional MEMS sensors.</w:t>
      </w:r>
      <w:r>
        <w:rPr>
          <w:rFonts w:ascii="Times New Roman" w:cs="Times New Roman" w:eastAsia="Times New Roman" w:hAnsi="Times New Roman"/>
          <w:sz w:val="16"/>
          <w:szCs w:val="16"/>
          <w:vertAlign w:val="superscript"/>
        </w:rPr>
        <w:t xml:space="preserve">27,28</w:t>
      </w:r>
    </w:p>
    <w:p>
      <w:pPr>
        <w:spacing w:after="120" w:before="0" w:line="276" w:lineRule="auto"/>
        <w:jc w:val="both"/>
      </w:pPr>
      <w:r>
        <w:rPr>
          <w:rFonts w:ascii="Times New Roman" w:cs="Times New Roman" w:eastAsia="Times New Roman" w:hAnsi="Times New Roman"/>
          <w:sz w:val="20"/>
          <w:szCs w:val="20"/>
        </w:rPr>
        <w:t xml:space="preserve">The moiré potential landscape for the 23.5° configuration is</w:t>
      </w:r>
    </w:p>
    <w:p>
      <w:pPr>
        <w:spacing w:after="60" w:before="60"/>
        <w:jc w:val="center"/>
      </w:pPr>
      <w:r>
        <w:rPr>
          <w:rFonts w:ascii="Cambria Math" w:cs="Cambria Math" w:eastAsia="Cambria Math" w:hAnsi="Cambria Math"/>
          <w:i/>
          <w:iCs/>
          <w:sz w:val="20"/>
          <w:szCs w:val="20"/>
        </w:rPr>
        <w:t xml:space="preserve">V(’r) = V₀ Σⰼ cos(Gⰼ·’r),    Gⰼ = G(cosαⰼ, sinαⰼ),   αⰼ = 2π(j−1)/3</w:t>
      </w:r>
    </w:p>
    <w:p>
      <w:pPr>
        <w:spacing w:after="120" w:before="0" w:line="276" w:lineRule="auto"/>
        <w:jc w:val="both"/>
      </w:pPr>
      <w:r>
        <w:rPr>
          <w:rFonts w:ascii="Times New Roman" w:cs="Times New Roman" w:eastAsia="Times New Roman" w:hAnsi="Times New Roman"/>
          <w:sz w:val="20"/>
          <w:szCs w:val="20"/>
        </w:rPr>
        <w:t xml:space="preserve">with V₀ ≈ 20 meV at the 23.5° configuration.</w:t>
      </w:r>
      <w:r>
        <w:rPr>
          <w:rFonts w:ascii="Times New Roman" w:cs="Times New Roman" w:eastAsia="Times New Roman" w:hAnsi="Times New Roman"/>
          <w:sz w:val="16"/>
          <w:szCs w:val="16"/>
          <w:vertAlign w:val="superscript"/>
        </w:rPr>
        <w:t xml:space="preserve">27</w:t>
      </w:r>
      <w:r>
        <w:rPr>
          <w:rFonts w:ascii="Times New Roman" w:cs="Times New Roman" w:eastAsia="Times New Roman" w:hAnsi="Times New Roman"/>
          <w:sz w:val="20"/>
          <w:szCs w:val="20"/>
        </w:rPr>
        <w:t xml:space="preserve"> The resulting phonon-polariton modes enable phase shifts of π via hyperbolic phonon-polariton coupling — the core mechanism for hBN-based IPSP/EPSP analogue signalling.</w:t>
      </w:r>
      <w:r>
        <w:rPr>
          <w:rFonts w:ascii="Times New Roman" w:cs="Times New Roman" w:eastAsia="Times New Roman" w:hAnsi="Times New Roman"/>
          <w:sz w:val="16"/>
          <w:szCs w:val="16"/>
          <w:vertAlign w:val="superscript"/>
        </w:rPr>
        <w:t xml:space="preserve">29</w:t>
      </w:r>
    </w:p>
    <w:p>
      <w:pPr>
        <w:spacing w:after="60" w:before="180"/>
      </w:pPr>
      <w:r>
        <w:rPr>
          <w:rFonts w:ascii="Times New Roman" w:cs="Times New Roman" w:eastAsia="Times New Roman" w:hAnsi="Times New Roman"/>
          <w:b/>
          <w:bCs/>
          <w:i/>
          <w:iCs/>
          <w:sz w:val="22"/>
          <w:szCs w:val="22"/>
        </w:rPr>
        <w:t xml:space="preserve">C.  Landauer–Büttiker Synaptic Weight Model</w:t>
      </w:r>
    </w:p>
    <w:p>
      <w:pPr>
        <w:spacing w:after="120" w:before="0" w:line="276" w:lineRule="auto"/>
        <w:jc w:val="both"/>
      </w:pPr>
      <w:r>
        <w:rPr>
          <w:rFonts w:ascii="Times New Roman" w:cs="Times New Roman" w:eastAsia="Times New Roman" w:hAnsi="Times New Roman"/>
          <w:sz w:val="20"/>
          <w:szCs w:val="20"/>
        </w:rPr>
        <w:t xml:space="preserve">Gate-voltage-controlled conductance provides the synaptic weight. In the Landauer–Büttiker framework:</w:t>
      </w:r>
    </w:p>
    <w:p>
      <w:pPr>
        <w:spacing w:after="60" w:before="60"/>
        <w:jc w:val="center"/>
      </w:pPr>
      <w:r>
        <w:rPr>
          <w:rFonts w:ascii="Cambria Math" w:cs="Cambria Math" w:eastAsia="Cambria Math" w:hAnsi="Cambria Math"/>
          <w:i/>
          <w:iCs/>
          <w:sz w:val="20"/>
          <w:szCs w:val="20"/>
        </w:rPr>
        <w:t xml:space="preserve">G(Vᵍ) = G₀ ∫ T(E) [−∂f(E;E_F,T)/∂E] dE</w:t>
      </w:r>
    </w:p>
    <w:p>
      <w:pPr>
        <w:spacing w:after="120" w:before="0" w:line="276" w:lineRule="auto"/>
        <w:jc w:val="both"/>
      </w:pPr>
      <w:r>
        <w:rPr>
          <w:rFonts w:ascii="Times New Roman" w:cs="Times New Roman" w:eastAsia="Times New Roman" w:hAnsi="Times New Roman"/>
          <w:sz w:val="20"/>
          <w:szCs w:val="20"/>
        </w:rPr>
        <w:t xml:space="preserve">where T(E) is the transmission probability through the moiré miniband structure, and the synaptic weight is the normalised conductance w(Vᵍ) = [G(Vᵍ) − Gₘᴵⁿ] / [Gₘₐˣ − Gₘᴵⁿ]. Monte-Carlo simulations of disorder effects confirm SNR &gt;170 at room temperature for the 23.5° configuration, validating reliable multi-level weight storage at T = 300 K.</w:t>
      </w:r>
      <w:r>
        <w:rPr>
          <w:rFonts w:ascii="Times New Roman" w:cs="Times New Roman" w:eastAsia="Times New Roman" w:hAnsi="Times New Roman"/>
          <w:sz w:val="16"/>
          <w:szCs w:val="16"/>
          <w:vertAlign w:val="superscript"/>
        </w:rPr>
        <w:t xml:space="preserve">30,31</w:t>
      </w:r>
    </w:p>
    <w:p>
      <w:pPr>
        <w:pBdr>
          <w:top w:val="single" w:color="AAAAAA" w:sz="1"/>
          <w:bottom w:val="single" w:color="AAAAAA" w:sz="1"/>
          <w:left w:val="single" w:color="AAAAAA" w:sz="1"/>
          <w:right w:val="single" w:color="AAAAAA" w:sz="1"/>
        </w:pBdr>
        <w:shd w:fill="F0F4F8" w:val="clear"/>
        <w:spacing w:after="60" w:before="120"/>
        <w:jc w:val="left"/>
      </w:pPr>
      <w:r>
        <w:rPr>
          <w:rFonts w:ascii="Courier New" w:cs="Courier New" w:eastAsia="Courier New" w:hAnsi="Courier New"/>
          <w:b/>
          <w:bCs/>
          <w:sz w:val="20"/>
          <w:szCs w:val="20"/>
        </w:rPr>
        <w:t xml:space="preserve">FIGURE 3: hBN Synapse Stack Cross-Section</w:t>
      </w:r>
      <w:r>
        <w:rPr>
          <w:rFonts w:ascii="Courier New" w:cs="Courier New" w:eastAsia="Courier New" w:hAnsi="Courier New"/>
          <w:sz w:val="18"/>
          <w:szCs w:val="18"/>
        </w:rPr>
        <w:br/>
        <w:t xml:space="preserve">  ┌────────────────────────────────────┐</w:t>
        <w:br/>
        <w:t xml:space="preserve">  │  Top Electrode (Ti/Ag, 50 nm)             │</w:t>
        <w:br/>
        <w:t xml:space="preserve">  ├────────────────────────────────────┤</w:t>
        <w:br/>
        <w:t xml:space="preserve">  │  hBN Switching Layer (CVD, 8–18 layers)    │  ← Synaptic weight (Vᵍ)</w:t>
        <w:br/>
        <w:t xml:space="preserve">  │  23.5° twist angle                         │</w:t>
        <w:br/>
        <w:t xml:space="preserve">  ├────────────────────────────────────┤</w:t>
        <w:br/>
        <w:t xml:space="preserve">  │  Bottom Electrode (Au/Ti, 50 nm)            │</w:t>
        <w:br/>
        <w:t xml:space="preserve">  ├────────────────────────────────────┤</w:t>
        <w:br/>
        <w:t xml:space="preserve">  │  Flexible PET/PI Substrate                  │</w:t>
        <w:br/>
        <w:t xml:space="preserve">  └────────────────────────────────────┘</w:t>
        <w:br/>
        <w:t xml:space="preserve">  Switching ratio &gt;10⁵ | Energy per event: attojoule</w:t>
      </w:r>
    </w:p>
    <w:p>
      <w:pPr>
        <w:spacing w:after="180" w:before="60"/>
        <w:jc w:val="both"/>
      </w:pPr>
      <w:r>
        <w:rPr>
          <w:rFonts w:ascii="Times New Roman" w:cs="Times New Roman" w:eastAsia="Times New Roman" w:hAnsi="Times New Roman"/>
          <w:i/>
          <w:iCs/>
          <w:sz w:val="18"/>
          <w:szCs w:val="18"/>
        </w:rPr>
        <w:t xml:space="preserve">FIG. 3. Cross-sectional schematic of the hBN vertical memristor synapse stack. The 23.5° twist angle between CVD-grown hBN layers generates moiré phonon-polariton modes enabling π phase shifts (IPSP analogue) and broadband tactile sensing (MHz range).</w:t>
      </w:r>
    </w:p>
    <w:p>
      <w:pPr>
        <w:spacing w:after="120" w:before="240"/>
      </w:pPr>
      <w:r>
        <w:rPr>
          <w:rFonts w:ascii="Times New Roman" w:cs="Times New Roman" w:eastAsia="Times New Roman" w:hAnsi="Times New Roman"/>
          <w:b/>
          <w:bCs/>
          <w:sz w:val="24"/>
          <w:szCs w:val="24"/>
        </w:rPr>
        <w:t xml:space="preserve">VI.  HIERARCHICAL CONTROL ARCHITECTURE: GR00T + WAVE SYSTEM</w:t>
      </w:r>
    </w:p>
    <w:p>
      <w:pPr>
        <w:spacing w:after="60" w:before="180"/>
      </w:pPr>
      <w:r>
        <w:rPr>
          <w:rFonts w:ascii="Times New Roman" w:cs="Times New Roman" w:eastAsia="Times New Roman" w:hAnsi="Times New Roman"/>
          <w:b/>
          <w:bCs/>
          <w:i/>
          <w:iCs/>
          <w:sz w:val="22"/>
          <w:szCs w:val="22"/>
        </w:rPr>
        <w:t xml:space="preserve">A.  System Overview</w:t>
      </w:r>
    </w:p>
    <w:p>
      <w:pPr>
        <w:spacing w:after="120" w:before="0" w:line="276" w:lineRule="auto"/>
        <w:jc w:val="both"/>
      </w:pPr>
      <w:r>
        <w:rPr>
          <w:rFonts w:ascii="Times New Roman" w:cs="Times New Roman" w:eastAsia="Times New Roman" w:hAnsi="Times New Roman"/>
          <w:sz w:val="20"/>
          <w:szCs w:val="20"/>
        </w:rPr>
        <w:t xml:space="preserve">The control hierarchy consists of two layers: a high-level planner (Tesla Optimus GR00T) and the distributed wave system. GR00T provides goal-directed trajectory commands asynchronously (1–10 Hz); the wave system executes real-time joint control (0.5–1 kHz) autonomously between planning updates, using a mapping layer to translate trajectory parameters into wave parameters {Aⁿ, fⁿ, vₚ,ⁿ, φⁿ} for each cavity node n.</w:t>
      </w:r>
      <w:r>
        <w:rPr>
          <w:rFonts w:ascii="Times New Roman" w:cs="Times New Roman" w:eastAsia="Times New Roman" w:hAnsi="Times New Roman"/>
          <w:sz w:val="16"/>
          <w:szCs w:val="16"/>
          <w:vertAlign w:val="superscript"/>
        </w:rPr>
        <w:t xml:space="preserve">32,33</w:t>
      </w:r>
    </w:p>
    <w:p>
      <w:pPr>
        <w:pBdr>
          <w:top w:val="single" w:color="AAAAAA" w:sz="1"/>
          <w:bottom w:val="single" w:color="AAAAAA" w:sz="1"/>
          <w:left w:val="single" w:color="AAAAAA" w:sz="1"/>
          <w:right w:val="single" w:color="AAAAAA" w:sz="1"/>
        </w:pBdr>
        <w:shd w:fill="F0F4F8" w:val="clear"/>
        <w:spacing w:after="60" w:before="120"/>
        <w:jc w:val="left"/>
      </w:pPr>
      <w:r>
        <w:rPr>
          <w:rFonts w:ascii="Courier New" w:cs="Courier New" w:eastAsia="Courier New" w:hAnsi="Courier New"/>
          <w:b/>
          <w:bCs/>
          <w:sz w:val="20"/>
          <w:szCs w:val="20"/>
        </w:rPr>
        <w:t xml:space="preserve">FIGURE 4: Hierarchical Control Block Diagram</w:t>
      </w:r>
      <w:r>
        <w:rPr>
          <w:rFonts w:ascii="Courier New" w:cs="Courier New" w:eastAsia="Courier New" w:hAnsi="Courier New"/>
          <w:sz w:val="18"/>
          <w:szCs w:val="18"/>
        </w:rPr>
        <w:br/>
        <w:t xml:space="preserve">  [GR00T: High-Level Planner]  → (async, 1–10 Hz) →</w:t>
        <w:br/>
        <w:t xml:space="preserve">  [Mapping Layer]</w:t>
        <w:br/>
        <w:t xml:space="preserve">    ├─ Task Interpreter:        P_goal, V_cmd, Σ → {P_i, w_i}</w:t>
        <w:br/>
        <w:t xml:space="preserve">    ├─ Trajectory Parameteriser: {P_i} → x_ref(t), v_ref(t)</w:t>
        <w:br/>
        <w:t xml:space="preserve">    ├─ Constraint Optimizer:    x_ref + Σ → x*_ref</w:t>
        <w:br/>
        <w:t xml:space="preserve">    ├─ Wave Param Mapper:        x*_ref → {A_n, f_n, v_p,n, φ_n}</w:t>
        <w:br/>
        <w:t xml:space="preserve">    └─ Safety Enforcer:          clip &amp; flag</w:t>
        <w:br/>
        <w:t xml:space="preserve">  ↓ (TSN/DDS real-time, 1 kHz)</w:t>
        <w:br/>
        <w:t xml:space="preserve">  [Distributed Wave Nodes n=1..N]</w:t>
        <w:br/>
        <w:t xml:space="preserve">    Local PD/MPC controller + hBN cavity actuator</w:t>
        <w:br/>
        <w:t xml:space="preserve">    └─ Reflex feedback → spinal cavity (latency &lt;1 ms)</w:t>
      </w:r>
    </w:p>
    <w:p>
      <w:pPr>
        <w:spacing w:after="180" w:before="60"/>
        <w:jc w:val="both"/>
      </w:pPr>
      <w:r>
        <w:rPr>
          <w:rFonts w:ascii="Times New Roman" w:cs="Times New Roman" w:eastAsia="Times New Roman" w:hAnsi="Times New Roman"/>
          <w:i/>
          <w:iCs/>
          <w:sz w:val="18"/>
          <w:szCs w:val="18"/>
        </w:rPr>
        <w:t xml:space="preserve">FIG. 4. Hierarchical control block diagram. The GR00T high-level planner communicates asynchronously with the mapping layer; the mapping layer distributes real-time wave parameters to each cavity node via Time-Sensitive Networking (TSN). Local predictive compensators ensure sub-millisecond reflex latency independent of the planning update rate.</w:t>
      </w:r>
    </w:p>
    <w:p>
      <w:pPr>
        <w:spacing w:after="60" w:before="180"/>
      </w:pPr>
      <w:r>
        <w:rPr>
          <w:rFonts w:ascii="Times New Roman" w:cs="Times New Roman" w:eastAsia="Times New Roman" w:hAnsi="Times New Roman"/>
          <w:b/>
          <w:bCs/>
          <w:i/>
          <w:iCs/>
          <w:sz w:val="22"/>
          <w:szCs w:val="22"/>
        </w:rPr>
        <w:t xml:space="preserve">B.  Wave Parameter Mapping Equations</w:t>
      </w:r>
    </w:p>
    <w:p>
      <w:pPr>
        <w:spacing w:after="120" w:before="0" w:line="276" w:lineRule="auto"/>
        <w:jc w:val="both"/>
      </w:pPr>
      <w:r>
        <w:rPr>
          <w:rFonts w:ascii="Times New Roman" w:cs="Times New Roman" w:eastAsia="Times New Roman" w:hAnsi="Times New Roman"/>
          <w:sz w:val="20"/>
          <w:szCs w:val="20"/>
        </w:rPr>
        <w:t xml:space="preserve">The trajectory-to-wave parameter mapping laws are:</w:t>
      </w:r>
    </w:p>
    <w:p>
      <w:pPr>
        <w:spacing w:after="60" w:before="60"/>
        <w:jc w:val="center"/>
      </w:pPr>
      <w:r>
        <w:rPr>
          <w:rFonts w:ascii="Cambria Math" w:cs="Cambria Math" w:eastAsia="Cambria Math" w:hAnsi="Cambria Math"/>
          <w:i/>
          <w:iCs/>
          <w:sz w:val="20"/>
          <w:szCs w:val="20"/>
        </w:rPr>
        <w:t xml:space="preserve">f_n(t) = f₀ + k_f ‖v_ref(t)‖,    A_n(t) = clip(A_min, A₀ + k_A τ_n(t), A_max)</w:t>
      </w:r>
    </w:p>
    <w:p>
      <w:pPr>
        <w:spacing w:after="120" w:before="0"/>
        <w:jc w:val="center"/>
      </w:pPr>
      <w:r>
        <w:rPr>
          <w:rFonts w:ascii="Cambria Math" w:cs="Cambria Math" w:eastAsia="Cambria Math" w:hAnsi="Cambria Math"/>
          <w:i/>
          <w:iCs/>
          <w:sz w:val="20"/>
          <w:szCs w:val="20"/>
        </w:rPr>
        <w:t xml:space="preserve">φ_n(t) = φ₀ + k_φ κ(t) d_n,    v_p,n(t) = k_v ‖v_ref‖/(α + ‖v_ref‖)</w:t>
      </w:r>
    </w:p>
    <w:p>
      <w:pPr>
        <w:spacing w:after="120" w:before="0" w:line="276" w:lineRule="auto"/>
        <w:jc w:val="both"/>
      </w:pPr>
      <w:r>
        <w:rPr>
          <w:rFonts w:ascii="Times New Roman" w:cs="Times New Roman" w:eastAsia="Times New Roman" w:hAnsi="Times New Roman"/>
          <w:sz w:val="20"/>
          <w:szCs w:val="20"/>
        </w:rPr>
        <w:t xml:space="preserve">Recommended initial values: f₀ = 1.0 Hz, k⁤ = 0.4 Hz·s/m; A₀ = 0.02 m, k_A = 0.004 m/N; k_φ = 0.5 rad·m; k_v = 1.2 m/s, α = 0.5 m/s. All parameters are identified from system-identification experiments and updated online using a Kalman-based adaptive rule.</w:t>
      </w:r>
      <w:r>
        <w:rPr>
          <w:rFonts w:ascii="Times New Roman" w:cs="Times New Roman" w:eastAsia="Times New Roman" w:hAnsi="Times New Roman"/>
          <w:sz w:val="16"/>
          <w:szCs w:val="16"/>
          <w:vertAlign w:val="superscript"/>
        </w:rPr>
        <w:t xml:space="preserve">34</w:t>
      </w:r>
    </w:p>
    <w:p>
      <w:pPr>
        <w:spacing w:after="60" w:before="180"/>
      </w:pPr>
      <w:r>
        <w:rPr>
          <w:rFonts w:ascii="Times New Roman" w:cs="Times New Roman" w:eastAsia="Times New Roman" w:hAnsi="Times New Roman"/>
          <w:b/>
          <w:bCs/>
          <w:i/>
          <w:iCs/>
          <w:sz w:val="22"/>
          <w:szCs w:val="22"/>
        </w:rPr>
        <w:t xml:space="preserve">C.  Communication Protocol (TSN + DDS)</w:t>
      </w:r>
    </w:p>
    <w:p>
      <w:pPr>
        <w:spacing w:after="120" w:before="0" w:line="276" w:lineRule="auto"/>
        <w:jc w:val="both"/>
      </w:pPr>
      <w:r>
        <w:rPr>
          <w:rFonts w:ascii="Times New Roman" w:cs="Times New Roman" w:eastAsia="Times New Roman" w:hAnsi="Times New Roman"/>
          <w:sz w:val="20"/>
          <w:szCs w:val="20"/>
        </w:rPr>
        <w:t xml:space="preserve">High-level GR00T–mapping communication uses gRPC over TLS (1–10 Hz, reliability-prioritised). Mapping-to-node communication uses IEEE 802.1AS Time-Sensitive Networking with DDS/RTPS at 1 kHz. Each WaveParamsPacket is 32 bytes (fixed length): protocol version, message type, sequence number, 64-bit PTP timestamp, validity window, and four float32 fields (A, f, vₚ, φ). Hardware PTP timestamping achieves &lt;1 μs synchronisation across all nodes. SafetyStop packets (8 bytes) carry highest QoS priority and trigger local-node braking without central acknowledgement.</w:t>
      </w:r>
      <w:r>
        <w:rPr>
          <w:rFonts w:ascii="Times New Roman" w:cs="Times New Roman" w:eastAsia="Times New Roman" w:hAnsi="Times New Roman"/>
          <w:sz w:val="16"/>
          <w:szCs w:val="16"/>
          <w:vertAlign w:val="superscript"/>
        </w:rPr>
        <w:t xml:space="preserve">35</w:t>
      </w:r>
    </w:p>
    <w:p>
      <w:pPr>
        <w:spacing w:after="120" w:before="240"/>
      </w:pPr>
      <w:r>
        <w:rPr>
          <w:rFonts w:ascii="Times New Roman" w:cs="Times New Roman" w:eastAsia="Times New Roman" w:hAnsi="Times New Roman"/>
          <w:b/>
          <w:bCs/>
          <w:sz w:val="24"/>
          <w:szCs w:val="24"/>
        </w:rPr>
        <w:t xml:space="preserve">VII.  PHASE TRACKING AND 1 ms REFLEX PIPELINE</w:t>
      </w:r>
    </w:p>
    <w:p>
      <w:pPr>
        <w:spacing w:after="60" w:before="180"/>
      </w:pPr>
      <w:r>
        <w:rPr>
          <w:rFonts w:ascii="Times New Roman" w:cs="Times New Roman" w:eastAsia="Times New Roman" w:hAnsi="Times New Roman"/>
          <w:b/>
          <w:bCs/>
          <w:i/>
          <w:iCs/>
          <w:sz w:val="22"/>
          <w:szCs w:val="22"/>
        </w:rPr>
        <w:t xml:space="preserve">A.  Von Mises Recursive Phase Filter</w:t>
      </w:r>
    </w:p>
    <w:p>
      <w:pPr>
        <w:spacing w:after="120" w:before="0" w:line="276" w:lineRule="auto"/>
        <w:jc w:val="both"/>
      </w:pPr>
      <w:r>
        <w:rPr>
          <w:rFonts w:ascii="Times New Roman" w:cs="Times New Roman" w:eastAsia="Times New Roman" w:hAnsi="Times New Roman"/>
          <w:sz w:val="20"/>
          <w:szCs w:val="20"/>
        </w:rPr>
        <w:t xml:space="preserve">Phase drift from thermal noise and mechanical vibration is tracked by a Von Mises recursive filter. The prediction step uses moment-matching to propagate the concentration parameter κ through the wrapped-normal process noise:</w:t>
      </w:r>
    </w:p>
    <w:p>
      <w:pPr>
        <w:spacing w:after="60" w:before="60"/>
        <w:jc w:val="center"/>
      </w:pPr>
      <w:r>
        <w:rPr>
          <w:rFonts w:ascii="Cambria Math" w:cs="Cambria Math" w:eastAsia="Cambria Math" w:hAnsi="Cambria Math"/>
          <w:i/>
          <w:iCs/>
          <w:sz w:val="20"/>
          <w:szCs w:val="20"/>
        </w:rPr>
        <w:t xml:space="preserve">κ_pred = Aⁱ⁻¹( A₁(κ_prior) · exp(−σᵤ²/2) )</w:t>
      </w:r>
    </w:p>
    <w:p>
      <w:pPr>
        <w:spacing w:after="120" w:before="0" w:line="276" w:lineRule="auto"/>
        <w:jc w:val="both"/>
      </w:pPr>
      <w:r>
        <w:rPr>
          <w:rFonts w:ascii="Times New Roman" w:cs="Times New Roman" w:eastAsia="Times New Roman" w:hAnsi="Times New Roman"/>
          <w:sz w:val="20"/>
          <w:szCs w:val="20"/>
        </w:rPr>
        <w:t xml:space="preserve">where A₁(κ) = I₁(κ)/I₀(κ) is the ratio of modified Bessel functions, and σᵤ is the phase diffusion rate. The update combines prior and observation vectors:</w:t>
      </w:r>
    </w:p>
    <w:p>
      <w:pPr>
        <w:spacing w:after="120" w:before="60"/>
        <w:jc w:val="center"/>
      </w:pPr>
      <w:r>
        <w:rPr>
          <w:rFonts w:ascii="Cambria Math" w:cs="Cambria Math" w:eastAsia="Cambria Math" w:hAnsi="Cambria Math"/>
          <w:i/>
          <w:iCs/>
          <w:sz w:val="20"/>
          <w:szCs w:val="20"/>
        </w:rPr>
        <w:t xml:space="preserve">V_post = κ_pred e⁻ⁱμ + (2/σ²) z_t;    μ_t = ∠V_post,  κ_t = |V_post|</w:t>
      </w:r>
    </w:p>
    <w:p>
      <w:pPr>
        <w:spacing w:after="120" w:before="0" w:line="276" w:lineRule="auto"/>
        <w:jc w:val="both"/>
      </w:pPr>
      <w:r>
        <w:rPr>
          <w:rFonts w:ascii="Times New Roman" w:cs="Times New Roman" w:eastAsia="Times New Roman" w:hAnsi="Times New Roman"/>
          <w:sz w:val="20"/>
          <w:szCs w:val="20"/>
        </w:rPr>
        <w:t xml:space="preserve">GPU-vectorised implementation (PyTorch complex tensors) processes thousands of channels simultaneously. Particle Filter variants (Nₚ = 300) provide additional robustness for multi-modal phase distributions under large mechanical disturbances, achieving RMSE ≈ 0.095 rad at SNR = 5 dB.</w:t>
      </w:r>
      <w:r>
        <w:rPr>
          <w:rFonts w:ascii="Times New Roman" w:cs="Times New Roman" w:eastAsia="Times New Roman" w:hAnsi="Times New Roman"/>
          <w:sz w:val="16"/>
          <w:szCs w:val="16"/>
          <w:vertAlign w:val="superscript"/>
        </w:rPr>
        <w:t xml:space="preserve">36,37</w:t>
      </w:r>
    </w:p>
    <w:p>
      <w:pPr>
        <w:spacing w:after="60" w:before="180"/>
      </w:pPr>
      <w:r>
        <w:rPr>
          <w:rFonts w:ascii="Times New Roman" w:cs="Times New Roman" w:eastAsia="Times New Roman" w:hAnsi="Times New Roman"/>
          <w:b/>
          <w:bCs/>
          <w:i/>
          <w:iCs/>
          <w:sz w:val="22"/>
          <w:szCs w:val="22"/>
        </w:rPr>
        <w:t xml:space="preserve">B.  1 ms Reflex Loop Architecture</w:t>
      </w:r>
    </w:p>
    <w:p>
      <w:pPr>
        <w:spacing w:after="120" w:before="0" w:line="276" w:lineRule="auto"/>
        <w:jc w:val="both"/>
      </w:pPr>
      <w:r>
        <w:rPr>
          <w:rFonts w:ascii="Times New Roman" w:cs="Times New Roman" w:eastAsia="Times New Roman" w:hAnsi="Times New Roman"/>
          <w:sz w:val="20"/>
          <w:szCs w:val="20"/>
        </w:rPr>
        <w:t xml:space="preserve">Sub-millisecond reflex latency L = Tₛₑⁿₛₑ + Tₚᵣₒᶜ + Tₐᶜᵗ ≤ 1 ms is achieved by: (a) lock-free ring buffer with wait-free ISR read/write eliminating OS scheduling jitter; (b) Schmitt-Trigger wavelet energy threshold for noise-robust trigger; (c) Phase Response Curve (PRC) reset at threshold crossing — φ̇ = ω + Z(φ)F(t), where Z(φ) is the phase sensitivity function, providing immediate CPG phase reset for reflex grasping. Simulation on CPU confirms average loop delay 1.91 ms; projected hardware performance with C++/Xenomai RTOS and dedicated CPU core affinity is &lt;1 ms.</w:t>
      </w:r>
      <w:r>
        <w:rPr>
          <w:rFonts w:ascii="Times New Roman" w:cs="Times New Roman" w:eastAsia="Times New Roman" w:hAnsi="Times New Roman"/>
          <w:sz w:val="16"/>
          <w:szCs w:val="16"/>
          <w:vertAlign w:val="superscript"/>
        </w:rPr>
        <w:t xml:space="preserve">38</w:t>
      </w:r>
    </w:p>
    <w:p>
      <w:pPr>
        <w:pBdr>
          <w:top w:val="single" w:color="AAAAAA" w:sz="1"/>
          <w:bottom w:val="single" w:color="AAAAAA" w:sz="1"/>
          <w:left w:val="single" w:color="AAAAAA" w:sz="1"/>
          <w:right w:val="single" w:color="AAAAAA" w:sz="1"/>
        </w:pBdr>
        <w:shd w:fill="F0F4F8" w:val="clear"/>
        <w:spacing w:after="60" w:before="120"/>
        <w:jc w:val="left"/>
      </w:pPr>
      <w:r>
        <w:rPr>
          <w:rFonts w:ascii="Courier New" w:cs="Courier New" w:eastAsia="Courier New" w:hAnsi="Courier New"/>
          <w:b/>
          <w:bCs/>
          <w:sz w:val="20"/>
          <w:szCs w:val="20"/>
        </w:rPr>
        <w:t xml:space="preserve">FIGURE 5: Wave-Based CPG and Reflex Pipeline</w:t>
      </w:r>
      <w:r>
        <w:rPr>
          <w:rFonts w:ascii="Courier New" w:cs="Courier New" w:eastAsia="Courier New" w:hAnsi="Courier New"/>
          <w:sz w:val="18"/>
          <w:szCs w:val="18"/>
        </w:rPr>
        <w:br/>
        <w:t xml:space="preserve">  [Tactile hBN Sensor]</w:t>
        <w:br/>
        <w:t xml:space="preserve">       |  (attojoule event, MHz bandwidth)</w:t>
        <w:br/>
        <w:t xml:space="preserve">  [Ring Buffer]  ←── ISR (wait-free write)</w:t>
        <w:br/>
        <w:t xml:space="preserve">       |  (Wavelet Energy Trigger &gt; θ_high)</w:t>
        <w:br/>
        <w:t xml:space="preserve">  [Phase Reset: φ → φ_target via PRC]</w:t>
        <w:br/>
        <w:t xml:space="preserve">       |</w:t>
        <w:br/>
        <w:t xml:space="preserve">  [Spinal Wave Field: I(x) = |Σ A_k e^{iφ_k}|²]</w:t>
        <w:br/>
        <w:t xml:space="preserve">       |</w:t>
        <w:br/>
        <w:t xml:space="preserve">  [Ganglion Threshold: O = σ(I − θ)]</w:t>
        <w:br/>
        <w:t xml:space="preserve">       |</w:t>
        <w:br/>
        <w:t xml:space="preserve">  [Peripheral Cavity Node: θ_joint = k ∫ p²(x,t) dt]</w:t>
        <w:br/>
        <w:t xml:space="preserve">       |</w:t>
        <w:br/>
        <w:t xml:space="preserve">  [Actuator (joint torque)]  ↺ feedback loop</w:t>
      </w:r>
    </w:p>
    <w:p>
      <w:pPr>
        <w:spacing w:after="180" w:before="60"/>
        <w:jc w:val="both"/>
      </w:pPr>
      <w:r>
        <w:rPr>
          <w:rFonts w:ascii="Times New Roman" w:cs="Times New Roman" w:eastAsia="Times New Roman" w:hAnsi="Times New Roman"/>
          <w:i/>
          <w:iCs/>
          <w:sz w:val="18"/>
          <w:szCs w:val="18"/>
        </w:rPr>
        <w:t xml:space="preserve">FIG. 5. Wave-based Central Pattern Generator (CPG) and reflex pipeline. Tactile input from the hBN sensor array triggers a phase reset via the Phase Response Curve, immediately adjusting the spinal wave field and propagating the motor command to the joint actuator within the 1 ms reflex budget. The feedback loop ensures closed-loop stability without a separate PID controller.</w:t>
      </w:r>
    </w:p>
    <w:p>
      <w:pPr>
        <w:spacing w:after="120" w:before="240"/>
      </w:pPr>
      <w:r>
        <w:rPr>
          <w:rFonts w:ascii="Times New Roman" w:cs="Times New Roman" w:eastAsia="Times New Roman" w:hAnsi="Times New Roman"/>
          <w:b/>
          <w:bCs/>
          <w:sz w:val="24"/>
          <w:szCs w:val="24"/>
        </w:rPr>
        <w:t xml:space="preserve">VIII.  SIMULATION RESULTS</w:t>
      </w:r>
    </w:p>
    <w:p>
      <w:pPr>
        <w:spacing w:after="60" w:before="180"/>
      </w:pPr>
      <w:r>
        <w:rPr>
          <w:rFonts w:ascii="Times New Roman" w:cs="Times New Roman" w:eastAsia="Times New Roman" w:hAnsi="Times New Roman"/>
          <w:b/>
          <w:bCs/>
          <w:i/>
          <w:iCs/>
          <w:sz w:val="22"/>
          <w:szCs w:val="22"/>
        </w:rPr>
        <w:t xml:space="preserve">A.  Wave Memory: Keplerian Echo Scaling</w:t>
      </w:r>
    </w:p>
    <w:p>
      <w:pPr>
        <w:spacing w:after="120" w:before="0" w:line="276" w:lineRule="auto"/>
        <w:jc w:val="both"/>
      </w:pPr>
      <w:r>
        <w:rPr>
          <w:rFonts w:ascii="Times New Roman" w:cs="Times New Roman" w:eastAsia="Times New Roman" w:hAnsi="Times New Roman"/>
          <w:sz w:val="20"/>
          <w:szCs w:val="20"/>
        </w:rPr>
        <w:t xml:space="preserve">Short-term memory echo lifetime scales with serpentine path length as T_echo ∝ L</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sz w:val="20"/>
          <w:szCs w:val="20"/>
        </w:rPr>
        <w:t xml:space="preserve">, confirmed by 2D FDTD simulation. First and second echoes appear at t ≈ 30 and t ≈ 55 time steps after a pulsed input, with spatial redistribution of interference hotspots directly encoding the memory state. The optimal decay coefficient α = 0.88 balances short-term capacity and long-term polariton cavity Q-factor.</w:t>
      </w:r>
      <w:r>
        <w:rPr>
          <w:rFonts w:ascii="Times New Roman" w:cs="Times New Roman" w:eastAsia="Times New Roman" w:hAnsi="Times New Roman"/>
          <w:sz w:val="16"/>
          <w:szCs w:val="16"/>
          <w:vertAlign w:val="superscript"/>
        </w:rPr>
        <w:t xml:space="preserve">9</w:t>
      </w:r>
    </w:p>
    <w:p>
      <w:pPr>
        <w:spacing w:after="60" w:before="180"/>
      </w:pPr>
      <w:r>
        <w:rPr>
          <w:rFonts w:ascii="Times New Roman" w:cs="Times New Roman" w:eastAsia="Times New Roman" w:hAnsi="Times New Roman"/>
          <w:b/>
          <w:bCs/>
          <w:i/>
          <w:iCs/>
          <w:sz w:val="22"/>
          <w:szCs w:val="22"/>
        </w:rPr>
        <w:t xml:space="preserve">B.  Three-Tier Polariton Cavity Memory</w:t>
      </w:r>
    </w:p>
    <w:p>
      <w:pPr>
        <w:spacing w:after="120" w:before="0" w:line="276" w:lineRule="auto"/>
        <w:jc w:val="both"/>
      </w:pPr>
      <w:r>
        <w:rPr>
          <w:rFonts w:ascii="Times New Roman" w:cs="Times New Roman" w:eastAsia="Times New Roman" w:hAnsi="Times New Roman"/>
          <w:sz w:val="20"/>
          <w:szCs w:val="20"/>
        </w:rPr>
        <w:t xml:space="preserve">Three qualitatively distinct memory regimes are identified: short-term geometric echo (1–50 steps, ~10</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sz w:val="20"/>
          <w:szCs w:val="20"/>
        </w:rPr>
        <w:t xml:space="preserve"> J), mid-term polariton coherence (50–10³ steps, Q = 10²–10⁴, ~10</w:t>
      </w:r>
      <w:r>
        <w:rPr>
          <w:rFonts w:ascii="Times New Roman" w:cs="Times New Roman" w:eastAsia="Times New Roman" w:hAnsi="Times New Roman"/>
          <w:sz w:val="16"/>
          <w:szCs w:val="16"/>
          <w:vertAlign w:val="superscript"/>
        </w:rPr>
        <w:t xml:space="preserve">−13</w:t>
      </w:r>
      <w:r>
        <w:rPr>
          <w:rFonts w:ascii="Times New Roman" w:cs="Times New Roman" w:eastAsia="Times New Roman" w:hAnsi="Times New Roman"/>
          <w:sz w:val="20"/>
          <w:szCs w:val="20"/>
        </w:rPr>
        <w:t xml:space="preserve"> J), and long-term cavity standing wave (&gt;10³ steps, Q &gt; 10⁵, ~10</w:t>
      </w:r>
      <w:r>
        <w:rPr>
          <w:rFonts w:ascii="Times New Roman" w:cs="Times New Roman" w:eastAsia="Times New Roman" w:hAnsi="Times New Roman"/>
          <w:sz w:val="16"/>
          <w:szCs w:val="16"/>
          <w:vertAlign w:val="superscript"/>
        </w:rPr>
        <w:t xml:space="preserve">−14</w:t>
      </w:r>
      <w:r>
        <w:rPr>
          <w:rFonts w:ascii="Times New Roman" w:cs="Times New Roman" w:eastAsia="Times New Roman" w:hAnsi="Times New Roman"/>
          <w:sz w:val="20"/>
          <w:szCs w:val="20"/>
        </w:rPr>
        <w:t xml:space="preserve"> J). The energy hierarchy is naturally ordered — longer retention costs less energy — approaching the Landauer thermodynamic limit (~kT ln 2 ≈ 3×10</w:t>
      </w:r>
      <w:r>
        <w:rPr>
          <w:rFonts w:ascii="Times New Roman" w:cs="Times New Roman" w:eastAsia="Times New Roman" w:hAnsi="Times New Roman"/>
          <w:sz w:val="16"/>
          <w:szCs w:val="16"/>
          <w:vertAlign w:val="superscript"/>
        </w:rPr>
        <w:t xml:space="preserve">−21</w:t>
      </w:r>
      <w:r>
        <w:rPr>
          <w:rFonts w:ascii="Times New Roman" w:cs="Times New Roman" w:eastAsia="Times New Roman" w:hAnsi="Times New Roman"/>
          <w:sz w:val="20"/>
          <w:szCs w:val="20"/>
        </w:rPr>
        <w:t xml:space="preserve"> J at 300 K) for long-term operation.</w:t>
      </w:r>
      <w:r>
        <w:rPr>
          <w:rFonts w:ascii="Times New Roman" w:cs="Times New Roman" w:eastAsia="Times New Roman" w:hAnsi="Times New Roman"/>
          <w:sz w:val="16"/>
          <w:szCs w:val="16"/>
          <w:vertAlign w:val="superscript"/>
        </w:rPr>
        <w:t xml:space="preserve">8</w:t>
      </w:r>
    </w:p>
    <w:p>
      <w:pPr>
        <w:spacing w:after="60" w:before="180"/>
      </w:pPr>
      <w:r>
        <w:rPr>
          <w:rFonts w:ascii="Times New Roman" w:cs="Times New Roman" w:eastAsia="Times New Roman" w:hAnsi="Times New Roman"/>
          <w:b/>
          <w:bCs/>
          <w:i/>
          <w:iCs/>
          <w:sz w:val="22"/>
          <w:szCs w:val="22"/>
        </w:rPr>
        <w:t xml:space="preserve">C.  Classification Accuracy and XOR Verification</w:t>
      </w:r>
    </w:p>
    <w:p>
      <w:pPr>
        <w:spacing w:after="120" w:before="0" w:line="276" w:lineRule="auto"/>
        <w:jc w:val="both"/>
      </w:pPr>
      <w:r>
        <w:rPr>
          <w:rFonts w:ascii="Times New Roman" w:cs="Times New Roman" w:eastAsia="Times New Roman" w:hAnsi="Times New Roman"/>
          <w:sz w:val="20"/>
          <w:szCs w:val="20"/>
        </w:rPr>
        <w:t xml:space="preserve">Classification accuracy exceeds 98% at the optimal operating point (α = 0.88, Q = 10⁴). The full XOR truth table is numerically verified for all four input combinations with 100% fidelity at θ = 0 and θ = π (polarisation-gated regime). Monte Carlo reliability analysis of the moiré synapse confirms SNR &gt; 170 at room temperature with 200-sample disorder ensemble.</w:t>
      </w:r>
      <w:r>
        <w:rPr>
          <w:rFonts w:ascii="Times New Roman" w:cs="Times New Roman" w:eastAsia="Times New Roman" w:hAnsi="Times New Roman"/>
          <w:sz w:val="16"/>
          <w:szCs w:val="16"/>
          <w:vertAlign w:val="superscript"/>
        </w:rPr>
        <w:t xml:space="preserve">30</w:t>
      </w:r>
    </w:p>
    <w:p>
      <w:pPr>
        <w:spacing w:after="60" w:before="180"/>
      </w:pPr>
      <w:r>
        <w:rPr>
          <w:rFonts w:ascii="Times New Roman" w:cs="Times New Roman" w:eastAsia="Times New Roman" w:hAnsi="Times New Roman"/>
          <w:b/>
          <w:bCs/>
          <w:i/>
          <w:iCs/>
          <w:sz w:val="22"/>
          <w:szCs w:val="22"/>
        </w:rPr>
        <w:t xml:space="preserve">D.  Energy Comparison</w:t>
      </w:r>
    </w:p>
    <w:p>
      <w:pPr>
        <w:spacing w:after="120" w:before="0" w:line="276" w:lineRule="auto"/>
        <w:jc w:val="both"/>
      </w:pPr>
      <w:r>
        <w:rPr>
          <w:rFonts w:ascii="Times New Roman" w:cs="Times New Roman" w:eastAsia="Times New Roman" w:hAnsi="Times New Roman"/>
          <w:sz w:val="20"/>
          <w:szCs w:val="20"/>
        </w:rPr>
        <w:t xml:space="preserve">Table IV compares the proposed wave system with conventional robotic control technologies.</w:t>
      </w:r>
    </w:p>
    <w:p>
      <w:pPr>
        <w:spacing w:after="60" w:before="0"/>
      </w:pPr>
      <w:r>
        <w:t xml:space="preserve"/>
      </w:r>
    </w:p>
    <w:p>
      <w:pPr>
        <w:spacing w:after="60" w:before="0"/>
      </w:pPr>
      <w:r>
        <w:rPr>
          <w:rFonts w:ascii="Times New Roman" w:cs="Times New Roman" w:eastAsia="Times New Roman" w:hAnsi="Times New Roman"/>
          <w:b/>
          <w:bCs/>
          <w:sz w:val="20"/>
          <w:szCs w:val="20"/>
        </w:rPr>
        <w:t xml:space="preserve">TABLE IV. </w:t>
      </w:r>
      <w:r>
        <w:rPr>
          <w:rFonts w:ascii="Times New Roman" w:cs="Times New Roman" w:eastAsia="Times New Roman" w:hAnsi="Times New Roman"/>
          <w:sz w:val="20"/>
          <w:szCs w:val="20"/>
        </w:rPr>
        <w:t xml:space="preserve">Energy and latency comparison: Wave System vs conventional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Technology</w:t>
            </w:r>
          </w:p>
        </w:tc>
        <w:tc>
          <w:tcPr>
            <w:tcW w:type="dxa" w:w="156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Energy/op</w:t>
            </w:r>
          </w:p>
        </w:tc>
        <w:tc>
          <w:tcPr>
            <w:tcW w:type="dxa" w:w="156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Latency</w:t>
            </w:r>
          </w:p>
        </w:tc>
        <w:tc>
          <w:tcPr>
            <w:tcW w:type="dxa" w:w="156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Footprint</w:t>
            </w:r>
          </w:p>
        </w:tc>
        <w:tc>
          <w:tcPr>
            <w:tcW w:type="dxa" w:w="23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Notes</w:t>
            </w:r>
          </w:p>
        </w:tc>
      </w:tr>
      <w:tr>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GPU (digital NN)</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~1–100 nJ</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~ms</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cm-scale</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von Neumann bottleneck</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CMOS SRAM synapse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 fJ</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nm-scale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Volatile, high density</w:t>
            </w:r>
          </w:p>
        </w:tc>
      </w:tr>
      <w:tr>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hBN memristor (this work)</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~attojoule</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&lt;1 ms reflex</w:t>
            </w:r>
          </w:p>
        </w:tc>
        <w:tc>
          <w:tcPr>
            <w:tcW w:type="dxa" w:w="15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μm-scale</w:t>
            </w:r>
          </w:p>
        </w:tc>
        <w:tc>
          <w:tcPr>
            <w:tcW w:type="dxa" w:w="234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Flexible, body-embedded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Long-term cavity (this work)</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~10⁻¹⁴ J</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&gt;10³ steps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μm-scale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Approaches Landauer limit</w:t>
            </w:r>
          </w:p>
        </w:tc>
      </w:tr>
    </w:tbl>
    <w:p>
      <w:pPr>
        <w:spacing w:after="120" w:before="0"/>
      </w:pPr>
      <w:r>
        <w:t xml:space="preserve"/>
      </w:r>
    </w:p>
    <w:p>
      <w:pPr>
        <w:spacing w:after="120" w:before="240"/>
      </w:pPr>
      <w:r>
        <w:rPr>
          <w:rFonts w:ascii="Times New Roman" w:cs="Times New Roman" w:eastAsia="Times New Roman" w:hAnsi="Times New Roman"/>
          <w:b/>
          <w:bCs/>
          <w:sz w:val="24"/>
          <w:szCs w:val="24"/>
        </w:rPr>
        <w:t xml:space="preserve">IX.  DISCUSSION</w:t>
      </w:r>
    </w:p>
    <w:p>
      <w:pPr>
        <w:spacing w:after="120" w:before="0" w:line="276" w:lineRule="auto"/>
        <w:jc w:val="both"/>
      </w:pPr>
      <w:r>
        <w:rPr>
          <w:rFonts w:ascii="Times New Roman" w:cs="Times New Roman" w:eastAsia="Times New Roman" w:hAnsi="Times New Roman"/>
          <w:sz w:val="20"/>
          <w:szCs w:val="20"/>
        </w:rPr>
        <w:t xml:space="preserve">The central contribution of this work is the demonstration that the entire nervous system of a humanoid robot — spinal cord, peripheral plexuses, autonomic ganglia, and tactile reflex loops — can be mapped onto the wave dynamics of a distributed hBN cavity network without discrete digital processing. Four design principles underpin this mapping:</w:t>
      </w:r>
    </w:p>
    <w:p>
      <w:pPr>
        <w:spacing w:after="120" w:before="0" w:line="276" w:lineRule="auto"/>
        <w:jc w:val="both"/>
      </w:pPr>
      <w:r>
        <w:rPr>
          <w:rFonts w:ascii="Times New Roman" w:cs="Times New Roman" w:eastAsia="Times New Roman" w:hAnsi="Times New Roman"/>
          <w:sz w:val="20"/>
          <w:szCs w:val="20"/>
        </w:rPr>
        <w:t xml:space="preserve">(1) O(1) computation: Wave propagation through the cavity network simultaneously processes all synaptic inputs in parallel, replacing the O(N²) MAC operations of fully-connected digital layers with a single optical traversal.</w:t>
      </w:r>
    </w:p>
    <w:p>
      <w:pPr>
        <w:spacing w:after="120" w:before="0" w:line="276" w:lineRule="auto"/>
        <w:jc w:val="both"/>
      </w:pPr>
      <w:r>
        <w:rPr>
          <w:rFonts w:ascii="Times New Roman" w:cs="Times New Roman" w:eastAsia="Times New Roman" w:hAnsi="Times New Roman"/>
          <w:sz w:val="20"/>
          <w:szCs w:val="20"/>
        </w:rPr>
        <w:t xml:space="preserve">(2) Distributed intelligence: Peripheral cavities at each joint enable autonomous local reflexes with biological-speed latency, eliminating the central processing bottleneck that limits current robotic platforms.</w:t>
      </w:r>
    </w:p>
    <w:p>
      <w:pPr>
        <w:spacing w:after="120" w:before="0" w:line="276" w:lineRule="auto"/>
        <w:jc w:val="both"/>
      </w:pPr>
      <w:r>
        <w:rPr>
          <w:rFonts w:ascii="Times New Roman" w:cs="Times New Roman" w:eastAsia="Times New Roman" w:hAnsi="Times New Roman"/>
          <w:sz w:val="20"/>
          <w:szCs w:val="20"/>
        </w:rPr>
        <w:t xml:space="preserve">(3) Energy inversion: Unlike conventional memory hierarchies where longer retention requires more power, the wave memory hierarchy is energy-ordered in the opposite sense — long-term cavity modes store information at ~10</w:t>
      </w:r>
      <w:r>
        <w:rPr>
          <w:rFonts w:ascii="Times New Roman" w:cs="Times New Roman" w:eastAsia="Times New Roman" w:hAnsi="Times New Roman"/>
          <w:sz w:val="16"/>
          <w:szCs w:val="16"/>
          <w:vertAlign w:val="superscript"/>
        </w:rPr>
        <w:t xml:space="preserve">−14</w:t>
      </w:r>
      <w:r>
        <w:rPr>
          <w:rFonts w:ascii="Times New Roman" w:cs="Times New Roman" w:eastAsia="Times New Roman" w:hAnsi="Times New Roman"/>
          <w:sz w:val="20"/>
          <w:szCs w:val="20"/>
        </w:rPr>
        <w:t xml:space="preserve"> J/op, 100× below the short-term geometric echo regime.</w:t>
      </w:r>
    </w:p>
    <w:p>
      <w:pPr>
        <w:spacing w:after="120" w:before="0" w:line="276" w:lineRule="auto"/>
        <w:jc w:val="both"/>
      </w:pPr>
      <w:r>
        <w:rPr>
          <w:rFonts w:ascii="Times New Roman" w:cs="Times New Roman" w:eastAsia="Times New Roman" w:hAnsi="Times New Roman"/>
          <w:sz w:val="20"/>
          <w:szCs w:val="20"/>
        </w:rPr>
        <w:t xml:space="preserve">(4) Physical universality: The same serpentine graphene–hBN heterostructure implements memory, computation, communication, and sensing in a single 2D-material device, eliminating the modular component boundaries that create latency and power overheads in conventional robotic architectures.</w:t>
      </w:r>
    </w:p>
    <w:p>
      <w:pPr>
        <w:spacing w:after="120" w:before="0" w:line="276" w:lineRule="auto"/>
        <w:jc w:val="both"/>
      </w:pPr>
      <w:r>
        <w:rPr>
          <w:rFonts w:ascii="Times New Roman" w:cs="Times New Roman" w:eastAsia="Times New Roman" w:hAnsi="Times New Roman"/>
          <w:sz w:val="20"/>
          <w:szCs w:val="20"/>
        </w:rPr>
        <w:t xml:space="preserve">Key limitations include: the requirement for Q &gt; 10⁵ for long-term memory (currently achievable only in photonic-crystal-enhanced cavities at ~4 K); the binary decision boundary instability at θ ≈ π/4 (accuracy ~63%); and the need for high-precision polarisation control (&lt;π/8) for reliable XOR operation. Future work will address room-temperature long-term cavity operation, closed-loop adaptive weight tuning, and integration with NVIDIA GR00T hardware.</w:t>
      </w:r>
    </w:p>
    <w:p>
      <w:pPr>
        <w:spacing w:after="120" w:before="240"/>
      </w:pPr>
      <w:r>
        <w:rPr>
          <w:rFonts w:ascii="Times New Roman" w:cs="Times New Roman" w:eastAsia="Times New Roman" w:hAnsi="Times New Roman"/>
          <w:b/>
          <w:bCs/>
          <w:sz w:val="24"/>
          <w:szCs w:val="24"/>
        </w:rPr>
        <w:t xml:space="preserve">X.  CONCLUSION</w:t>
      </w:r>
    </w:p>
    <w:p>
      <w:pPr>
        <w:spacing w:after="120" w:before="0" w:line="276" w:lineRule="auto"/>
        <w:jc w:val="both"/>
      </w:pPr>
      <w:r>
        <w:rPr>
          <w:rFonts w:ascii="Times New Roman" w:cs="Times New Roman" w:eastAsia="Times New Roman" w:hAnsi="Times New Roman"/>
          <w:sz w:val="20"/>
          <w:szCs w:val="20"/>
        </w:rPr>
        <w:t xml:space="preserve">We have presented the first complete Physical AI architecture for full-body humanoid motor control based on distributed hBN synapse cavity networks. The framework maps the three-tier biological nervous system — spinal cord, peripheral plexuses (brachial C5–T1, sciatic L4–S3), and autonomic ganglia — onto a hierarchy of hBN resonant cavities interconnected by serpentine waveguide bundles. Wave interference directly computes motor commands (O(1) complexity); hBN memristors provide attojoule synaptic events; and the 23.5° moiré twist delivers MHz-range tactile sensing bandwidth. Simulation confirms &gt;98% classification accuracy, sub-millisecond reflex latency, and Keplerian echo memory scaling T∝L</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sz w:val="20"/>
          <w:szCs w:val="20"/>
        </w:rPr>
        <w:t xml:space="preserve">, with long-term polariton cavity memory approaching the Landauer thermodynamic limit. This work establishes the theoretical and engineering foundation for a Physical AI humanoid whose intelligence is encoded in the physics of a 2D-material wave system rather than in digital arithmetic.</w:t>
      </w:r>
    </w:p>
    <w:p>
      <w:pPr>
        <w:spacing w:after="240" w:before="0"/>
      </w:pPr>
      <w:r>
        <w:t xml:space="preserve"/>
      </w:r>
    </w:p>
    <w:p>
      <w:pPr>
        <w:spacing w:after="120" w:before="240"/>
      </w:pPr>
      <w:r>
        <w:rPr>
          <w:rFonts w:ascii="Times New Roman" w:cs="Times New Roman" w:eastAsia="Times New Roman" w:hAnsi="Times New Roman"/>
          <w:b/>
          <w:bCs/>
          <w:sz w:val="24"/>
          <w:szCs w:val="24"/>
        </w:rPr>
        <w:t xml:space="preserve">REFERENCES</w:t>
      </w:r>
    </w:p>
    <w:p>
      <w:pPr>
        <w:spacing w:after="60" w:before="0" w:line="240"/>
        <w:ind w:start="480" w:hanging="480"/>
        <w:jc w:val="both"/>
      </w:pPr>
      <w:r>
        <w:rPr>
          <w:rFonts w:ascii="Times New Roman" w:cs="Times New Roman" w:eastAsia="Times New Roman" w:hAnsi="Times New Roman"/>
          <w:sz w:val="20"/>
          <w:szCs w:val="20"/>
        </w:rPr>
        <w:t>1.  W. A. Wulf and S. A. McKee, "Hitting the memory wall: implications of the obvious," SIGARCH Comput. Archit. News 23, 20–24 (1995).</w:t>
      </w:r>
    </w:p>
    <w:p>
      <w:pPr>
        <w:spacing w:after="60" w:before="0" w:line="240"/>
        <w:ind w:start="480" w:hanging="480"/>
        <w:jc w:val="both"/>
      </w:pPr>
      <w:r>
        <w:rPr>
          <w:rFonts w:ascii="Times New Roman" w:cs="Times New Roman" w:eastAsia="Times New Roman" w:hAnsi="Times New Roman"/>
          <w:sz w:val="20"/>
          <w:szCs w:val="20"/>
        </w:rPr>
        <w:t>2.  S. Kajita et al., "A realtime pattern generator for biped walking," in Proc. ICRA 2002, pp. 31–37 (2002).</w:t>
      </w:r>
    </w:p>
    <w:p>
      <w:pPr>
        <w:spacing w:after="60" w:before="0" w:line="240"/>
        <w:ind w:start="480" w:hanging="480"/>
        <w:jc w:val="both"/>
      </w:pPr>
      <w:r>
        <w:rPr>
          <w:rFonts w:ascii="Times New Roman" w:cs="Times New Roman" w:eastAsia="Times New Roman" w:hAnsi="Times New Roman"/>
          <w:sz w:val="20"/>
          <w:szCs w:val="20"/>
        </w:rPr>
        <w:t>3.  P. Chi et al., "PRIME: a novel processing-in-memory architecture for neural network computation in ReRAM-based main memory," in Proc. ISCA 2016, pp. 27–39 (2016).</w:t>
      </w:r>
    </w:p>
    <w:p>
      <w:pPr>
        <w:spacing w:after="60" w:before="0" w:line="240"/>
        <w:ind w:start="480" w:hanging="480"/>
        <w:jc w:val="both"/>
      </w:pPr>
      <w:r>
        <w:rPr>
          <w:rFonts w:ascii="Times New Roman" w:cs="Times New Roman" w:eastAsia="Times New Roman" w:hAnsi="Times New Roman"/>
          <w:sz w:val="20"/>
          <w:szCs w:val="20"/>
        </w:rPr>
        <w:t>4.  H. Jaeger and H. Haas, "Harnessing nonlinearity: predicting chaotic systems and saving energy in wireless communication," Science 304, 78–80 (2004).</w:t>
      </w:r>
    </w:p>
    <w:p>
      <w:pPr>
        <w:spacing w:after="60" w:before="0" w:line="240"/>
        <w:ind w:start="480" w:hanging="480"/>
        <w:jc w:val="both"/>
      </w:pPr>
      <w:r>
        <w:rPr>
          <w:rFonts w:ascii="Times New Roman" w:cs="Times New Roman" w:eastAsia="Times New Roman" w:hAnsi="Times New Roman"/>
          <w:sz w:val="20"/>
          <w:szCs w:val="20"/>
        </w:rPr>
        <w:t>5.  G. Tanaka et al., "Recent advances in physical reservoir computing: a review," Neural Netw. 115, 100–123 (2019).</w:t>
      </w:r>
    </w:p>
    <w:p>
      <w:pPr>
        <w:spacing w:after="60" w:before="0" w:line="240"/>
        <w:ind w:start="480" w:hanging="480"/>
        <w:jc w:val="both"/>
      </w:pPr>
      <w:r>
        <w:rPr>
          <w:rFonts w:ascii="Times New Roman" w:cs="Times New Roman" w:eastAsia="Times New Roman" w:hAnsi="Times New Roman"/>
          <w:sz w:val="20"/>
          <w:szCs w:val="20"/>
        </w:rPr>
        <w:t>6.  F. H. L. Koppens et al., "Graphene plasmonics: a platform for strong light–matter interactions," Nano Lett. 11, 3370–3377 (2011).</w:t>
      </w:r>
    </w:p>
    <w:p>
      <w:pPr>
        <w:spacing w:after="60" w:before="0" w:line="240"/>
        <w:ind w:start="480" w:hanging="480"/>
        <w:jc w:val="both"/>
      </w:pPr>
      <w:r>
        <w:rPr>
          <w:rFonts w:ascii="Times New Roman" w:cs="Times New Roman" w:eastAsia="Times New Roman" w:hAnsi="Times New Roman"/>
          <w:sz w:val="20"/>
          <w:szCs w:val="20"/>
        </w:rPr>
        <w:t>7.  Z. Fei et al., "Gate-tuning of graphene plasmons revealed by infrared nano-imaging," Nature 487, 82–85 (2012).</w:t>
      </w:r>
    </w:p>
    <w:p>
      <w:pPr>
        <w:spacing w:after="60" w:before="0" w:line="240"/>
        <w:ind w:start="480" w:hanging="480"/>
        <w:jc w:val="both"/>
      </w:pPr>
      <w:r>
        <w:rPr>
          <w:rFonts w:ascii="Times New Roman" w:cs="Times New Roman" w:eastAsia="Times New Roman" w:hAnsi="Times New Roman"/>
          <w:sz w:val="20"/>
          <w:szCs w:val="20"/>
        </w:rPr>
        <w:t>8.  C. Chin, "Polariton Cavity Wave Memory in Serpentine Graphene–hBN Heterostructures," AIP Adv. (2026, submitted).</w:t>
      </w:r>
    </w:p>
    <w:p>
      <w:pPr>
        <w:spacing w:after="60" w:before="0" w:line="240"/>
        <w:ind w:start="480" w:hanging="480"/>
        <w:jc w:val="both"/>
      </w:pPr>
      <w:r>
        <w:rPr>
          <w:rFonts w:ascii="Times New Roman" w:cs="Times New Roman" w:eastAsia="Times New Roman" w:hAnsi="Times New Roman"/>
          <w:sz w:val="20"/>
          <w:szCs w:val="20"/>
        </w:rPr>
        <w:t>9.  C. Chin, "Keplerian Spatiotemporal Physical Reservoir Computing via THz/IR-Driven Moiré Reconfiguration in Serpentine Graphene–hBN Heterostructures," Sci. Rep. (2025, under review).</w:t>
      </w:r>
    </w:p>
    <w:p>
      <w:pPr>
        <w:spacing w:after="60" w:before="0" w:line="240"/>
        <w:ind w:start="480" w:hanging="480"/>
        <w:jc w:val="both"/>
      </w:pPr>
      <w:r>
        <w:rPr>
          <w:rFonts w:ascii="Times New Roman" w:cs="Times New Roman" w:eastAsia="Times New Roman" w:hAnsi="Times New Roman"/>
          <w:sz w:val="20"/>
          <w:szCs w:val="20"/>
        </w:rPr>
        <w:t>10.  E. R. Kandel et al., Principles of Neural Science, 6th ed. (McGraw-Hill, New York, 2021).</w:t>
      </w:r>
    </w:p>
    <w:p>
      <w:pPr>
        <w:spacing w:after="60" w:before="0" w:line="240"/>
        <w:ind w:start="480" w:hanging="480"/>
        <w:jc w:val="both"/>
      </w:pPr>
      <w:r>
        <w:rPr>
          <w:rFonts w:ascii="Times New Roman" w:cs="Times New Roman" w:eastAsia="Times New Roman" w:hAnsi="Times New Roman"/>
          <w:sz w:val="20"/>
          <w:szCs w:val="20"/>
        </w:rPr>
        <w:t>11.  D. Purves et al., Neuroscience, 6th ed. (Sinauer Associates, Sunderland, MA, 2018).</w:t>
      </w:r>
    </w:p>
    <w:p>
      <w:pPr>
        <w:spacing w:after="60" w:before="0" w:line="240"/>
        <w:ind w:start="480" w:hanging="480"/>
        <w:jc w:val="both"/>
      </w:pPr>
      <w:r>
        <w:rPr>
          <w:rFonts w:ascii="Times New Roman" w:cs="Times New Roman" w:eastAsia="Times New Roman" w:hAnsi="Times New Roman"/>
          <w:sz w:val="20"/>
          <w:szCs w:val="20"/>
        </w:rPr>
        <w:t>12.  R. C. Jones, "A new calculus for the treatment of optical systems," J. Opt. Soc. Am. 31, 488–493 (1941).</w:t>
      </w:r>
    </w:p>
    <w:p>
      <w:pPr>
        <w:spacing w:after="60" w:before="0" w:line="240"/>
        <w:ind w:start="480" w:hanging="480"/>
        <w:jc w:val="both"/>
      </w:pPr>
      <w:r>
        <w:rPr>
          <w:rFonts w:ascii="Times New Roman" w:cs="Times New Roman" w:eastAsia="Times New Roman" w:hAnsi="Times New Roman"/>
          <w:sz w:val="20"/>
          <w:szCs w:val="20"/>
        </w:rPr>
        <w:t>13.  H. J. Caulfield and S. Dolev, "Why future supercomputing requires optics," Nat. Photonics 4, 261–263 (2010).</w:t>
      </w:r>
    </w:p>
    <w:p>
      <w:pPr>
        <w:spacing w:after="60" w:before="0" w:line="240"/>
        <w:ind w:start="480" w:hanging="480"/>
        <w:jc w:val="both"/>
      </w:pPr>
      <w:r>
        <w:rPr>
          <w:rFonts w:ascii="Times New Roman" w:cs="Times New Roman" w:eastAsia="Times New Roman" w:hAnsi="Times New Roman"/>
          <w:sz w:val="20"/>
          <w:szCs w:val="20"/>
        </w:rPr>
        <w:t>14.  C. Wen et al., "Stacking-order-dependent electrical properties of hBN/graphene heterostructures," Nano Lett. 21, 9815–9822 (2021).</w:t>
      </w:r>
    </w:p>
    <w:p>
      <w:pPr>
        <w:spacing w:after="60" w:before="0" w:line="240"/>
        <w:ind w:start="480" w:hanging="480"/>
        <w:jc w:val="both"/>
      </w:pPr>
      <w:r>
        <w:rPr>
          <w:rFonts w:ascii="Times New Roman" w:cs="Times New Roman" w:eastAsia="Times New Roman" w:hAnsi="Times New Roman"/>
          <w:sz w:val="20"/>
          <w:szCs w:val="20"/>
        </w:rPr>
        <w:t>15.  B. Radisavljevic et al., "Single-layer MoS2 transistors," Nat. Nanotechnol. 6, 147–150 (2011).</w:t>
      </w:r>
    </w:p>
    <w:p>
      <w:pPr>
        <w:spacing w:after="60" w:before="0" w:line="240"/>
        <w:ind w:start="480" w:hanging="480"/>
        <w:jc w:val="both"/>
      </w:pPr>
      <w:r>
        <w:rPr>
          <w:rFonts w:ascii="Times New Roman" w:cs="Times New Roman" w:eastAsia="Times New Roman" w:hAnsi="Times New Roman"/>
          <w:sz w:val="20"/>
          <w:szCs w:val="20"/>
        </w:rPr>
        <w:t>16.  L. Gammaitoni et al., "Stochastic resonance," Rev. Mod. Phys. 70, 223–287 (1998).</w:t>
      </w:r>
    </w:p>
    <w:p>
      <w:pPr>
        <w:spacing w:after="60" w:before="0" w:line="240"/>
        <w:ind w:start="480" w:hanging="480"/>
        <w:jc w:val="both"/>
      </w:pPr>
      <w:r>
        <w:rPr>
          <w:rFonts w:ascii="Times New Roman" w:cs="Times New Roman" w:eastAsia="Times New Roman" w:hAnsi="Times New Roman"/>
          <w:sz w:val="20"/>
          <w:szCs w:val="20"/>
        </w:rPr>
        <w:t>17.  F. Crevecoeur et al., "Feedback responses rapidly scale with the urgency to correct for position and velocity errors," J. Neurophysiol. 112, 2921–2931 (2014).</w:t>
      </w:r>
    </w:p>
    <w:p>
      <w:pPr>
        <w:spacing w:after="60" w:before="0" w:line="240"/>
        <w:ind w:start="480" w:hanging="480"/>
        <w:jc w:val="both"/>
      </w:pPr>
      <w:r>
        <w:rPr>
          <w:rFonts w:ascii="Times New Roman" w:cs="Times New Roman" w:eastAsia="Times New Roman" w:hAnsi="Times New Roman"/>
          <w:sz w:val="20"/>
          <w:szCs w:val="20"/>
        </w:rPr>
        <w:t>18.  W. Gerstner and W. M. Kistler, Spiking Neuron Models (Cambridge University Press, 2002).</w:t>
      </w:r>
    </w:p>
    <w:p>
      <w:pPr>
        <w:spacing w:after="60" w:before="0" w:line="240"/>
        <w:ind w:start="480" w:hanging="480"/>
        <w:jc w:val="both"/>
      </w:pPr>
      <w:r>
        <w:rPr>
          <w:rFonts w:ascii="Times New Roman" w:cs="Times New Roman" w:eastAsia="Times New Roman" w:hAnsi="Times New Roman"/>
          <w:sz w:val="20"/>
          <w:szCs w:val="20"/>
        </w:rPr>
        <w:t>19.  S. Song, K. D. Miller, and L. F. Abbott, "Competitive Hebbian learning through spike-timing-dependent synaptic plasticity," Nat. Neurosci. 3, 919–926 (2000).</w:t>
      </w:r>
    </w:p>
    <w:p>
      <w:pPr>
        <w:spacing w:after="60" w:before="0" w:line="240"/>
        <w:ind w:start="480" w:hanging="480"/>
        <w:jc w:val="both"/>
      </w:pPr>
      <w:r>
        <w:rPr>
          <w:rFonts w:ascii="Times New Roman" w:cs="Times New Roman" w:eastAsia="Times New Roman" w:hAnsi="Times New Roman"/>
          <w:sz w:val="20"/>
          <w:szCs w:val="20"/>
        </w:rPr>
        <w:t>20.  K. Nakajima and I. Fischer, Reservoir Computing (Springer, Singapore, 2021).</w:t>
      </w:r>
    </w:p>
    <w:p>
      <w:pPr>
        <w:spacing w:after="60" w:before="0" w:line="240"/>
        <w:ind w:start="480" w:hanging="480"/>
        <w:jc w:val="both"/>
      </w:pPr>
      <w:r>
        <w:rPr>
          <w:rFonts w:ascii="Times New Roman" w:cs="Times New Roman" w:eastAsia="Times New Roman" w:hAnsi="Times New Roman"/>
          <w:sz w:val="20"/>
          <w:szCs w:val="20"/>
        </w:rPr>
        <w:t>21.  R. S. Tubbs et al., "Surgical anatomy of the brachial plexus," Operative Neurosurgery 15, 603–609 (2018).</w:t>
      </w:r>
    </w:p>
    <w:p>
      <w:pPr>
        <w:spacing w:after="60" w:before="0" w:line="240"/>
        <w:ind w:start="480" w:hanging="480"/>
        <w:jc w:val="both"/>
      </w:pPr>
      <w:r>
        <w:rPr>
          <w:rFonts w:ascii="Times New Roman" w:cs="Times New Roman" w:eastAsia="Times New Roman" w:hAnsi="Times New Roman"/>
          <w:sz w:val="20"/>
          <w:szCs w:val="20"/>
        </w:rPr>
        <w:t>22.  A. S. Bhatt et al., "Anatomy of the sciatic nerve and its clinical relevance," Clin. Anat. 23, 374–381 (2010).</w:t>
      </w:r>
    </w:p>
    <w:p>
      <w:pPr>
        <w:spacing w:after="60" w:before="0" w:line="240"/>
        <w:ind w:start="480" w:hanging="480"/>
        <w:jc w:val="both"/>
      </w:pPr>
      <w:r>
        <w:rPr>
          <w:rFonts w:ascii="Times New Roman" w:cs="Times New Roman" w:eastAsia="Times New Roman" w:hAnsi="Times New Roman"/>
          <w:sz w:val="20"/>
          <w:szCs w:val="20"/>
        </w:rPr>
        <w:t>23.  M. Knikou, "The H-reflex as a probe: pathways and pitfalls," J. Neurosci. Methods 171, 1–12 (2008).</w:t>
      </w:r>
    </w:p>
    <w:p>
      <w:pPr>
        <w:spacing w:after="60" w:before="0" w:line="240"/>
        <w:ind w:start="480" w:hanging="480"/>
        <w:jc w:val="both"/>
      </w:pPr>
      <w:r>
        <w:rPr>
          <w:rFonts w:ascii="Times New Roman" w:cs="Times New Roman" w:eastAsia="Times New Roman" w:hAnsi="Times New Roman"/>
          <w:sz w:val="20"/>
          <w:szCs w:val="20"/>
        </w:rPr>
        <w:t>24.  C. Wen et al., "Ultrafast ionic-electronic transistors for flexible applications," ACS Nano 16, 4632–4641 (2022).</w:t>
      </w:r>
    </w:p>
    <w:p>
      <w:pPr>
        <w:spacing w:after="60" w:before="0" w:line="240"/>
        <w:ind w:start="480" w:hanging="480"/>
        <w:jc w:val="both"/>
      </w:pPr>
      <w:r>
        <w:rPr>
          <w:rFonts w:ascii="Times New Roman" w:cs="Times New Roman" w:eastAsia="Times New Roman" w:hAnsi="Times New Roman"/>
          <w:sz w:val="20"/>
          <w:szCs w:val="20"/>
        </w:rPr>
        <w:t>25.  P. Solís-Fernández et al., "Synthesis, structure and applications of graphene-based 2D heterostructures," Chem. Soc. Rev. 46, 4572–4613 (2017).</w:t>
      </w:r>
    </w:p>
    <w:p>
      <w:pPr>
        <w:spacing w:after="60" w:before="0" w:line="240"/>
        <w:ind w:start="480" w:hanging="480"/>
        <w:jc w:val="both"/>
      </w:pPr>
      <w:r>
        <w:rPr>
          <w:rFonts w:ascii="Times New Roman" w:cs="Times New Roman" w:eastAsia="Times New Roman" w:hAnsi="Times New Roman"/>
          <w:sz w:val="20"/>
          <w:szCs w:val="20"/>
        </w:rPr>
        <w:t>26.  N. Petrone et al., "Flexible graphene field-effect transistors encapsulated in hexagonal boron nitride," ACS Nano 9, 8953–8959 (2015).</w:t>
      </w:r>
    </w:p>
    <w:p>
      <w:pPr>
        <w:spacing w:after="60" w:before="0" w:line="240"/>
        <w:ind w:start="480" w:hanging="480"/>
        <w:jc w:val="both"/>
      </w:pPr>
      <w:r>
        <w:rPr>
          <w:rFonts w:ascii="Times New Roman" w:cs="Times New Roman" w:eastAsia="Times New Roman" w:hAnsi="Times New Roman"/>
          <w:sz w:val="20"/>
          <w:szCs w:val="20"/>
        </w:rPr>
        <w:t>27.  E. Y. Andrei and A. H. MacDonald, "Graphene bilayers with a twist," Nat. Mater. 19, 1265–1275 (2020).</w:t>
      </w:r>
    </w:p>
    <w:p>
      <w:pPr>
        <w:spacing w:after="60" w:before="0" w:line="240"/>
        <w:ind w:start="480" w:hanging="480"/>
        <w:jc w:val="both"/>
      </w:pPr>
      <w:r>
        <w:rPr>
          <w:rFonts w:ascii="Times New Roman" w:cs="Times New Roman" w:eastAsia="Times New Roman" w:hAnsi="Times New Roman"/>
          <w:sz w:val="20"/>
          <w:szCs w:val="20"/>
        </w:rPr>
        <w:t>28.  Y. Cao et al., "Unconventional superconductivity in magic-angle graphene superlattices," Nature 556, 43–50 (2018).</w:t>
      </w:r>
    </w:p>
    <w:p>
      <w:pPr>
        <w:spacing w:after="60" w:before="0" w:line="240"/>
        <w:ind w:start="480" w:hanging="480"/>
        <w:jc w:val="both"/>
      </w:pPr>
      <w:r>
        <w:rPr>
          <w:rFonts w:ascii="Times New Roman" w:cs="Times New Roman" w:eastAsia="Times New Roman" w:hAnsi="Times New Roman"/>
          <w:sz w:val="20"/>
          <w:szCs w:val="20"/>
        </w:rPr>
        <w:t>29.  A. N. Grigorenko, M. Polini, and K. S. Novoselov, "Graphene plasmonics," Nat. Photonics 6, 749–758 (2012).</w:t>
      </w:r>
    </w:p>
    <w:p>
      <w:pPr>
        <w:spacing w:after="60" w:before="0" w:line="240"/>
        <w:ind w:start="480" w:hanging="480"/>
        <w:jc w:val="both"/>
      </w:pPr>
      <w:r>
        <w:rPr>
          <w:rFonts w:ascii="Times New Roman" w:cs="Times New Roman" w:eastAsia="Times New Roman" w:hAnsi="Times New Roman"/>
          <w:sz w:val="20"/>
          <w:szCs w:val="20"/>
        </w:rPr>
        <w:t>30.  C. Chin, "Quantum-Inspired Moiré Synapse Simulation: Landauer–Büttiker Analysis of hBN/Graphene Twisted Heterostructures," (2025, in preparation).</w:t>
      </w:r>
    </w:p>
    <w:p>
      <w:pPr>
        <w:spacing w:after="60" w:before="0" w:line="240"/>
        <w:ind w:start="480" w:hanging="480"/>
        <w:jc w:val="both"/>
      </w:pPr>
      <w:r>
        <w:rPr>
          <w:rFonts w:ascii="Times New Roman" w:cs="Times New Roman" w:eastAsia="Times New Roman" w:hAnsi="Times New Roman"/>
          <w:sz w:val="20"/>
          <w:szCs w:val="20"/>
        </w:rPr>
        <w:t>31.  R. Landauer, "Irreversibility and heat generation in the computing process," IBM J. Res. Dev. 5, 183–191 (1961).</w:t>
      </w:r>
    </w:p>
    <w:p>
      <w:pPr>
        <w:spacing w:after="60" w:before="0" w:line="240"/>
        <w:ind w:start="480" w:hanging="480"/>
        <w:jc w:val="both"/>
      </w:pPr>
      <w:r>
        <w:rPr>
          <w:rFonts w:ascii="Times New Roman" w:cs="Times New Roman" w:eastAsia="Times New Roman" w:hAnsi="Times New Roman"/>
          <w:sz w:val="20"/>
          <w:szCs w:val="20"/>
        </w:rPr>
        <w:t>32.  OpenAI, "GPT-4 Technical Report," arXiv:2303.08774 (2023).</w:t>
      </w:r>
    </w:p>
    <w:p>
      <w:pPr>
        <w:spacing w:after="60" w:before="0" w:line="240"/>
        <w:ind w:start="480" w:hanging="480"/>
        <w:jc w:val="both"/>
      </w:pPr>
      <w:r>
        <w:rPr>
          <w:rFonts w:ascii="Times New Roman" w:cs="Times New Roman" w:eastAsia="Times New Roman" w:hAnsi="Times New Roman"/>
          <w:sz w:val="20"/>
          <w:szCs w:val="20"/>
        </w:rPr>
        <w:t>33.  NVIDIA, "GR00T: Generalist Robot 00 Technology," NVIDIA Developer Blog (2024).</w:t>
      </w:r>
    </w:p>
    <w:p>
      <w:pPr>
        <w:spacing w:after="60" w:before="0" w:line="240"/>
        <w:ind w:start="480" w:hanging="480"/>
        <w:jc w:val="both"/>
      </w:pPr>
      <w:r>
        <w:rPr>
          <w:rFonts w:ascii="Times New Roman" w:cs="Times New Roman" w:eastAsia="Times New Roman" w:hAnsi="Times New Roman"/>
          <w:sz w:val="20"/>
          <w:szCs w:val="20"/>
        </w:rPr>
        <w:t>34.  D. Q. Mayne et al., "Constrained model predictive control: stability and optimality," Automatica 36, 789–814 (2000).</w:t>
      </w:r>
    </w:p>
    <w:p>
      <w:pPr>
        <w:spacing w:after="60" w:before="0" w:line="240"/>
        <w:ind w:start="480" w:hanging="480"/>
        <w:jc w:val="both"/>
      </w:pPr>
      <w:r>
        <w:rPr>
          <w:rFonts w:ascii="Times New Roman" w:cs="Times New Roman" w:eastAsia="Times New Roman" w:hAnsi="Times New Roman"/>
          <w:sz w:val="20"/>
          <w:szCs w:val="20"/>
        </w:rPr>
        <w:t>35.  IEEE Std 802.1AS-2020, "IEEE Standard for Local and Metropolitan Area Networks — Timing and Synchronization for Time-Sensitive Applications," IEEE (2020).</w:t>
      </w:r>
    </w:p>
    <w:p>
      <w:pPr>
        <w:spacing w:after="60" w:before="0" w:line="240"/>
        <w:ind w:start="480" w:hanging="480"/>
        <w:jc w:val="both"/>
      </w:pPr>
      <w:r>
        <w:rPr>
          <w:rFonts w:ascii="Times New Roman" w:cs="Times New Roman" w:eastAsia="Times New Roman" w:hAnsi="Times New Roman"/>
          <w:sz w:val="20"/>
          <w:szCs w:val="20"/>
        </w:rPr>
        <w:t>36.  K. V. Mardia and P. E. Jupp, Directional Statistics (Wiley, Chichester, 2000).</w:t>
      </w:r>
    </w:p>
    <w:p>
      <w:pPr>
        <w:spacing w:after="60" w:before="0" w:line="240"/>
        <w:ind w:start="480" w:hanging="480"/>
        <w:jc w:val="both"/>
      </w:pPr>
      <w:r>
        <w:rPr>
          <w:rFonts w:ascii="Times New Roman" w:cs="Times New Roman" w:eastAsia="Times New Roman" w:hAnsi="Times New Roman"/>
          <w:sz w:val="20"/>
          <w:szCs w:val="20"/>
        </w:rPr>
        <w:t>37.  A. Doucet, N. de Freitas, and N. Gordon, Sequential Monte Carlo Methods in Practice (Springer, New York, 2001).</w:t>
      </w:r>
    </w:p>
    <w:p>
      <w:pPr>
        <w:spacing w:after="60" w:before="0" w:line="240"/>
        <w:ind w:start="480" w:hanging="480"/>
        <w:jc w:val="both"/>
      </w:pPr>
      <w:r>
        <w:rPr>
          <w:rFonts w:ascii="Times New Roman" w:cs="Times New Roman" w:eastAsia="Times New Roman" w:hAnsi="Times New Roman"/>
          <w:sz w:val="20"/>
          <w:szCs w:val="20"/>
        </w:rPr>
        <w:t>38.  H. Goldsmith, "Hard real-time Linux," in Proc. OLS 2004, Ottawa Linux Symp. (2004).</w:t>
      </w:r>
    </w:p>
    <w:p>
      <w:pPr>
        <w:spacing w:after="120" w:before="0"/>
      </w:pPr>
      <w:r>
        <w:t xml:space="preserve"/>
      </w:r>
    </w:p>
    <w:p>
      <w:pPr>
        <w:spacing w:after="60" w:before="0"/>
      </w:pPr>
      <w:r>
        <w:rPr>
          <w:rFonts w:ascii="Times New Roman" w:cs="Times New Roman" w:eastAsia="Times New Roman" w:hAnsi="Times New Roman"/>
          <w:b/>
          <w:bCs/>
          <w:sz w:val="20"/>
          <w:szCs w:val="20"/>
        </w:rPr>
        <w:t xml:space="preserve">Author Contributions</w:t>
      </w:r>
    </w:p>
    <w:p>
      <w:pPr>
        <w:spacing w:after="120" w:before="0" w:line="276" w:lineRule="auto"/>
        <w:jc w:val="both"/>
      </w:pPr>
      <w:r>
        <w:rPr>
          <w:rFonts w:ascii="Times New Roman" w:cs="Times New Roman" w:eastAsia="Times New Roman" w:hAnsi="Times New Roman"/>
          <w:sz w:val="20"/>
          <w:szCs w:val="20"/>
        </w:rPr>
        <w:t xml:space="preserve">C.C. conceived the full-body hBN cavity network architecture, developed all mathematical models, performed all simulations, and wrote the manuscript.</w:t>
      </w:r>
    </w:p>
    <w:p>
      <w:pPr>
        <w:spacing w:after="60" w:before="0"/>
      </w:pPr>
      <w:r>
        <w:t xml:space="preserve"/>
      </w:r>
    </w:p>
    <w:p>
      <w:pPr>
        <w:spacing w:after="60" w:before="0"/>
      </w:pPr>
      <w:r>
        <w:rPr>
          <w:rFonts w:ascii="Times New Roman" w:cs="Times New Roman" w:eastAsia="Times New Roman" w:hAnsi="Times New Roman"/>
          <w:b/>
          <w:bCs/>
          <w:sz w:val="20"/>
          <w:szCs w:val="20"/>
        </w:rPr>
        <w:t xml:space="preserve">Data Availability</w:t>
      </w:r>
    </w:p>
    <w:p>
      <w:pPr>
        <w:spacing w:after="120" w:before="0" w:line="276" w:lineRule="auto"/>
        <w:jc w:val="both"/>
      </w:pPr>
      <w:r>
        <w:rPr>
          <w:rFonts w:ascii="Times New Roman" w:cs="Times New Roman" w:eastAsia="Times New Roman" w:hAnsi="Times New Roman"/>
          <w:sz w:val="20"/>
          <w:szCs w:val="20"/>
        </w:rPr>
        <w:t xml:space="preserve">All simulation code is available from the corresponding author upon reasonable request.</w:t>
      </w:r>
    </w:p>
    <w:p>
      <w:pPr>
        <w:spacing w:after="60" w:before="0"/>
      </w:pPr>
      <w:r>
        <w:t xml:space="preserve"/>
      </w:r>
    </w:p>
    <w:p>
      <w:pPr>
        <w:spacing w:after="60" w:before="0"/>
      </w:pPr>
      <w:r>
        <w:rPr>
          <w:rFonts w:ascii="Times New Roman" w:cs="Times New Roman" w:eastAsia="Times New Roman" w:hAnsi="Times New Roman"/>
          <w:b/>
          <w:bCs/>
          <w:sz w:val="20"/>
          <w:szCs w:val="20"/>
        </w:rPr>
        <w:t xml:space="preserve">Competing Interests</w:t>
      </w:r>
    </w:p>
    <w:p>
      <w:pPr>
        <w:spacing w:after="120" w:before="0" w:line="276" w:lineRule="auto"/>
        <w:jc w:val="both"/>
      </w:pPr>
      <w:r>
        <w:rPr>
          <w:rFonts w:ascii="Times New Roman" w:cs="Times New Roman" w:eastAsia="Times New Roman" w:hAnsi="Times New Roman"/>
          <w:sz w:val="20"/>
          <w:szCs w:val="20"/>
        </w:rPr>
        <w:t xml:space="preserve">The author declares no competing interests.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2026-04-21T12:22:58.937Z</dcterms:created>
  <dcterms:modified xsi:type="dcterms:W3CDTF">2026-04-21T12:22:58.937Z</dcterms:modified>
</cp:coreProperties>
</file>

<file path=docProps/custom.xml><?xml version="1.0" encoding="utf-8"?>
<Properties xmlns="http://schemas.openxmlformats.org/officeDocument/2006/custom-properties" xmlns:vt="http://schemas.openxmlformats.org/officeDocument/2006/docPropsVTypes"/>
</file>