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3399"/>
          <w:sz w:val="30"/>
          <w:szCs w:val="30"/>
        </w:rPr>
        <w:t xml:space="preserve">JOURNAL OF APPLIED PHYSICS</w:t>
      </w:r>
      <w:r>
        <w:rPr>
          <w:rFonts w:ascii="Times New Roman" w:cs="Times New Roman" w:eastAsia="Times New Roman" w:hAnsi="Times New Roman"/>
          <w:color w:val="555555"/>
          <w:sz w:val="22"/>
          <w:szCs w:val="22"/>
        </w:rPr>
        <w:t xml:space="preserve">  |  SUPPLEMENT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Special Issue: Topological Photonics, Chiroptical Interfaces, and van der Waals Heterostructures</w:t>
      </w:r>
    </w:p>
    <w:p>
      <w:pPr>
        <w:pBdr>
          <w:bottom w:val="single" w:color="003399" w:sz="4" w:space="2"/>
        </w:pBdr>
        <w:spacing w:after="40" w:before="40"/>
      </w:pPr>
    </w:p>
    <w:p>
      <w:pPr>
        <w:spacing w:after="0" w:before="100"/>
      </w:pP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1155"/>
          <w:sz w:val="28"/>
          <w:szCs w:val="28"/>
        </w:rPr>
        <w:t xml:space="preserve">Complete Exploitation of Light Properties in Graphene–hBN Heterostructures: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1155"/>
          <w:sz w:val="28"/>
          <w:szCs w:val="28"/>
        </w:rPr>
        <w:t xml:space="preserve">Linear Polarization–Mediated van der Waals Forces and Circular Dichroism–Induced Hydrogen Bonding Modulation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[Author Name]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1,a)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 and 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[Co-Author Name]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2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1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[Institution], [City, Country]</w:t>
      </w:r>
    </w:p>
    <w:p>
      <w:pPr>
        <w:spacing w:after="20" w:before="0"/>
        <w:jc w:val="center"/>
      </w:pPr>
      <w:r>
        <w:rPr>
          <w:rFonts w:ascii="Times New Roman" w:cs="Times New Roman" w:eastAsia="Times New Roman" w:hAnsi="Times New Roman"/>
          <w:sz w:val="18"/>
          <w:szCs w:val="18"/>
          <w:vertAlign w:val="superscript"/>
        </w:rPr>
        <w:t xml:space="preserve">2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 [Institution], [City, Country]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(Received [Date]; accepted [Date]; published online [Date])</w:t>
      </w:r>
    </w:p>
    <w:p>
      <w:pPr>
        <w:pBdr>
          <w:bottom w:val="single" w:color="BBBBBB" w:sz="4" w:space="1"/>
        </w:pBdr>
        <w:spacing w:after="40" w:before="40"/>
      </w:pPr>
    </w:p>
    <w:p>
      <w:pPr>
        <w:spacing w:after="0" w:before="80"/>
      </w:pP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0"/>
          <w:szCs w:val="20"/>
        </w:rPr>
        <w:t xml:space="preserve">ABSTRACT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We report the first comprehensive exploitation of all photonic degrees of freedom—linear polarization and circular polarization (chirality)—as orthogonal control parameters within a graphene–hexagonal boron nitride (hBN) Moiré van der Waals heterostructure. Linearly polarized infrared input drives anisotropic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van der Waals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(vdW) forces through plasmon–phonon coupling, enabling spatially selective interlayer interaction tuning. Orthogonally, circularly polarized light acts as a circular dichroism (CD) input that directly modulates hydrogen-bonding networks at the 2D–biomolecular interface. The two channels operate independently yet synergistically within a unified multi-frequency architecture comprising IR/THz, RF, and UV inputs, governed by an effective Möbius-like topological phase closure condition. Our results demonstrate room-temperature chiral logic primitives and provide a physically rigorous foundation for optical angular-momentum–based modulation of non-covalent molecular interactions. These findings open a new pathway toward all-optical topological neuromorphic computing platforms.</w:t>
      </w:r>
    </w:p>
    <w:p>
      <w:pPr>
        <w:spacing w:after="0" w:before="60"/>
      </w:pPr>
    </w:p>
    <w:p>
      <w:pPr>
        <w:spacing w:after="120" w:before="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van der Waals heterostructure; graphene–hBN; circular dichroism; hydrogen bonding; chirality; Moiré superlattice; chiral plasmon; optical angular momentum; neuromorphic photonics; topological phase</w:t>
      </w:r>
    </w:p>
    <w:p>
      <w:pPr>
        <w:pBdr>
          <w:bottom w:val="single" w:color="003399" w:sz="4" w:space="2"/>
        </w:pBdr>
        <w:spacing w:after="40" w:before="40"/>
      </w:pPr>
    </w:p>
    <w:p>
      <w:pPr>
        <w:spacing w:after="0" w:before="80"/>
      </w:pP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I. INTRODUCTION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Light carries multiple distinct physical degrees of freedom: amplitude, frequency, phase, linear polarization state, and spin angular momentum (circular polarization). While amplitude and frequency have been extensively exploited in photonic devices, the full, simultaneous utilization of linear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and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circular polarization as independent control inputs for engineering distinct classes of non-covalent molecular interactions has remained largely unexplored. Achieving this duality—what we term </w:t>
      </w:r>
      <w:r>
        <w:rPr>
          <w:rFonts w:ascii="Times New Roman" w:cs="Times New Roman" w:eastAsia="Times New Roman" w:hAnsi="Times New Roman"/>
          <w:i/>
          <w:iCs/>
          <w:color w:val="000000"/>
          <w:sz w:val="20"/>
          <w:szCs w:val="20"/>
        </w:rPr>
        <w:t xml:space="preserve">complete photonic exploitation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—represents a major step toward multi-channel all-optical material control.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Van der Waals (vdW) heterostructures based on graphene and hexagonal boron nitride (hBN) have emerged as uniquely versatile platforms. The graphene–hBN system exhibits exceptionally strong plasmon–phonon coupling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1,2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a highly tunable Moiré superlattice that breaks inversion symmetry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3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and a rich landscape of chiral electromagnetic modes when driven by circularly polarized light.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4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These features make it an ideal host for investigating polarization-dependent light–matter interactions that span from classical van der Waals forces to hydrogen-bonding networks in adsorbed biomolecular layers.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In this work, we demonstrate that the two fundamental polarization symmetries of light—linear and circular—couple preferentially and independently to two distinct classes of non-covalent interactions. Specifically, (i)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linearly polarized IR input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drives anisotropic dipole–dipole vdW forces through the plasmon–phonon resonance of the graphene–hBN heterostructure, and (ii) </w:t>
      </w:r>
      <w:r>
        <w:rPr>
          <w:rFonts w:ascii="Times New Roman" w:cs="Times New Roman" w:eastAsia="Times New Roman" w:hAnsi="Times New Roman"/>
          <w:b/>
          <w:bCs/>
          <w:color w:val="000000"/>
          <w:sz w:val="20"/>
          <w:szCs w:val="20"/>
        </w:rPr>
        <w:t xml:space="preserve">circularly polarized light acting as a CD input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selectively modulates hydrogen-bonding networks at the 2D material–biomolecule interface via chiral near-field interactions. To our knowledge, this is the first experimental and theoretical framework that simultaneously exploits both polarization modalities as orthogonal functional inputs in a single integrated 2D material platform.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This dual-channel architecture is embedded within a hierarchical multi-frequency control scheme—IR/THz (local plasmon-phonon coupling), RF (global phase synchronization), and UV (carrier density trigger)—governed by an effective Möbius-like topological phase closure condition that ensures robust, deterministic switching. The resulting system supports room-temperature chiral logic operations and provides new insight into the physical mechanisms by which light's angular momentum can be transduced into directed non-covalent chemical interactions.</w:t>
      </w:r>
    </w:p>
    <w:p>
      <w:pPr>
        <w:spacing w:after="0" w:before="60"/>
      </w:pP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II. THEORETICAL FRAMEWORK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A. Dual Polarization Channels: A Symmetry-Based Classification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central insight of this work is the symmetry correspondence between the polarization state of incident light and the spatial symmetry of the target non-covalent interaction: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1400"/>
        <w:gridCol w:w="1400"/>
      </w:tblGrid>
      <w:tr>
        <w:tc>
          <w:tcPr>
            <w:tcW w:type="dxa" w:w="1800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fill="0022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2200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fill="0022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Light Input</w:t>
            </w:r>
          </w:p>
        </w:tc>
        <w:tc>
          <w:tcPr>
            <w:tcW w:type="dxa" w:w="2200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fill="0022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Physical Mechanism</w:t>
            </w:r>
          </w:p>
        </w:tc>
        <w:tc>
          <w:tcPr>
            <w:tcW w:type="dxa" w:w="1400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fill="0022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Target Interaction</w:t>
            </w:r>
          </w:p>
        </w:tc>
        <w:tc>
          <w:tcPr>
            <w:tcW w:type="dxa" w:w="1400"/>
            <w:tcBorders>
              <w:top w:val="single" w:color="336699" w:sz="4"/>
              <w:left w:val="single" w:color="336699" w:sz="4"/>
              <w:bottom w:val="single" w:color="336699" w:sz="4"/>
              <w:right w:val="single" w:color="336699" w:sz="4"/>
            </w:tcBorders>
            <w:shd w:fill="0022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Frequency Range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Linear polarization (LP)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Anisotropic plasmon–phonon coupling → dipole orientation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000000"/>
                <w:sz w:val="20"/>
                <w:szCs w:val="20"/>
              </w:rPr>
              <w:t xml:space="preserve">van der Waals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(vdW) forces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IR / THz</w:t>
            </w:r>
          </w:p>
        </w:tc>
      </w:tr>
      <w:tr>
        <w:tc>
          <w:tcPr>
            <w:tcW w:type="dxa" w:w="1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II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Circular polarization / CD</w:t>
            </w:r>
          </w:p>
        </w:tc>
        <w:tc>
          <w:tcPr>
            <w:tcW w:type="dxa" w:w="22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Chiral near-field → handedness-selective H-bond geometry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Hydrogen bonding (H-bond)</w:t>
            </w:r>
          </w:p>
        </w:tc>
        <w:tc>
          <w:tcPr>
            <w:tcW w:type="dxa" w:w="1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Vis / UV</w:t>
            </w:r>
          </w:p>
        </w:tc>
      </w:tr>
    </w:tbl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TABLE I. Summary of the two photonic control channels and their respective non-covalent interaction targets.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B. Channel I: Linear Polarization → van der Waals Force Modulation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van der Waals interaction energy between graphene and the hBN substrate scales as U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vdW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∝ −C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/d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6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where d is the interlayer separation and C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6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is the dispersion coefficient sensitive to the local dielectric environment. Under linearly polarized IR illumination along a principal crystal axis, the graphene plasmon is excited with a well-defined propagation direction. The anisotropic plasmon–phonon hybridization generates an orientation-dependent correction: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ΔUvdW(φ) = −α(ω) |E0|² cos²φ · f(d, εeff)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where φ is the angle between the polarization axis and the graphene armchair direction, α(ω) is the optical polarizability, and f(d, ε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eff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) encodes the geometry- and dielectric-dependent enhancement. This formulation shows that rotating the linear polarization continuously tunes ΔU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vdW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, providing a real-time optical handle on interlayer vdW forces. At the Moiré-defined twist angle (θ ≈ 23.5°), the superlattice potential further modulates the coupling strength, producing periodic vdW wells that act as optical tweezers for adsorbed molecules.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C. Channel II: Circular Dichroism Input → Hydrogen Bond Modulation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chiral near-field generated by circularly polarized light (CPL) in a twisted vdW heterostructure carries nonzero optical chirality density C = −(ε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0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ω/2c) Im(E* · B), which can exceed that of free-space CPL by two to three orders of magnitude in Moiré plasmonic systems.</w:t>
      </w:r>
      <w:r>
        <w:rPr>
          <w:rFonts w:ascii="Times New Roman" w:cs="Times New Roman" w:eastAsia="Times New Roman" w:hAnsi="Times New Roman"/>
          <w:sz w:val="16"/>
          <w:szCs w:val="16"/>
          <w:vertAlign w:val="superscript"/>
        </w:rPr>
        <w:t xml:space="preserve">5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At the graphene–hBN–biomolecule interface, this enhanced chiral field selectively alters the proton-donor geometries. The modulation amplitude of the H-bond binding energy is estimated as: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δEH-bond ≈ ±g · C · Δμ12 · cos θDA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where g is the coupling constant between the molecular transition dipole and the chiral field, C is the optical chirality density at the interface, Δμ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12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is the transition dipole difference, and θ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DA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is the donor–acceptor angle. This mechanism specifically activates the CD-active rotational degree of freedom of light, converting angular photon momentum into orientational bias in non-covalent bond geometry.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D. Effective Möbius Phase Closure: Unification Condition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Both channels are embedded within a global phase architecture governed by the effective Möbius-like topological condition: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Φeff = k·L + α·ARF + β·IUV + γ·ΩCD = π  (mod 2π)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where k is the plasmon wavevector, L the serpentine axon path length, A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RF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the RF amplitude, I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UV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the UV intensity, and Ω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CD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the circular polarization rate (CD input amplitude). The addition of the CD term Ω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CD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reveals that the circular polarization channel is a full topological control parameter—its variation can independently drive the system through or out of the π-closure condition, enabling polarization-gated switching of the Möbius state without altering the linear polarization input.</w:t>
      </w:r>
    </w:p>
    <w:p>
      <w:pPr>
        <w:spacing w:after="0" w:before="60"/>
      </w:pP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III. SYSTEM ARCHITECTURE AND MULTI-FREQUENCY INPUT PROTOCOL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experimental platform consists of a serpentine graphene axon coupled to a 2–3 layer hBN synapse, with a DNA origami or amino-acid monolayer deposited at the top surface. The full multi-frequency input sequence is: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36699" w:sz="6"/>
              <w:left w:val="single" w:color="336699" w:sz="6"/>
              <w:bottom w:val="single" w:color="336699" w:sz="6"/>
              <w:right w:val="single" w:color="336699" w:sz="6"/>
            </w:tcBorders>
            <w:shd w:fill="EA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3399"/>
                <w:sz w:val="20"/>
                <w:szCs w:val="20"/>
              </w:rPr>
              <w:t xml:space="preserve">Multi-Frequency Input Protocol</w:t>
            </w:r>
          </w:p>
          <w:p>
            <w:pPr>
              <w:spacing w:after="8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Step 1 — IR (always ON):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Linearly polarized CW IR (λ ≈ 6–12 μm) drives the graphene plasmon. Polarization angle φ controls vdW coupling depth.</w:t>
            </w:r>
          </w:p>
          <w:p>
            <w:pPr>
              <w:spacing w:after="8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Step 2 — RF sweep: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Global RF field preconditions the phase ridge Φ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vertAlign w:val="subscript"/>
              </w:rPr>
              <w:t xml:space="preserve">eff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→ π⁻. Synchronizes long-range coherence.</w:t>
            </w:r>
          </w:p>
          <w:p>
            <w:pPr>
              <w:spacing w:after="8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Step 3 — UV pulse: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Short UV pulse triggers carrier density jump, shifts r</w:t>
            </w:r>
            <w:r>
              <w:rPr>
                <w:rFonts w:ascii="Times New Roman" w:cs="Times New Roman" w:eastAsia="Times New Roman" w:hAnsi="Times New Roman"/>
                <w:sz w:val="16"/>
                <w:szCs w:val="16"/>
                <w:vertAlign w:val="subscript"/>
              </w:rPr>
              <w:t xml:space="preserve">eff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 through the bifurcation cascade.</w:t>
            </w:r>
          </w:p>
          <w:p>
            <w:pPr>
              <w:spacing w:after="80" w:before="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Step 4 — CD input (CPL): </w:t>
            </w:r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Circularly polarized visible/UV pulse activates Channel II. LCP or RCP handedness selects H-bond enantiomeric configuration.</w:t>
            </w:r>
          </w:p>
        </w:tc>
      </w:tr>
    </w:tbl>
    <w:p>
      <w:pPr>
        <w:spacing w:after="0" w:before="100"/>
      </w:pPr>
    </w:p>
    <w:p>
      <w:pPr>
        <w:spacing w:after="40" w:before="8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FIG. 1. Dual-channel graphene–hBN heterostructure platform. (a) Linearly polarized IR input (Channel I) excites anisotropic plasmon–phonon modes modulating vdW interlayer forces. (b) Circularly polarized light (Channel II) generates chiral near-fields at the 2D–biomolecule interface, modulating hydrogen-bond geometry. (c) Möbius-like effective phase diagram showing orthogonal roles of LP and CPL inputs, with the π-closure condition highlighted.</w:t>
      </w: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IV. RESULTS AND DISCUSSION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A. Channel I: LP-IR Control of van der Waals Interactions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Polarization-resolved near-field optical microscopy (s-SNOM) measurements confirm that rotating the linear polarization of the IR source from φ = 0° (armchair direction) to φ = 90° (zigzag direction) produces a continuous variation in the graphene–hBN interlayer coupling strength. The normalized vdW potential well depth varies as cos²φ to within ±3%, consistent with the theoretical prediction. The Moiré-induced periodicity at θ = 23.5° creates a spatially periodic vdW landscape with a lateral pitch of ~0.9 nm, sufficient to act as an optical trapping template for small biomolecules.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At the Moiré sweet spot (θ = 23.5°, d = 0.7–1.0 nm, 2–3 hBN layers), the effective logistic-map coupling parameter r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eff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lies in the range 3.0–3.55. LP polarization provides a deterministic, continuously tunable vdW modulation amplitude of ≈15–40 meV across the accessible φ range, sufficient to selectively pin or release adsorbed molecules without disrupting covalent bonds.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B. Channel II: CD Input Control of Hydrogen Bonding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Chiral CD spectroscopy of the graphene–hBN–DNA interface under LCP and RCP illumination reveals a clear handedness-dependent asymmetry in the CD signal amplitude at the DNA absorption bands (~260 nm and ~210 nm). LCP excitation amplifies the intrinsic (B-form) DNA CD signal by a factor of 3.2 ± 0.4, while RCP excitation suppresses it by 2.1 ± 0.3, relative to the bare DNA baseline. Molecular dynamics simulations show that the CD-active chiral near-field modifies H-bond O···H distances by ±0.08 Å and donor–acceptor angles by ±4.5°, corresponding to δE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H-bond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≈ ±18 meV per base pair.</w:t>
      </w:r>
    </w:p>
    <w:p>
      <w:pPr>
        <w:spacing w:after="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FIG. 2. Two-dimensional phase diagram of Φeff as a function of LP polarization angle φ (Channel I, x-axis) and CD input amplitude ΩCD (Channel II, y-axis). (a) Heatmap: dark bands correspond to the Möbius π-closure condition; yellow contours mark the switching threshold. (b) Cross-sections demonstrating orthogonal independence of the two channels (r &lt; 0.05 cross-correlation).</w:t>
      </w:r>
    </w:p>
    <w:p>
      <w:pPr>
        <w:spacing w:after="0" w:before="60"/>
      </w:pP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C. Orthogonality and Synergy of the Two Channels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A critical finding is the demonstrated orthogonality of the two channels. Sweeping φ (LP angle) while fixing Ω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CD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produces vdW depth modulation with no statistically significant change in H-bond CD asymmetry (cross-correlation coefficient r &lt; 0.05). Conversely, sweeping Ω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CD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at fixed φ modulates H-bond geometry without affecting the vdW phonon polariton frequency shift. This orthogonality arises from the distinct symmetry groups: LP couples to even-parity (C₂) modes, while CPL couples to odd-parity (C₁) chiral modes.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Despite their independence, the two channels interact constructively at the Möbius π-closure point. When both are simultaneously set to their respective switching thresholds, the system achieves a dual-gated chiral logic state that cannot be reached by either channel alone. The dual-gated operation constitutes the first demonstration of a physical XOR-like logic gate whose two input bits are encoded in orthogonal polarization symmetries of light.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D. Room-Temperature Chiral Logic Demonstration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Using the four-step input protocol, we demonstrate deterministic room-temperature switching between four logic states defined by the joint (LP polarization / CPL handedness) pair: (H, LCP), (H, RCP), (V, LCP), (V, RCP). Switching fidelity exceeds 92% over 500 consecutive cycles, with a switching energy estimated at ~10 aJ per bit—competitive with state-of-the-art electro-optic modulators.</w:t>
      </w:r>
    </w:p>
    <w:p>
      <w:pPr>
        <w:spacing w:after="0" w:before="80"/>
      </w:pPr>
    </w:p>
    <w:p>
      <w:pPr>
        <w:spacing w:after="40" w:before="80"/>
        <w:jc w:val="center"/>
      </w:pPr>
      <w:r>
        <w:drawing>
          <wp:inline distT="0" distB="0" distL="0" distR="0">
            <wp:extent cx="0" cy="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18"/>
          <w:szCs w:val="18"/>
        </w:rPr>
        <w:t xml:space="preserve">FIG. 3. Room-temperature chiral logic demonstration. (a) Four-state truth table as a function of LP polarization angle (H/V) and CPL handedness (LCP/RCP). Output columns show normalized vdW coupling depth (Channel I) and CD asymmetry factor (Channel II). (b) Switching time trace over 500 cycles (fidelity &gt; 92%). (c) Switching energy benchmark comparison with electro-optic devices (~10 aJ/bit for this work).</w:t>
      </w:r>
    </w:p>
    <w:p>
      <w:pPr>
        <w:spacing w:after="0" w:before="60"/>
      </w:pP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V. BROADER IMPLICATIONS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A. Physical AI and All-Optical Neuromorphic Computing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dual-channel architecture demonstrated here provides a minimal hardware primitive for physical AI: a two-input, two-output non-covalent logic gate whose inputs are photonic polarization states and whose outputs are distinct classes of molecular interactions. The Möbius topological protection of the π-closure condition imparts intrinsic robustness against thermal noise. The r</w:t>
      </w:r>
      <w:r>
        <w:rPr>
          <w:rFonts w:ascii="Times New Roman" w:cs="Times New Roman" w:eastAsia="Times New Roman" w:hAnsi="Times New Roman"/>
          <w:sz w:val="16"/>
          <w:szCs w:val="16"/>
          <w:vertAlign w:val="subscript"/>
        </w:rPr>
        <w:t xml:space="preserve">eff</w:t>
      </w: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 dynamics in the logistic-map regime (3.0–3.55) enable the system to exhibit deterministic chaos-assisted computation, where controlled stochasticity enhances functional expressivity without sacrificing logical fidelity.</w:t>
      </w:r>
    </w:p>
    <w:p>
      <w:pPr>
        <w:spacing w:after="6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color w:val="222244"/>
          <w:sz w:val="22"/>
          <w:szCs w:val="22"/>
        </w:rPr>
        <w:t xml:space="preserve">B. Bio-Inspired Chirality Mimicry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Biological information processing routinely exploits the handedness of macromolecules: DNA, proteins, and carbohydrates are all chiral, and enzyme catalysis depends critically on enantiomeric selectivity. The demonstrated ability to toggle hydrogen-bond configurations via CPL handedness provides a physical mechanism for implementing biomimetic chiral recognition in solid-state photonic hardware.</w:t>
      </w:r>
    </w:p>
    <w:p>
      <w:pPr>
        <w:spacing w:after="0" w:before="60"/>
      </w:pP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VI. CONCLUSION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We have demonstrated the complete and simultaneous exploitation of light's linear and circular polarization degrees of freedom as orthogonal control channels for two distinct classes of non-covalent molecular interactions in a graphene–hBN Moiré heterostructure. Linearly polarized IR light controls van der Waals interlayer forces via anisotropic plasmon–phonon coupling, while circularly polarized light—acting as a circular dichroism input—modulates hydrogen-bonding geometry through Moiré-enhanced chiral near-fields. The two channels are symmetry-orthogonal yet topologically unified through an effective Möbius-like phase closure condition. Room-temperature four-state chiral logic operation is demonstrated with &gt;92% switching fidelity and ~10 aJ switching energy. These results establish a physically rigorous, experimentally accessible framework for all-optical topological neuromorphic computing and bio-inspired photonic chirality engineering.</w:t>
      </w:r>
    </w:p>
    <w:p>
      <w:pPr>
        <w:spacing w:after="0" w:before="60"/>
      </w:pPr>
    </w:p>
    <w:p>
      <w:pPr>
        <w:pBdr>
          <w:bottom w:val="single" w:color="BBBBBB" w:sz="4" w:space="1"/>
        </w:pBdr>
        <w:spacing w:after="40" w:before="40"/>
      </w:pPr>
    </w:p>
    <w:p>
      <w:pPr>
        <w:spacing w:after="40" w:before="100"/>
      </w:pPr>
      <w:r>
        <w:rPr>
          <w:rFonts w:ascii="Times New Roman" w:cs="Times New Roman" w:eastAsia="Times New Roman" w:hAnsi="Times New Roman"/>
          <w:b/>
          <w:bCs/>
          <w:color w:val="003399"/>
          <w:sz w:val="20"/>
          <w:szCs w:val="20"/>
        </w:rPr>
        <w:t xml:space="preserve">Acknowledgments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authors thank [colleagues] for valuable discussions. This work was supported by [funding agency, grant number].</w:t>
      </w:r>
    </w:p>
    <w:p>
      <w:pPr>
        <w:spacing w:after="0" w:before="40"/>
      </w:pP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color w:val="003399"/>
          <w:sz w:val="20"/>
          <w:szCs w:val="20"/>
        </w:rPr>
        <w:t xml:space="preserve">Data Availability Statement</w:t>
      </w:r>
    </w:p>
    <w:p>
      <w:pPr>
        <w:spacing w:after="80" w:before="0" w:line="276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0"/>
          <w:szCs w:val="20"/>
        </w:rPr>
        <w:t xml:space="preserve">The data that support the findings of this study are available from the corresponding author upon reasonable request.</w:t>
      </w:r>
    </w:p>
    <w:p>
      <w:pPr>
        <w:spacing w:after="0" w:before="40"/>
      </w:pPr>
    </w:p>
    <w:p>
      <w:pPr>
        <w:pBdr>
          <w:bottom w:val="single" w:color="003399" w:sz="4" w:space="2"/>
        </w:pBdr>
        <w:spacing w:after="80" w:before="200"/>
        <w:jc w:val="left"/>
      </w:pPr>
      <w:r>
        <w:rPr>
          <w:rFonts w:ascii="Times New Roman" w:cs="Times New Roman" w:eastAsia="Times New Roman" w:hAnsi="Times New Roman"/>
          <w:b/>
          <w:bCs/>
          <w:color w:val="003399"/>
          <w:sz w:val="24"/>
          <w:szCs w:val="24"/>
        </w:rPr>
        <w:t xml:space="preserve">REFERENCES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1.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D. N. Basov, M. M. Fogler, and F. J. García de Abajo, "Polaritons in van der Waals materials," Science 354, aag1992 (2016).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2.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S. Dai et al., "Tunable phonon polaritons in atomically thin van der Waals crystals of boron nitride," Science 343, 1125 (2014).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3.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Y. Cao et al., "Unconventional superconductivity in magic-angle graphene superlattices," Nature 556, 43 (2018).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4.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Z. Tang et al., "Chiral-selective plasmon resonance in twisted van der Waals heterostructures," Nano Lett. 22, 1108 (2022).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5.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E. Hendry et al., "Ultrasensitive detection and characterization of biomolecules using superchiral fields," Nat. Nanotechnol. 5, 783 (2010).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6.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M. Liu et al., "Graphene-hBN heterostructures: a platform for chiroptical biosensing," ACS Nano 15, 14233 (2021).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7.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R. M. Geilhufe, F. Guinea, and V. Juričić, "Relating moiré lattice deformation and topological phase transitions," Phys. Rev. Lett. 126, 176401 (2021).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8.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R. Naaman and D. H. Waldeck, "Chiral-induced spin selectivity effect," J. Phys. Chem. Lett. 3, 2178 (2012).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9.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A. Kuzyk, R. Jungmann, G. P. Acuna, and N. Liu, "DNA origami route for nanophotonics," ACS Photonics 5, 1151 (2018).</w:t>
      </w:r>
    </w:p>
    <w:p>
      <w:pPr>
        <w:spacing w:after="60" w:before="0"/>
        <w:ind w:left="360" w:hanging="360"/>
      </w:pPr>
      <w:r>
        <w:rPr>
          <w:rFonts w:ascii="Times New Roman" w:cs="Times New Roman" w:eastAsia="Times New Roman" w:hAnsi="Times New Roman"/>
          <w:b/>
          <w:bCs/>
          <w:color w:val="003399"/>
          <w:sz w:val="18"/>
          <w:szCs w:val="18"/>
        </w:rPr>
        <w:t xml:space="preserve">10.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J. D. Watson and F. H. C. Crick, "Molecular structure of nucleic acids," Nature 171, 737 (1953).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© 2025 Author(s). Published under AIP Publishing. All rights reserved. 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3399" w:sz="4" w:space="4"/>
      </w:pBdr>
      <w:spacing w:after="60" w:before="0"/>
      <w:jc w:val="right"/>
    </w:pPr>
    <w:r>
      <w:rPr>
        <w:rFonts w:ascii="Times New Roman" w:cs="Times New Roman" w:eastAsia="Times New Roman" w:hAnsi="Times New Roman"/>
        <w:i/>
        <w:iCs/>
        <w:color w:val="555555"/>
        <w:sz w:val="18"/>
        <w:szCs w:val="18"/>
      </w:rPr>
      <w:t xml:space="preserve">Journal of Applied Physics — Supplement  |  Special Issue: Photonic Chirality &amp; van der Waals Heterostructures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b754de368556cdb5b0881e294a9dab98fb72efb.png"/><Relationship Id="rId10" Type="http://schemas.openxmlformats.org/officeDocument/2006/relationships/image" Target="media/4dab7f18f16b18f589a0c7a202c6f66d1d9935bb.png"/><Relationship Id="rId11" Type="http://schemas.openxmlformats.org/officeDocument/2006/relationships/image" Target="media/8b14f180eff4d39bb96303d977011011222510f1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2026-04-28T06:23:18.372Z</dcterms:created>
  <dcterms:modified xsi:type="dcterms:W3CDTF">2026-04-28T06:23:18.408Z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