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i/>
          <w:iCs/>
          <w:color w:val="185FA5"/>
          <w:sz w:val="20"/>
          <w:szCs w:val="20"/>
        </w:rPr>
        <w:t xml:space="preserve">Simulation Article  |  Neuromorphic &amp; Photonic Computing</w:t>
      </w:r>
    </w:p>
    <w:p>
      <w:pPr>
        <w:pBdr>
          <w:bottom w:val="single" w:color="2E75B6" w:sz="6" w:space="1"/>
        </w:pBdr>
        <w:spacing w:after="60" w:before="60"/>
      </w:pPr>
      <w:r>
        <w:rPr>
          <w:rFonts w:ascii="Arial" w:cs="Arial" w:eastAsia="Arial" w:hAnsi="Arial"/>
        </w:rPr>
        <w:t xml:space="preserve"/>
      </w:r>
    </w:p>
    <w:p>
      <w:pPr>
        <w:spacing w:after="160" w:before="240"/>
        <w:jc w:val="center"/>
      </w:pPr>
      <w:r>
        <w:rPr>
          <w:rFonts w:ascii="Arial" w:cs="Arial" w:eastAsia="Arial" w:hAnsi="Arial"/>
          <w:b/>
          <w:bCs/>
          <w:sz w:val="30"/>
          <w:szCs w:val="30"/>
        </w:rPr>
        <w:t xml:space="preserve">UV-Induced Möbius Boundary Conditions with Qubit-Enhanced Output Accuracy and piezo-hBN Multimodal Sensing in a Graphene–hBN Neuromorphic Waveguide: A Simulation Study</w:t>
      </w:r>
    </w:p>
    <w:p>
      <w:pPr>
        <w:spacing w:after="60" w:before="0"/>
        <w:jc w:val="center"/>
      </w:pPr>
      <w:r>
        <w:rPr>
          <w:rFonts w:ascii="Arial" w:cs="Arial" w:eastAsia="Arial" w:hAnsi="Arial"/>
          <w:b/>
          <w:bCs/>
          <w:sz w:val="22"/>
          <w:szCs w:val="22"/>
        </w:rPr>
        <w:t xml:space="preserve">Chur Chin</w:t>
      </w:r>
      <w:r>
        <w:rPr>
          <w:rFonts w:ascii="Arial" w:cs="Arial" w:eastAsia="Arial" w:hAnsi="Arial"/>
          <w:sz w:val="18"/>
          <w:szCs w:val="18"/>
          <w:vertAlign w:val="superscript"/>
        </w:rPr>
        <w:t xml:space="preserve">a,*</w:t>
      </w:r>
    </w:p>
    <w:p>
      <w:pPr>
        <w:spacing w:after="60" w:before="0"/>
        <w:jc w:val="center"/>
      </w:pPr>
      <w:r>
        <w:rPr>
          <w:rFonts w:ascii="Arial" w:cs="Arial" w:eastAsia="Arial" w:hAnsi="Arial"/>
          <w:i/>
          <w:iCs/>
          <w:sz w:val="20"/>
          <w:szCs w:val="20"/>
        </w:rPr>
        <w:t xml:space="preserve">a Department of Family Medicine, Dong-eui Medical Center, Busan 47227, Republic of Korea</w:t>
      </w:r>
    </w:p>
    <w:p>
      <w:pPr>
        <w:spacing w:after="240" w:before="0"/>
        <w:jc w:val="center"/>
      </w:pPr>
      <w:r>
        <w:rPr>
          <w:rFonts w:ascii="Arial" w:cs="Arial" w:eastAsia="Arial" w:hAnsi="Arial"/>
          <w:i/>
          <w:iCs/>
          <w:sz w:val="20"/>
          <w:szCs w:val="20"/>
        </w:rPr>
        <w:t xml:space="preserve">* Corresponding author. Electronic mail: tpotaiai@gmail.com</w:t>
      </w:r>
    </w:p>
    <w:p>
      <w:pPr>
        <w:pBdr>
          <w:bottom w:val="single" w:color="2E75B6" w:sz="6" w:space="1"/>
        </w:pBdr>
        <w:spacing w:after="60" w:before="60"/>
      </w:pPr>
      <w:r>
        <w:rPr>
          <w:rFonts w:ascii="Arial" w:cs="Arial" w:eastAsia="Arial" w:hAnsi="Arial"/>
        </w:rPr>
        <w:t xml:space="preserve"/>
      </w:r>
    </w:p>
    <w:p>
      <w:pPr>
        <w:pStyle w:val="Heading1"/>
        <w:spacing w:after="160" w:before="320"/>
      </w:pPr>
      <w:r>
        <w:rPr>
          <w:rFonts w:ascii="Arial" w:cs="Arial" w:eastAsia="Arial" w:hAnsi="Arial"/>
          <w:b/>
          <w:bCs/>
          <w:sz w:val="28"/>
          <w:szCs w:val="28"/>
        </w:rPr>
        <w:t xml:space="preserve">ABSTRACT</w:t>
      </w:r>
    </w:p>
    <w:p>
      <w:pPr>
        <w:spacing w:after="200" w:before="0"/>
      </w:pPr>
      <w:r>
        <w:rPr>
          <w:rFonts w:ascii="Arial" w:cs="Arial" w:eastAsia="Arial" w:hAnsi="Arial"/>
          <w:sz w:val="22"/>
          <w:szCs w:val="22"/>
        </w:rPr>
        <w:t xml:space="preserve">We present a comprehensive simulation study extending a graphene–hexagonal boron nitride (hBN) serpentine neuromorphic waveguide platform with three synergistic enhancements. First, ultraviolet (UV) illumination near the output zone is employed to impose a Möbius anti-periodic boundary condition [φ(x+L) = −φ(x)], which selectively suppresses even-order plasmonic modes and sharpens the interference contrast by over 30%. Second, the resulting intensity distributions are mapped to a qubit-inspired logical layer, where constructive interference states correspond to |0⟩ (EPSP-like, excitatory) and destructive states to |1⟩ (IPSP-like, inhibitory), achieving output accuracies up to V</w:t>
      </w:r>
      <w:r>
        <w:rPr>
          <w:rFonts w:ascii="Arial" w:cs="Arial" w:eastAsia="Arial" w:hAnsi="Arial"/>
          <w:sz w:val="18"/>
          <w:szCs w:val="18"/>
          <w:vertAlign w:val="subscript"/>
        </w:rPr>
        <w:t xml:space="preserve">out</w:t>
      </w:r>
      <w:r>
        <w:rPr>
          <w:rFonts w:ascii="Arial" w:cs="Arial" w:eastAsia="Arial" w:hAnsi="Arial"/>
          <w:sz w:val="22"/>
          <w:szCs w:val="22"/>
        </w:rPr>
        <w:t xml:space="preserve"> = 0.96 for input combination (0,1) and V</w:t>
      </w:r>
      <w:r>
        <w:rPr>
          <w:rFonts w:ascii="Arial" w:cs="Arial" w:eastAsia="Arial" w:hAnsi="Arial"/>
          <w:sz w:val="18"/>
          <w:szCs w:val="18"/>
          <w:vertAlign w:val="subscript"/>
        </w:rPr>
        <w:t xml:space="preserve">out</w:t>
      </w:r>
      <w:r>
        <w:rPr>
          <w:rFonts w:ascii="Arial" w:cs="Arial" w:eastAsia="Arial" w:hAnsi="Arial"/>
          <w:sz w:val="22"/>
          <w:szCs w:val="22"/>
        </w:rPr>
        <w:t xml:space="preserve"> = 0.04 for (0,0). Third, piezo-hBN transduction is demonstrated as a unified sensing modality capable of processing both visual electromagnetic (THz–MIR, 0.1–160 THz) and auditory acoustic (20 Hz–20 kHz via ADC-mediated THz modulation; GHz surface-acoustic-wave regime) inputs within the same heterostructure. Taken together, these results demonstrate a physically grounded, computationally verified pathway toward a multimodal neuromorphic primitive that operates across the full visual and auditory wave spectrum.</w:t>
      </w:r>
    </w:p>
    <w:p>
      <w:pPr>
        <w:spacing w:after="240" w:before="0"/>
      </w:pPr>
      <w:r>
        <w:rPr>
          <w:rFonts w:ascii="Arial" w:cs="Arial" w:eastAsia="Arial" w:hAnsi="Arial"/>
          <w:b/>
          <w:bCs/>
          <w:sz w:val="22"/>
          <w:szCs w:val="22"/>
        </w:rPr>
        <w:t xml:space="preserve">Keywords: </w:t>
      </w:r>
      <w:r>
        <w:rPr>
          <w:rFonts w:ascii="Arial" w:cs="Arial" w:eastAsia="Arial" w:hAnsi="Arial"/>
          <w:i/>
          <w:iCs/>
          <w:sz w:val="22"/>
          <w:szCs w:val="22"/>
        </w:rPr>
        <w:t xml:space="preserve">graphene plasmon; hBN phonon polariton; Möbius boundary; UV phase control; qubit mapping; EPSP; IPSP; piezo-hBN; multimodal sensing; neuromorphic computing</w:t>
      </w:r>
    </w:p>
    <w:p>
      <w:pPr>
        <w:pBdr>
          <w:bottom w:val="single" w:color="2E75B6" w:sz="6" w:space="1"/>
        </w:pBdr>
        <w:spacing w:after="60" w:before="60"/>
      </w:pPr>
      <w:r>
        <w:rPr>
          <w:rFonts w:ascii="Arial" w:cs="Arial" w:eastAsia="Arial" w:hAnsi="Arial"/>
        </w:rPr>
        <w:t xml:space="preserve"/>
      </w:r>
    </w:p>
    <w:p>
      <w:pPr>
        <w:pStyle w:val="Heading1"/>
        <w:spacing w:after="160" w:before="320"/>
      </w:pPr>
      <w:r>
        <w:rPr>
          <w:rFonts w:ascii="Arial" w:cs="Arial" w:eastAsia="Arial" w:hAnsi="Arial"/>
          <w:b/>
          <w:bCs/>
          <w:sz w:val="28"/>
          <w:szCs w:val="28"/>
        </w:rPr>
        <w:t xml:space="preserve">I. INTRODUCTION</w:t>
      </w:r>
    </w:p>
    <w:p>
      <w:pPr>
        <w:spacing w:after="160" w:before="0"/>
      </w:pPr>
      <w:r>
        <w:rPr>
          <w:rFonts w:ascii="Arial" w:cs="Arial" w:eastAsia="Arial" w:hAnsi="Arial"/>
          <w:sz w:val="22"/>
          <w:szCs w:val="22"/>
        </w:rPr>
        <w:t xml:space="preserve">Neuromorphic computing seeks to replicate the parallel, event-driven, and energy-efficient information processing of biological neural circuits in solid-state hardware [1,2]. A particularly compelling substrate for this goal is the graphene–hBN heterostructure, which combines highly confined and gate-tunable terahertz (THz) graphene plasmons with low-loss mid-infrared (MIR) phonon polaritons in hBN [3–5]. Our previous simulation work demonstrated that phase-controlled interference of two THz point sources in an asymmetric serpentine graphene–hBN waveguide can produce spatial field intensity patterns functionally analogous to excitatory postsynaptic potentials (EPSP) and inhibitory postsynaptic potentials (IPSP), achieving XOR-like input discrimination with V</w:t>
      </w:r>
      <w:r>
        <w:rPr>
          <w:rFonts w:ascii="Arial" w:cs="Arial" w:eastAsia="Arial" w:hAnsi="Arial"/>
          <w:sz w:val="18"/>
          <w:szCs w:val="18"/>
          <w:vertAlign w:val="subscript"/>
        </w:rPr>
        <w:t xml:space="preserve">out</w:t>
      </w:r>
      <w:r>
        <w:rPr>
          <w:rFonts w:ascii="Arial" w:cs="Arial" w:eastAsia="Arial" w:hAnsi="Arial"/>
          <w:sz w:val="22"/>
          <w:szCs w:val="22"/>
        </w:rPr>
        <w:t xml:space="preserve">(0,1) = 0.96 and V</w:t>
      </w:r>
      <w:r>
        <w:rPr>
          <w:rFonts w:ascii="Arial" w:cs="Arial" w:eastAsia="Arial" w:hAnsi="Arial"/>
          <w:sz w:val="18"/>
          <w:szCs w:val="18"/>
          <w:vertAlign w:val="subscript"/>
        </w:rPr>
        <w:t xml:space="preserve">out</w:t>
      </w:r>
      <w:r>
        <w:rPr>
          <w:rFonts w:ascii="Arial" w:cs="Arial" w:eastAsia="Arial" w:hAnsi="Arial"/>
          <w:sz w:val="22"/>
          <w:szCs w:val="22"/>
        </w:rPr>
        <w:t xml:space="preserve">(0,0) = 0.04 [6].</w:t>
      </w:r>
    </w:p>
    <w:p>
      <w:pPr>
        <w:spacing w:after="160" w:before="0"/>
      </w:pPr>
      <w:r>
        <w:rPr>
          <w:rFonts w:ascii="Arial" w:cs="Arial" w:eastAsia="Arial" w:hAnsi="Arial"/>
          <w:sz w:val="22"/>
          <w:szCs w:val="22"/>
        </w:rPr>
        <w:t xml:space="preserve">Despite these promising results, three limitations remained unaddressed. First, even-order plasmonic modes generate symmetric interference nodes that reduce output contrast and increase classification errors near the decision boundary. Second, the mapping from analog field intensity to binary output was purely classical (tanh function), leaving unexplored the potential of quantum-inspired logical primitives for enhancing discrimination accuracy. Third, the platform processed only electromagnetic inputs, whereas biological sensory systems simultaneously integrate visual (photonic) and auditory (acoustic) modalities—a capability absent in prior designs.</w:t>
      </w:r>
    </w:p>
    <w:p>
      <w:pPr>
        <w:spacing w:after="240" w:before="0"/>
      </w:pPr>
      <w:r>
        <w:rPr>
          <w:rFonts w:ascii="Arial" w:cs="Arial" w:eastAsia="Arial" w:hAnsi="Arial"/>
          <w:sz w:val="22"/>
          <w:szCs w:val="22"/>
        </w:rPr>
        <w:t xml:space="preserve">In this work, we address all three limitations through a unified simulation framework. We demonstrate that (i) UV-induced carrier density modulation near the output coupling zone imposes a Möbius anti-periodic boundary condition that eliminates even-order modes [7,8]; (ii) the resulting interference field can be mapped to a two-state qubit representation (|0⟩/|1⟩) that increases output accuracy by approximately 18–24% over classical thresholding; and (iii) the hBN piezoelectric response (d</w:t>
      </w:r>
      <w:r>
        <w:rPr>
          <w:rFonts w:ascii="Arial" w:cs="Arial" w:eastAsia="Arial" w:hAnsi="Arial"/>
          <w:sz w:val="18"/>
          <w:szCs w:val="18"/>
          <w:vertAlign w:val="subscript"/>
        </w:rPr>
        <w:t xml:space="preserve">33</w:t>
      </w:r>
      <w:r>
        <w:rPr>
          <w:rFonts w:ascii="Arial" w:cs="Arial" w:eastAsia="Arial" w:hAnsi="Arial"/>
          <w:sz w:val="22"/>
          <w:szCs w:val="22"/>
        </w:rPr>
        <w:t xml:space="preserve"> ≈ 0.6 pm/V) enables the same heterostructure to transduce both electromagnetic (visual) and acoustic (auditory) waveforms into the neuromorphic output layer. The system architecture is illustrated in Fig. 1.</w:t>
      </w:r>
    </w:p>
    <w:p>
      <w:pPr>
        <w:spacing w:after="120" w:before="240"/>
        <w:jc w:val="center"/>
      </w:pPr>
      <w:r>
        <w:drawing>
          <wp:inline distT="0" distB="0" distL="0" distR="0">
            <wp:extent cx="56578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57850" cy="2828925"/>
                    </a:xfrm>
                    <a:prstGeom prst="rect">
                      <a:avLst/>
                    </a:prstGeom>
                  </pic:spPr>
                </pic:pic>
              </a:graphicData>
            </a:graphic>
          </wp:inline>
        </w:drawing>
      </w:r>
    </w:p>
    <w:p>
      <w:pPr>
        <w:spacing w:after="240" w:before="0"/>
        <w:jc w:val="center"/>
      </w:pPr>
      <w:r>
        <w:rPr>
          <w:rFonts w:ascii="Arial" w:cs="Arial" w:eastAsia="Arial" w:hAnsi="Arial"/>
          <w:i/>
          <w:iCs/>
          <w:color w:val="444441"/>
          <w:sz w:val="20"/>
          <w:szCs w:val="20"/>
        </w:rPr>
        <w:t xml:space="preserve">Fig. 1. System architecture of the UV-enhanced Möbius neuromorphic processor. Inputs (THz/MIR/UV) enter the graphene–hBN serpentine waveguide (left). UV illumination near the output zone enforces the Möbius boundary condition. A qubit interface maps the interference state to |0⟩ (EPSP) or |1⟩ (IPSP). piezo-hBN transduction delivers multimodal (visual + auditory) outputs. DNA Origami + H₂O provides the acoustic coupling medium.</w:t>
      </w:r>
    </w:p>
    <w:p>
      <w:pPr>
        <w:pStyle w:val="Heading1"/>
        <w:spacing w:after="160" w:before="320"/>
      </w:pPr>
      <w:r>
        <w:rPr>
          <w:rFonts w:ascii="Arial" w:cs="Arial" w:eastAsia="Arial" w:hAnsi="Arial"/>
          <w:b/>
          <w:bCs/>
          <w:sz w:val="28"/>
          <w:szCs w:val="28"/>
        </w:rPr>
        <w:t xml:space="preserve">II. PHYSICAL MODEL AND EXTENDED SIMULATION FRAMEWORK</w:t>
      </w:r>
    </w:p>
    <w:p>
      <w:pPr>
        <w:pStyle w:val="Heading2"/>
        <w:spacing w:after="120" w:before="240"/>
      </w:pPr>
      <w:r>
        <w:rPr>
          <w:rFonts w:ascii="Arial" w:cs="Arial" w:eastAsia="Arial" w:hAnsi="Arial"/>
          <w:b/>
          <w:bCs/>
          <w:i/>
          <w:iCs/>
          <w:sz w:val="24"/>
          <w:szCs w:val="24"/>
        </w:rPr>
        <w:t xml:space="preserve">A. Baseline System: Asymmetric Serpentine Waveguide</w:t>
      </w:r>
    </w:p>
    <w:p>
      <w:pPr>
        <w:spacing w:after="160" w:before="0"/>
      </w:pPr>
      <w:r>
        <w:rPr>
          <w:rFonts w:ascii="Arial" w:cs="Arial" w:eastAsia="Arial" w:hAnsi="Arial"/>
          <w:sz w:val="22"/>
          <w:szCs w:val="22"/>
        </w:rPr>
        <w:t xml:space="preserve">The baseline platform follows the four-stage simulation described in Ref. [6]: two phase-controlled THz point sources (A at (−7.0, −1.5) μm, B at (6.5, 2.0) μm) with asymmetric amplitudes A</w:t>
      </w:r>
      <w:r>
        <w:rPr>
          <w:rFonts w:ascii="Arial" w:cs="Arial" w:eastAsia="Arial" w:hAnsi="Arial"/>
          <w:sz w:val="18"/>
          <w:szCs w:val="18"/>
          <w:vertAlign w:val="subscript"/>
        </w:rPr>
        <w:t xml:space="preserve">A</w:t>
      </w:r>
      <w:r>
        <w:rPr>
          <w:rFonts w:ascii="Arial" w:cs="Arial" w:eastAsia="Arial" w:hAnsi="Arial"/>
          <w:sz w:val="22"/>
          <w:szCs w:val="22"/>
        </w:rPr>
        <w:t xml:space="preserve"> = 1.0, A</w:t>
      </w:r>
      <w:r>
        <w:rPr>
          <w:rFonts w:ascii="Arial" w:cs="Arial" w:eastAsia="Arial" w:hAnsi="Arial"/>
          <w:sz w:val="18"/>
          <w:szCs w:val="18"/>
          <w:vertAlign w:val="subscript"/>
        </w:rPr>
        <w:t xml:space="preserve">B</w:t>
      </w:r>
      <w:r>
        <w:rPr>
          <w:rFonts w:ascii="Arial" w:cs="Arial" w:eastAsia="Arial" w:hAnsi="Arial"/>
          <w:sz w:val="22"/>
          <w:szCs w:val="22"/>
        </w:rPr>
        <w:t xml:space="preserve"> = 0.62 and phase bias δ = π/2.15 inject plasmon waves into a serpentine graphene channel described by y(x) = 0.8 sin(0.7x) + 0.35 sin(1.9x) + 0.12x (μm). The effective complex wave number is k</w:t>
      </w:r>
      <w:r>
        <w:rPr>
          <w:rFonts w:ascii="Arial" w:cs="Arial" w:eastAsia="Arial" w:hAnsi="Arial"/>
          <w:sz w:val="18"/>
          <w:szCs w:val="18"/>
          <w:vertAlign w:val="subscript"/>
        </w:rPr>
        <w:t xml:space="preserve">eff</w:t>
      </w:r>
      <w:r>
        <w:rPr>
          <w:rFonts w:ascii="Arial" w:cs="Arial" w:eastAsia="Arial" w:hAnsi="Arial"/>
          <w:sz w:val="22"/>
          <w:szCs w:val="22"/>
        </w:rPr>
        <w:t xml:space="preserve"> = k</w:t>
      </w:r>
      <w:r>
        <w:rPr>
          <w:rFonts w:ascii="Arial" w:cs="Arial" w:eastAsia="Arial" w:hAnsi="Arial"/>
          <w:sz w:val="18"/>
          <w:szCs w:val="18"/>
          <w:vertAlign w:val="subscript"/>
        </w:rPr>
        <w:t xml:space="preserve">0</w:t>
      </w:r>
      <w:r>
        <w:rPr>
          <w:rFonts w:ascii="Arial" w:cs="Arial" w:eastAsia="Arial" w:hAnsi="Arial"/>
          <w:sz w:val="22"/>
          <w:szCs w:val="22"/>
        </w:rPr>
        <w:t xml:space="preserve"> × (1.8 + 0.3j), encoding graphene plasmon confinement and scattering loss. The hBN coupling zone (|x| &lt; 5, |y| &lt; 3 μm) applies an enhancement factor h = 1.8 for phonon polariton hybridization. The synaptic output voltage is V</w:t>
      </w:r>
      <w:r>
        <w:rPr>
          <w:rFonts w:ascii="Arial" w:cs="Arial" w:eastAsia="Arial" w:hAnsi="Arial"/>
          <w:sz w:val="18"/>
          <w:szCs w:val="18"/>
          <w:vertAlign w:val="subscript"/>
        </w:rPr>
        <w:t xml:space="preserve">out</w:t>
      </w:r>
      <w:r>
        <w:rPr>
          <w:rFonts w:ascii="Arial" w:cs="Arial" w:eastAsia="Arial" w:hAnsi="Arial"/>
          <w:sz w:val="22"/>
          <w:szCs w:val="22"/>
        </w:rPr>
        <w:t xml:space="preserve"> = tanh(α·I</w:t>
      </w:r>
      <w:r>
        <w:rPr>
          <w:rFonts w:ascii="Arial" w:cs="Arial" w:eastAsia="Arial" w:hAnsi="Arial"/>
          <w:sz w:val="18"/>
          <w:szCs w:val="18"/>
          <w:vertAlign w:val="subscript"/>
        </w:rPr>
        <w:t xml:space="preserve">readout</w:t>
      </w:r>
      <w:r>
        <w:rPr>
          <w:rFonts w:ascii="Arial" w:cs="Arial" w:eastAsia="Arial" w:hAnsi="Arial"/>
          <w:sz w:val="22"/>
          <w:szCs w:val="22"/>
        </w:rPr>
        <w:t xml:space="preserve">) with gain α = 6.0.</w:t>
      </w:r>
    </w:p>
    <w:p>
      <w:pPr>
        <w:pStyle w:val="Heading2"/>
        <w:spacing w:after="120" w:before="240"/>
      </w:pPr>
      <w:r>
        <w:rPr>
          <w:rFonts w:ascii="Arial" w:cs="Arial" w:eastAsia="Arial" w:hAnsi="Arial"/>
          <w:b/>
          <w:bCs/>
          <w:i/>
          <w:iCs/>
          <w:sz w:val="24"/>
          <w:szCs w:val="24"/>
        </w:rPr>
        <w:t xml:space="preserve">B. UV-Induced Möbius Boundary Condition</w:t>
      </w:r>
    </w:p>
    <w:p>
      <w:pPr>
        <w:spacing w:after="80" w:before="0"/>
      </w:pPr>
      <w:r>
        <w:rPr>
          <w:rFonts w:ascii="Arial" w:cs="Arial" w:eastAsia="Arial" w:hAnsi="Arial"/>
          <w:sz w:val="22"/>
          <w:szCs w:val="22"/>
        </w:rPr>
        <w:t xml:space="preserve">Ultraviolet illumination (λ</w:t>
      </w:r>
      <w:r>
        <w:rPr>
          <w:rFonts w:ascii="Arial" w:cs="Arial" w:eastAsia="Arial" w:hAnsi="Arial"/>
          <w:sz w:val="18"/>
          <w:szCs w:val="18"/>
          <w:vertAlign w:val="subscript"/>
        </w:rPr>
        <w:t xml:space="preserve">UV</w:t>
      </w:r>
      <w:r>
        <w:rPr>
          <w:rFonts w:ascii="Arial" w:cs="Arial" w:eastAsia="Arial" w:hAnsi="Arial"/>
          <w:sz w:val="22"/>
          <w:szCs w:val="22"/>
        </w:rPr>
        <w:t xml:space="preserve"> = 200–400 nm, I</w:t>
      </w:r>
      <w:r>
        <w:rPr>
          <w:rFonts w:ascii="Arial" w:cs="Arial" w:eastAsia="Arial" w:hAnsi="Arial"/>
          <w:sz w:val="18"/>
          <w:szCs w:val="18"/>
          <w:vertAlign w:val="subscript"/>
        </w:rPr>
        <w:t xml:space="preserve">UV</w:t>
      </w:r>
      <w:r>
        <w:rPr>
          <w:rFonts w:ascii="Arial" w:cs="Arial" w:eastAsia="Arial" w:hAnsi="Arial"/>
          <w:sz w:val="22"/>
          <w:szCs w:val="22"/>
        </w:rPr>
        <w:t xml:space="preserve"> = 10³–10⁵ W/m²) directed near the output coupler modifies the local graphene carrier density via photoexcitation:</w:t>
      </w:r>
    </w:p>
    <w:p>
      <w:pPr>
        <w:spacing w:after="80" w:before="80"/>
        <w:jc w:val="center"/>
      </w:pPr>
      <w:r>
        <w:rPr>
          <w:rFonts w:ascii="Arial" w:cs="Arial" w:eastAsia="Arial" w:hAnsi="Arial"/>
          <w:i/>
          <w:iCs/>
          <w:sz w:val="22"/>
          <w:szCs w:val="22"/>
        </w:rPr>
        <w:t xml:space="preserve">ΔE</w:t>
      </w:r>
      <w:r>
        <w:rPr>
          <w:rFonts w:ascii="Arial" w:cs="Arial" w:eastAsia="Arial" w:hAnsi="Arial"/>
          <w:i/>
          <w:iCs/>
          <w:sz w:val="18"/>
          <w:szCs w:val="18"/>
          <w:vertAlign w:val="subscript"/>
        </w:rPr>
        <w:t xml:space="preserve">F</w:t>
      </w:r>
      <w:r>
        <w:rPr>
          <w:rFonts w:ascii="Arial" w:cs="Arial" w:eastAsia="Arial" w:hAnsi="Arial"/>
          <w:i/>
          <w:iCs/>
          <w:sz w:val="22"/>
          <w:szCs w:val="22"/>
        </w:rPr>
        <w:t xml:space="preserve"> ∝ I</w:t>
      </w:r>
      <w:r>
        <w:rPr>
          <w:rFonts w:ascii="Arial" w:cs="Arial" w:eastAsia="Arial" w:hAnsi="Arial"/>
          <w:i/>
          <w:iCs/>
          <w:sz w:val="18"/>
          <w:szCs w:val="18"/>
          <w:vertAlign w:val="subscript"/>
        </w:rPr>
        <w:t xml:space="preserve">UV</w:t>
      </w:r>
      <w:r>
        <w:rPr>
          <w:rFonts w:ascii="Arial" w:cs="Arial" w:eastAsia="Arial" w:hAnsi="Arial"/>
          <w:i/>
          <w:iCs/>
          <w:sz w:val="22"/>
          <w:szCs w:val="22"/>
        </w:rPr>
        <w:t xml:space="preserve">  →  k</w:t>
      </w:r>
      <w:r>
        <w:rPr>
          <w:rFonts w:ascii="Arial" w:cs="Arial" w:eastAsia="Arial" w:hAnsi="Arial"/>
          <w:i/>
          <w:iCs/>
          <w:sz w:val="18"/>
          <w:szCs w:val="18"/>
          <w:vertAlign w:val="subscript"/>
        </w:rPr>
        <w:t xml:space="preserve">eff</w:t>
      </w:r>
      <w:r>
        <w:rPr>
          <w:rFonts w:ascii="Arial" w:cs="Arial" w:eastAsia="Arial" w:hAnsi="Arial"/>
          <w:i/>
          <w:iCs/>
          <w:sz w:val="22"/>
          <w:szCs w:val="22"/>
        </w:rPr>
        <w:t xml:space="preserve">(x) → k</w:t>
      </w:r>
      <w:r>
        <w:rPr>
          <w:rFonts w:ascii="Arial" w:cs="Arial" w:eastAsia="Arial" w:hAnsi="Arial"/>
          <w:i/>
          <w:iCs/>
          <w:sz w:val="18"/>
          <w:szCs w:val="18"/>
          <w:vertAlign w:val="subscript"/>
        </w:rPr>
        <w:t xml:space="preserve">eff</w:t>
      </w:r>
      <w:r>
        <w:rPr>
          <w:rFonts w:ascii="Arial" w:cs="Arial" w:eastAsia="Arial" w:hAnsi="Arial"/>
          <w:i/>
          <w:iCs/>
          <w:sz w:val="22"/>
          <w:szCs w:val="22"/>
        </w:rPr>
        <w:t xml:space="preserve"> + Δk(I</w:t>
      </w:r>
      <w:r>
        <w:rPr>
          <w:rFonts w:ascii="Arial" w:cs="Arial" w:eastAsia="Arial" w:hAnsi="Arial"/>
          <w:i/>
          <w:iCs/>
          <w:sz w:val="18"/>
          <w:szCs w:val="18"/>
          <w:vertAlign w:val="subscript"/>
        </w:rPr>
        <w:t xml:space="preserve">UV</w:t>
      </w:r>
      <w:r>
        <w:rPr>
          <w:rFonts w:ascii="Arial" w:cs="Arial" w:eastAsia="Arial" w:hAnsi="Arial"/>
          <w:i/>
          <w:iCs/>
          <w:sz w:val="22"/>
          <w:szCs w:val="22"/>
        </w:rPr>
        <w:t xml:space="preserve">)</w:t>
      </w:r>
    </w:p>
    <w:p>
      <w:pPr>
        <w:spacing w:after="80" w:before="0"/>
      </w:pPr>
      <w:r>
        <w:rPr>
          <w:rFonts w:ascii="Arial" w:cs="Arial" w:eastAsia="Arial" w:hAnsi="Arial"/>
          <w:sz w:val="22"/>
          <w:szCs w:val="22"/>
        </w:rPr>
        <w:t xml:space="preserve">When the UV-modified path length satisfies the Möbius anti-periodic condition:</w:t>
      </w:r>
    </w:p>
    <w:p>
      <w:pPr>
        <w:spacing w:after="80" w:before="80"/>
        <w:jc w:val="center"/>
      </w:pPr>
      <w:r>
        <w:rPr>
          <w:rFonts w:ascii="Arial" w:cs="Arial" w:eastAsia="Arial" w:hAnsi="Arial"/>
          <w:i/>
          <w:iCs/>
          <w:sz w:val="22"/>
          <w:szCs w:val="22"/>
        </w:rPr>
        <w:t xml:space="preserve">φ(x + L) = −φ(x)  ⟹  k</w:t>
      </w:r>
      <w:r>
        <w:rPr>
          <w:rFonts w:ascii="Arial" w:cs="Arial" w:eastAsia="Arial" w:hAnsi="Arial"/>
          <w:i/>
          <w:iCs/>
          <w:sz w:val="18"/>
          <w:szCs w:val="18"/>
          <w:vertAlign w:val="subscript"/>
        </w:rPr>
        <w:t xml:space="preserve">n</w:t>
      </w:r>
      <w:r>
        <w:rPr>
          <w:rFonts w:ascii="Arial" w:cs="Arial" w:eastAsia="Arial" w:hAnsi="Arial"/>
          <w:i/>
          <w:iCs/>
          <w:sz w:val="22"/>
          <w:szCs w:val="22"/>
        </w:rPr>
        <w:t xml:space="preserve"> = (2n+1)π/L,  n ∈ ℤ</w:t>
      </w:r>
    </w:p>
    <w:p>
      <w:pPr>
        <w:spacing w:after="200" w:before="0"/>
      </w:pPr>
      <w:r>
        <w:rPr>
          <w:rFonts w:ascii="Arial" w:cs="Arial" w:eastAsia="Arial" w:hAnsi="Arial"/>
          <w:sz w:val="22"/>
          <w:szCs w:val="22"/>
        </w:rPr>
        <w:t xml:space="preserve">only odd-order modes are permitted (Fig. 2A–B). This eliminates the k = 2πn/L even-mode contamination that generates symmetric interference lobes, thereby sharpening the XOR discrimination node and raising output contrast. The UV-power dependence of output accuracy is shown in Fig. 2C.</w:t>
      </w:r>
    </w:p>
    <w:p>
      <w:pPr>
        <w:spacing w:after="120" w:before="240"/>
        <w:jc w:val="center"/>
      </w:pPr>
      <w:r>
        <w:drawing>
          <wp:inline distT="0" distB="0" distL="0" distR="0">
            <wp:extent cx="56578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57850" cy="2428875"/>
                    </a:xfrm>
                    <a:prstGeom prst="rect">
                      <a:avLst/>
                    </a:prstGeom>
                  </pic:spPr>
                </pic:pic>
              </a:graphicData>
            </a:graphic>
          </wp:inline>
        </w:drawing>
      </w:r>
    </w:p>
    <w:p>
      <w:pPr>
        <w:spacing w:after="240" w:before="0"/>
        <w:jc w:val="center"/>
      </w:pPr>
      <w:r>
        <w:rPr>
          <w:rFonts w:ascii="Arial" w:cs="Arial" w:eastAsia="Arial" w:hAnsi="Arial"/>
          <w:i/>
          <w:iCs/>
          <w:color w:val="444441"/>
          <w:sz w:val="20"/>
          <w:szCs w:val="20"/>
        </w:rPr>
        <w:t xml:space="preserve">Fig. 2. UV-induced Möbius boundary condition. (A) Normal periodic BC: all harmonic modes k = 2πn/L are permitted. (B) Möbius anti-periodic BC: only odd modes (n = 1, 3, 5, ...) survive; even modes are suppressed (shown dashed). (C) Output accuracy as a function of UV irradiance. Without UV (baseline): accuracy 0.72. At I_UV = 10⁴ W/m², accuracy reaches 0.96 due to mode purification.</w:t>
      </w:r>
    </w:p>
    <w:p>
      <w:pPr>
        <w:pStyle w:val="Heading2"/>
        <w:spacing w:after="120" w:before="240"/>
      </w:pPr>
      <w:r>
        <w:rPr>
          <w:rFonts w:ascii="Arial" w:cs="Arial" w:eastAsia="Arial" w:hAnsi="Arial"/>
          <w:b/>
          <w:bCs/>
          <w:i/>
          <w:iCs/>
          <w:sz w:val="24"/>
          <w:szCs w:val="24"/>
        </w:rPr>
        <w:t xml:space="preserve">C. Qubit-Inspired Accuracy Enhancement</w:t>
      </w:r>
    </w:p>
    <w:p>
      <w:pPr>
        <w:spacing w:after="80" w:before="0"/>
      </w:pPr>
      <w:r>
        <w:rPr>
          <w:rFonts w:ascii="Arial" w:cs="Arial" w:eastAsia="Arial" w:hAnsi="Arial"/>
          <w:sz w:val="22"/>
          <w:szCs w:val="22"/>
        </w:rPr>
        <w:t xml:space="preserve">The binary interference states are mapped to a two-dimensional Hilbert space spanned by {|0⟩, |1⟩}, analogous to a qubit register. The mapping rule is:</w:t>
      </w:r>
    </w:p>
    <w:p>
      <w:pPr>
        <w:spacing w:after="80" w:before="80"/>
        <w:jc w:val="center"/>
      </w:pPr>
      <w:r>
        <w:rPr>
          <w:rFonts w:ascii="Arial" w:cs="Arial" w:eastAsia="Arial" w:hAnsi="Arial"/>
          <w:i/>
          <w:iCs/>
          <w:sz w:val="22"/>
          <w:szCs w:val="22"/>
        </w:rPr>
        <w:t xml:space="preserve">|ψ⟩ = cos(θ/2)|0⟩ + e</w:t>
      </w:r>
      <w:r>
        <w:rPr>
          <w:rFonts w:ascii="Arial" w:cs="Arial" w:eastAsia="Arial" w:hAnsi="Arial"/>
          <w:i/>
          <w:iCs/>
          <w:sz w:val="18"/>
          <w:szCs w:val="18"/>
          <w:vertAlign w:val="superscript"/>
        </w:rPr>
        <w:t xml:space="preserve">iφ</w:t>
      </w:r>
      <w:r>
        <w:rPr>
          <w:rFonts w:ascii="Arial" w:cs="Arial" w:eastAsia="Arial" w:hAnsi="Arial"/>
          <w:i/>
          <w:iCs/>
          <w:sz w:val="22"/>
          <w:szCs w:val="22"/>
        </w:rPr>
        <w:t xml:space="preserve"> sin(θ/2)|1⟩,  θ = arccos(1 − 2V</w:t>
      </w:r>
      <w:r>
        <w:rPr>
          <w:rFonts w:ascii="Arial" w:cs="Arial" w:eastAsia="Arial" w:hAnsi="Arial"/>
          <w:i/>
          <w:iCs/>
          <w:sz w:val="18"/>
          <w:szCs w:val="18"/>
          <w:vertAlign w:val="subscript"/>
        </w:rPr>
        <w:t xml:space="preserve">out</w:t>
      </w:r>
      <w:r>
        <w:rPr>
          <w:rFonts w:ascii="Arial" w:cs="Arial" w:eastAsia="Arial" w:hAnsi="Arial"/>
          <w:i/>
          <w:iCs/>
          <w:sz w:val="22"/>
          <w:szCs w:val="22"/>
        </w:rPr>
        <w:t xml:space="preserve">)</w:t>
      </w:r>
    </w:p>
    <w:p>
      <w:pPr>
        <w:spacing w:after="200" w:before="0"/>
      </w:pPr>
      <w:r>
        <w:rPr>
          <w:rFonts w:ascii="Arial" w:cs="Arial" w:eastAsia="Arial" w:hAnsi="Arial"/>
          <w:sz w:val="22"/>
          <w:szCs w:val="22"/>
        </w:rPr>
        <w:t xml:space="preserve">where θ → 0 corresponds to |0⟩ (EPSP-like, V</w:t>
      </w:r>
      <w:r>
        <w:rPr>
          <w:rFonts w:ascii="Arial" w:cs="Arial" w:eastAsia="Arial" w:hAnsi="Arial"/>
          <w:sz w:val="18"/>
          <w:szCs w:val="18"/>
          <w:vertAlign w:val="subscript"/>
        </w:rPr>
        <w:t xml:space="preserve">out</w:t>
      </w:r>
      <w:r>
        <w:rPr>
          <w:rFonts w:ascii="Arial" w:cs="Arial" w:eastAsia="Arial" w:hAnsi="Arial"/>
          <w:sz w:val="22"/>
          <w:szCs w:val="22"/>
        </w:rPr>
        <w:t xml:space="preserve"> → 1) and θ → π to |1⟩ (IPSP-like, V</w:t>
      </w:r>
      <w:r>
        <w:rPr>
          <w:rFonts w:ascii="Arial" w:cs="Arial" w:eastAsia="Arial" w:hAnsi="Arial"/>
          <w:sz w:val="18"/>
          <w:szCs w:val="18"/>
          <w:vertAlign w:val="subscript"/>
        </w:rPr>
        <w:t xml:space="preserve">out</w:t>
      </w:r>
      <w:r>
        <w:rPr>
          <w:rFonts w:ascii="Arial" w:cs="Arial" w:eastAsia="Arial" w:hAnsi="Arial"/>
          <w:sz w:val="22"/>
          <w:szCs w:val="22"/>
        </w:rPr>
        <w:t xml:space="preserve"> → 0). The qubit representation provides two benefits over classical thresholding at 0.5: (i) the transition sharpness scales as sin²(θ), concentrating probability density near the binary poles; and (ii) the phase φ encodes the relative interference path difference, providing additional discriminability for the degenerate (0,1)/(1,0) inputs. The qubit state diagram and output table are presented in Fig. 3.</w:t>
      </w:r>
    </w:p>
    <w:p>
      <w:pPr>
        <w:spacing w:after="120" w:before="240"/>
        <w:jc w:val="center"/>
      </w:pPr>
      <w:r>
        <w:drawing>
          <wp:inline distT="0" distB="0" distL="0" distR="0">
            <wp:extent cx="56578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57850" cy="2428875"/>
                    </a:xfrm>
                    <a:prstGeom prst="rect">
                      <a:avLst/>
                    </a:prstGeom>
                  </pic:spPr>
                </pic:pic>
              </a:graphicData>
            </a:graphic>
          </wp:inline>
        </w:drawing>
      </w:r>
    </w:p>
    <w:p>
      <w:pPr>
        <w:spacing w:after="240" w:before="0"/>
        <w:jc w:val="center"/>
      </w:pPr>
      <w:r>
        <w:rPr>
          <w:rFonts w:ascii="Arial" w:cs="Arial" w:eastAsia="Arial" w:hAnsi="Arial"/>
          <w:i/>
          <w:iCs/>
          <w:color w:val="444441"/>
          <w:sz w:val="20"/>
          <w:szCs w:val="20"/>
        </w:rPr>
        <w:t xml:space="preserve">Fig. 3. Qubit mapping of EPSP/IPSP states. (Left) Bloch sphere representation: |0⟩ = EPSP (north pole), |1⟩ = IPSP (south pole), superposition states on the equator. (Center) Summary table of qubit-mapped outputs for all four input combinations. (Right) Nonlinear tanh mapping for α = 3, 6, 10; threshold at V_out = 0.5 separates EPSP (above) from IPSP (below).</w:t>
      </w:r>
    </w:p>
    <w:p>
      <w:pPr>
        <w:pStyle w:val="Heading2"/>
        <w:spacing w:after="120" w:before="240"/>
      </w:pPr>
      <w:r>
        <w:rPr>
          <w:rFonts w:ascii="Arial" w:cs="Arial" w:eastAsia="Arial" w:hAnsi="Arial"/>
          <w:b/>
          <w:bCs/>
          <w:i/>
          <w:iCs/>
          <w:sz w:val="24"/>
          <w:szCs w:val="24"/>
        </w:rPr>
        <w:t xml:space="preserve">D. piezo-hBN Multimodal Transduction</w:t>
      </w:r>
    </w:p>
    <w:p>
      <w:pPr>
        <w:spacing w:after="80" w:before="0"/>
      </w:pPr>
      <w:r>
        <w:rPr>
          <w:rFonts w:ascii="Arial" w:cs="Arial" w:eastAsia="Arial" w:hAnsi="Arial"/>
          <w:sz w:val="22"/>
          <w:szCs w:val="22"/>
        </w:rPr>
        <w:t xml:space="preserve">Hexagonal boron nitride exhibits a piezoelectric response characterized by tensor coefficient d</w:t>
      </w:r>
      <w:r>
        <w:rPr>
          <w:rFonts w:ascii="Arial" w:cs="Arial" w:eastAsia="Arial" w:hAnsi="Arial"/>
          <w:sz w:val="18"/>
          <w:szCs w:val="18"/>
          <w:vertAlign w:val="subscript"/>
        </w:rPr>
        <w:t xml:space="preserve">33</w:t>
      </w:r>
      <w:r>
        <w:rPr>
          <w:rFonts w:ascii="Arial" w:cs="Arial" w:eastAsia="Arial" w:hAnsi="Arial"/>
          <w:sz w:val="22"/>
          <w:szCs w:val="22"/>
        </w:rPr>
        <w:t xml:space="preserve"> ≈ 0.6 pm/V and elastic modulus C</w:t>
      </w:r>
      <w:r>
        <w:rPr>
          <w:rFonts w:ascii="Arial" w:cs="Arial" w:eastAsia="Arial" w:hAnsi="Arial"/>
          <w:sz w:val="18"/>
          <w:szCs w:val="18"/>
          <w:vertAlign w:val="subscript"/>
        </w:rPr>
        <w:t xml:space="preserve">33</w:t>
      </w:r>
      <w:r>
        <w:rPr>
          <w:rFonts w:ascii="Arial" w:cs="Arial" w:eastAsia="Arial" w:hAnsi="Arial"/>
          <w:sz w:val="22"/>
          <w:szCs w:val="22"/>
        </w:rPr>
        <w:t xml:space="preserve"> ≈ 27 GPa [9,10]. The extended constitutive relations coupling electromagnetic polarization P</w:t>
      </w:r>
      <w:r>
        <w:rPr>
          <w:rFonts w:ascii="Arial" w:cs="Arial" w:eastAsia="Arial" w:hAnsi="Arial"/>
          <w:sz w:val="18"/>
          <w:szCs w:val="18"/>
          <w:vertAlign w:val="subscript"/>
        </w:rPr>
        <w:t xml:space="preserve">i</w:t>
      </w:r>
      <w:r>
        <w:rPr>
          <w:rFonts w:ascii="Arial" w:cs="Arial" w:eastAsia="Arial" w:hAnsi="Arial"/>
          <w:sz w:val="22"/>
          <w:szCs w:val="22"/>
        </w:rPr>
        <w:t xml:space="preserve"> and mechanical stress σ</w:t>
      </w:r>
      <w:r>
        <w:rPr>
          <w:rFonts w:ascii="Arial" w:cs="Arial" w:eastAsia="Arial" w:hAnsi="Arial"/>
          <w:sz w:val="18"/>
          <w:szCs w:val="18"/>
          <w:vertAlign w:val="subscript"/>
        </w:rPr>
        <w:t xml:space="preserve">jk</w:t>
      </w:r>
      <w:r>
        <w:rPr>
          <w:rFonts w:ascii="Arial" w:cs="Arial" w:eastAsia="Arial" w:hAnsi="Arial"/>
          <w:sz w:val="22"/>
          <w:szCs w:val="22"/>
        </w:rPr>
        <w:t xml:space="preserve"> are:</w:t>
      </w:r>
    </w:p>
    <w:p>
      <w:pPr>
        <w:spacing w:after="40" w:before="80"/>
        <w:jc w:val="center"/>
      </w:pPr>
      <w:r>
        <w:rPr>
          <w:rFonts w:ascii="Arial" w:cs="Arial" w:eastAsia="Arial" w:hAnsi="Arial"/>
          <w:i/>
          <w:iCs/>
          <w:sz w:val="22"/>
          <w:szCs w:val="22"/>
        </w:rPr>
        <w:t xml:space="preserve">P</w:t>
      </w:r>
      <w:r>
        <w:rPr>
          <w:rFonts w:ascii="Arial" w:cs="Arial" w:eastAsia="Arial" w:hAnsi="Arial"/>
          <w:i/>
          <w:iCs/>
          <w:sz w:val="18"/>
          <w:szCs w:val="18"/>
          <w:vertAlign w:val="subscript"/>
        </w:rPr>
        <w:t xml:space="preserve">i</w:t>
      </w:r>
      <w:r>
        <w:rPr>
          <w:rFonts w:ascii="Arial" w:cs="Arial" w:eastAsia="Arial" w:hAnsi="Arial"/>
          <w:i/>
          <w:iCs/>
          <w:sz w:val="22"/>
          <w:szCs w:val="22"/>
        </w:rPr>
        <w:t xml:space="preserve"> = ε₀ Σ χ</w:t>
      </w:r>
      <w:r>
        <w:rPr>
          <w:rFonts w:ascii="Arial" w:cs="Arial" w:eastAsia="Arial" w:hAnsi="Arial"/>
          <w:i/>
          <w:iCs/>
          <w:sz w:val="18"/>
          <w:szCs w:val="18"/>
          <w:vertAlign w:val="superscript"/>
        </w:rPr>
        <w:t xml:space="preserve">(2)</w:t>
      </w:r>
      <w:r>
        <w:rPr>
          <w:rFonts w:ascii="Arial" w:cs="Arial" w:eastAsia="Arial" w:hAnsi="Arial"/>
          <w:i/>
          <w:iCs/>
          <w:sz w:val="18"/>
          <w:szCs w:val="18"/>
          <w:vertAlign w:val="subscript"/>
        </w:rPr>
        <w:t xml:space="preserve">ijk</w:t>
      </w:r>
      <w:r>
        <w:rPr>
          <w:rFonts w:ascii="Arial" w:cs="Arial" w:eastAsia="Arial" w:hAnsi="Arial"/>
          <w:i/>
          <w:iCs/>
          <w:sz w:val="22"/>
          <w:szCs w:val="22"/>
        </w:rPr>
        <w:t xml:space="preserve"> E</w:t>
      </w:r>
      <w:r>
        <w:rPr>
          <w:rFonts w:ascii="Arial" w:cs="Arial" w:eastAsia="Arial" w:hAnsi="Arial"/>
          <w:i/>
          <w:iCs/>
          <w:sz w:val="18"/>
          <w:szCs w:val="18"/>
          <w:vertAlign w:val="subscript"/>
        </w:rPr>
        <w:t xml:space="preserve">j</w:t>
      </w:r>
      <w:r>
        <w:rPr>
          <w:rFonts w:ascii="Arial" w:cs="Arial" w:eastAsia="Arial" w:hAnsi="Arial"/>
          <w:i/>
          <w:iCs/>
          <w:sz w:val="22"/>
          <w:szCs w:val="22"/>
        </w:rPr>
        <w:t xml:space="preserve"> E</w:t>
      </w:r>
      <w:r>
        <w:rPr>
          <w:rFonts w:ascii="Arial" w:cs="Arial" w:eastAsia="Arial" w:hAnsi="Arial"/>
          <w:i/>
          <w:iCs/>
          <w:sz w:val="18"/>
          <w:szCs w:val="18"/>
          <w:vertAlign w:val="subscript"/>
        </w:rPr>
        <w:t xml:space="preserve">k</w:t>
      </w:r>
      <w:r>
        <w:rPr>
          <w:rFonts w:ascii="Arial" w:cs="Arial" w:eastAsia="Arial" w:hAnsi="Arial"/>
          <w:i/>
          <w:iCs/>
          <w:sz w:val="22"/>
          <w:szCs w:val="22"/>
        </w:rPr>
        <w:t xml:space="preserve">  +  d</w:t>
      </w:r>
      <w:r>
        <w:rPr>
          <w:rFonts w:ascii="Arial" w:cs="Arial" w:eastAsia="Arial" w:hAnsi="Arial"/>
          <w:i/>
          <w:iCs/>
          <w:sz w:val="18"/>
          <w:szCs w:val="18"/>
          <w:vertAlign w:val="subscript"/>
        </w:rPr>
        <w:t xml:space="preserve">ijk</w:t>
      </w:r>
      <w:r>
        <w:rPr>
          <w:rFonts w:ascii="Arial" w:cs="Arial" w:eastAsia="Arial" w:hAnsi="Arial"/>
          <w:i/>
          <w:iCs/>
          <w:sz w:val="22"/>
          <w:szCs w:val="22"/>
        </w:rPr>
        <w:t xml:space="preserve"> σ</w:t>
      </w:r>
      <w:r>
        <w:rPr>
          <w:rFonts w:ascii="Arial" w:cs="Arial" w:eastAsia="Arial" w:hAnsi="Arial"/>
          <w:i/>
          <w:iCs/>
          <w:sz w:val="18"/>
          <w:szCs w:val="18"/>
          <w:vertAlign w:val="subscript"/>
        </w:rPr>
        <w:t xml:space="preserve">jk</w:t>
      </w:r>
      <w:r>
        <w:rPr>
          <w:rFonts w:ascii="Arial" w:cs="Arial" w:eastAsia="Arial" w:hAnsi="Arial"/>
          <w:i/>
          <w:iCs/>
          <w:sz w:val="22"/>
          <w:szCs w:val="22"/>
        </w:rPr>
        <w:t xml:space="preserve">  (piezo direct term)</w:t>
      </w:r>
    </w:p>
    <w:p>
      <w:pPr>
        <w:spacing w:after="80" w:before="0"/>
        <w:jc w:val="center"/>
      </w:pPr>
      <w:r>
        <w:rPr>
          <w:rFonts w:ascii="Arial" w:cs="Arial" w:eastAsia="Arial" w:hAnsi="Arial"/>
          <w:i/>
          <w:iCs/>
          <w:sz w:val="22"/>
          <w:szCs w:val="22"/>
        </w:rPr>
        <w:t xml:space="preserve">ε</w:t>
      </w:r>
      <w:r>
        <w:rPr>
          <w:rFonts w:ascii="Arial" w:cs="Arial" w:eastAsia="Arial" w:hAnsi="Arial"/>
          <w:i/>
          <w:iCs/>
          <w:sz w:val="18"/>
          <w:szCs w:val="18"/>
          <w:vertAlign w:val="subscript"/>
        </w:rPr>
        <w:t xml:space="preserve">ij</w:t>
      </w:r>
      <w:r>
        <w:rPr>
          <w:rFonts w:ascii="Arial" w:cs="Arial" w:eastAsia="Arial" w:hAnsi="Arial"/>
          <w:i/>
          <w:iCs/>
          <w:sz w:val="22"/>
          <w:szCs w:val="22"/>
        </w:rPr>
        <w:t xml:space="preserve"> = d</w:t>
      </w:r>
      <w:r>
        <w:rPr>
          <w:rFonts w:ascii="Arial" w:cs="Arial" w:eastAsia="Arial" w:hAnsi="Arial"/>
          <w:i/>
          <w:iCs/>
          <w:sz w:val="18"/>
          <w:szCs w:val="18"/>
          <w:vertAlign w:val="subscript"/>
        </w:rPr>
        <w:t xml:space="preserve">ijk</w:t>
      </w:r>
      <w:r>
        <w:rPr>
          <w:rFonts w:ascii="Arial" w:cs="Arial" w:eastAsia="Arial" w:hAnsi="Arial"/>
          <w:i/>
          <w:iCs/>
          <w:sz w:val="22"/>
          <w:szCs w:val="22"/>
        </w:rPr>
        <w:t xml:space="preserve"> E</w:t>
      </w:r>
      <w:r>
        <w:rPr>
          <w:rFonts w:ascii="Arial" w:cs="Arial" w:eastAsia="Arial" w:hAnsi="Arial"/>
          <w:i/>
          <w:iCs/>
          <w:sz w:val="18"/>
          <w:szCs w:val="18"/>
          <w:vertAlign w:val="subscript"/>
        </w:rPr>
        <w:t xml:space="preserve">k</w:t>
      </w:r>
      <w:r>
        <w:rPr>
          <w:rFonts w:ascii="Arial" w:cs="Arial" w:eastAsia="Arial" w:hAnsi="Arial"/>
          <w:i/>
          <w:iCs/>
          <w:sz w:val="22"/>
          <w:szCs w:val="22"/>
        </w:rPr>
        <w:t xml:space="preserve">  (converse piezo term)</w:t>
      </w:r>
    </w:p>
    <w:p>
      <w:pPr>
        <w:spacing w:after="200" w:before="0"/>
      </w:pPr>
      <w:r>
        <w:rPr>
          <w:rFonts w:ascii="Arial" w:cs="Arial" w:eastAsia="Arial" w:hAnsi="Arial"/>
          <w:sz w:val="22"/>
          <w:szCs w:val="22"/>
        </w:rPr>
        <w:t xml:space="preserve">The visual (electromagnetic) pathway operates through phonon polariton hybridization in the THz–MIR range (0.1–160 THz), processed directly by the graphene–hBN junction. The auditory (acoustic) pathway operates via two sub-channels: (i) direct GHz surface acoustic wave (SAW) coupling through the DNA Origami + H₂O scaffold layer, and (ii) an indirect 20 Hz–20 kHz pathway through a MEMS microphone → ADC → DSP → THz modulator chain that encodes audio frequency as the phase parameter φ</w:t>
      </w:r>
      <w:r>
        <w:rPr>
          <w:rFonts w:ascii="Arial" w:cs="Arial" w:eastAsia="Arial" w:hAnsi="Arial"/>
          <w:sz w:val="18"/>
          <w:szCs w:val="18"/>
          <w:vertAlign w:val="subscript"/>
        </w:rPr>
        <w:t xml:space="preserve">B</w:t>
      </w:r>
      <w:r>
        <w:rPr>
          <w:rFonts w:ascii="Arial" w:cs="Arial" w:eastAsia="Arial" w:hAnsi="Arial"/>
          <w:sz w:val="22"/>
          <w:szCs w:val="22"/>
        </w:rPr>
        <w:t xml:space="preserve">(t) = π × [f(t)/f</w:t>
      </w:r>
      <w:r>
        <w:rPr>
          <w:rFonts w:ascii="Arial" w:cs="Arial" w:eastAsia="Arial" w:hAnsi="Arial"/>
          <w:sz w:val="18"/>
          <w:szCs w:val="18"/>
          <w:vertAlign w:val="subscript"/>
        </w:rPr>
        <w:t xml:space="preserve">max</w:t>
      </w:r>
      <w:r>
        <w:rPr>
          <w:rFonts w:ascii="Arial" w:cs="Arial" w:eastAsia="Arial" w:hAnsi="Arial"/>
          <w:sz w:val="22"/>
          <w:szCs w:val="22"/>
        </w:rPr>
        <w:t xml:space="preserve">]. The frequency coverage of the integrated system is illustrated in Fig. 4.</w:t>
      </w:r>
    </w:p>
    <w:p>
      <w:pPr>
        <w:spacing w:after="120" w:before="240"/>
        <w:jc w:val="center"/>
      </w:pPr>
      <w:r>
        <w:drawing>
          <wp:inline distT="0" distB="0" distL="0" distR="0">
            <wp:extent cx="56578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57850" cy="2628900"/>
                    </a:xfrm>
                    <a:prstGeom prst="rect">
                      <a:avLst/>
                    </a:prstGeom>
                  </pic:spPr>
                </pic:pic>
              </a:graphicData>
            </a:graphic>
          </wp:inline>
        </w:drawing>
      </w:r>
    </w:p>
    <w:p>
      <w:pPr>
        <w:spacing w:after="240" w:before="0"/>
        <w:jc w:val="center"/>
      </w:pPr>
      <w:r>
        <w:rPr>
          <w:rFonts w:ascii="Arial" w:cs="Arial" w:eastAsia="Arial" w:hAnsi="Arial"/>
          <w:i/>
          <w:iCs/>
          <w:color w:val="444441"/>
          <w:sz w:val="20"/>
          <w:szCs w:val="20"/>
        </w:rPr>
        <w:t xml:space="preserve">Fig. 4. piezo-hBN multimodal transduction architecture and frequency coverage. (Top) Layered cross-section of the heterostructure (hBN cap / graphene / piezo-hBN / DNA Origami+H₂O / SiO₂). Violet arrows: visual (THz–MIR electromagnetic) wave propagation. Red arrows: auditory (GHz SAW) wave propagation. (Bottom) Frequency band coverage from 20 Hz (audio, via ADC→THz chain) through ~160 THz (MIR phonon polariton Reststrahlen band).</w:t>
      </w:r>
    </w:p>
    <w:p>
      <w:pPr>
        <w:pStyle w:val="Heading1"/>
        <w:spacing w:after="160" w:before="320"/>
      </w:pPr>
      <w:r>
        <w:rPr>
          <w:rFonts w:ascii="Arial" w:cs="Arial" w:eastAsia="Arial" w:hAnsi="Arial"/>
          <w:b/>
          <w:bCs/>
          <w:sz w:val="28"/>
          <w:szCs w:val="28"/>
        </w:rPr>
        <w:t xml:space="preserve">III. RESULTS</w:t>
      </w:r>
    </w:p>
    <w:p>
      <w:pPr>
        <w:pStyle w:val="Heading2"/>
        <w:spacing w:after="120" w:before="240"/>
      </w:pPr>
      <w:r>
        <w:rPr>
          <w:rFonts w:ascii="Arial" w:cs="Arial" w:eastAsia="Arial" w:hAnsi="Arial"/>
          <w:b/>
          <w:bCs/>
          <w:i/>
          <w:iCs/>
          <w:sz w:val="24"/>
          <w:szCs w:val="24"/>
        </w:rPr>
        <w:t xml:space="preserve">A. Möbius Mode Selection: Even-Mode Suppression</w:t>
      </w:r>
    </w:p>
    <w:p>
      <w:pPr>
        <w:spacing w:after="200" w:before="0"/>
      </w:pPr>
      <w:r>
        <w:rPr>
          <w:rFonts w:ascii="Arial" w:cs="Arial" w:eastAsia="Arial" w:hAnsi="Arial"/>
          <w:sz w:val="22"/>
          <w:szCs w:val="22"/>
        </w:rPr>
        <w:t xml:space="preserve">Simulation of the field intensity |E|² in the output zone shows that without UV, modes n = 1, 2, 3, 4 all contribute to the standing wave pattern, generating symmetric side lobes that overlap the EPSP/IPSP decision boundary for input (1,1) (V</w:t>
      </w:r>
      <w:r>
        <w:rPr>
          <w:rFonts w:ascii="Arial" w:cs="Arial" w:eastAsia="Arial" w:hAnsi="Arial"/>
          <w:sz w:val="18"/>
          <w:szCs w:val="18"/>
          <w:vertAlign w:val="subscript"/>
        </w:rPr>
        <w:t xml:space="preserve">out</w:t>
      </w:r>
      <w:r>
        <w:rPr>
          <w:rFonts w:ascii="Arial" w:cs="Arial" w:eastAsia="Arial" w:hAnsi="Arial"/>
          <w:sz w:val="22"/>
          <w:szCs w:val="22"/>
        </w:rPr>
        <w:t xml:space="preserve"> = 0.38 ± 0.09). With UV irradiance I</w:t>
      </w:r>
      <w:r>
        <w:rPr>
          <w:rFonts w:ascii="Arial" w:cs="Arial" w:eastAsia="Arial" w:hAnsi="Arial"/>
          <w:sz w:val="18"/>
          <w:szCs w:val="18"/>
          <w:vertAlign w:val="subscript"/>
        </w:rPr>
        <w:t xml:space="preserve">UV</w:t>
      </w:r>
      <w:r>
        <w:rPr>
          <w:rFonts w:ascii="Arial" w:cs="Arial" w:eastAsia="Arial" w:hAnsi="Arial"/>
          <w:sz w:val="22"/>
          <w:szCs w:val="22"/>
        </w:rPr>
        <w:t xml:space="preserve"> = 10⁴ W/m², the Möbius anti-periodic condition eliminates n = 2, 4, ... contributions; the residual odd-mode pattern sharpens the constructive interference peak at the readout probe by 34% (FWHM reduction from 420 nm to 280 nm) and raises the (1,1) intermediate state further below threshold (V</w:t>
      </w:r>
      <w:r>
        <w:rPr>
          <w:rFonts w:ascii="Arial" w:cs="Arial" w:eastAsia="Arial" w:hAnsi="Arial"/>
          <w:sz w:val="18"/>
          <w:szCs w:val="18"/>
          <w:vertAlign w:val="subscript"/>
        </w:rPr>
        <w:t xml:space="preserve">out</w:t>
      </w:r>
      <w:r>
        <w:rPr>
          <w:rFonts w:ascii="Arial" w:cs="Arial" w:eastAsia="Arial" w:hAnsi="Arial"/>
          <w:sz w:val="22"/>
          <w:szCs w:val="22"/>
        </w:rPr>
        <w:t xml:space="preserve"> → 0.28), completing the XOR discrimination.</w:t>
      </w:r>
    </w:p>
    <w:p>
      <w:pPr>
        <w:pStyle w:val="Heading2"/>
        <w:spacing w:after="120" w:before="240"/>
      </w:pPr>
      <w:r>
        <w:rPr>
          <w:rFonts w:ascii="Arial" w:cs="Arial" w:eastAsia="Arial" w:hAnsi="Arial"/>
          <w:b/>
          <w:bCs/>
          <w:i/>
          <w:iCs/>
          <w:sz w:val="24"/>
          <w:szCs w:val="24"/>
        </w:rPr>
        <w:t xml:space="preserve">B. Qubit Mapping: Output Accuracy</w:t>
      </w:r>
    </w:p>
    <w:p>
      <w:pPr>
        <w:spacing w:after="80" w:before="120"/>
      </w:pPr>
      <w:r>
        <w:rPr>
          <w:rFonts w:ascii="Arial" w:cs="Arial" w:eastAsia="Arial" w:hAnsi="Arial"/>
          <w:b/>
          <w:bCs/>
          <w:sz w:val="22"/>
          <w:szCs w:val="22"/>
        </w:rPr>
        <w:t xml:space="preserve">Table I. </w:t>
      </w:r>
      <w:r>
        <w:rPr>
          <w:rFonts w:ascii="Arial" w:cs="Arial" w:eastAsia="Arial" w:hAnsi="Arial"/>
          <w:i/>
          <w:iCs/>
          <w:sz w:val="22"/>
          <w:szCs w:val="22"/>
        </w:rPr>
        <w:t xml:space="preserve">Qubit-mapped simulation output for all four input combinations at optimal operating conditions (UV at 10⁴ W/m², bias = π/2.15, α = 6.0).</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400"/>
        <w:gridCol w:w="1200"/>
        <w:gridCol w:w="1400"/>
        <w:gridCol w:w="2060"/>
      </w:tblGrid>
      <w:tr>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Input (A,B)</w:t>
            </w:r>
          </w:p>
        </w:tc>
        <w:tc>
          <w:tcPr>
            <w:tcW w:type="dxa" w:w="11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|E|² norm.</w:t>
            </w:r>
          </w:p>
        </w:tc>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V_out (no UV)</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V_out (UV)</w:t>
            </w:r>
          </w:p>
        </w:tc>
        <w:tc>
          <w:tcPr>
            <w:tcW w:type="dxa" w:w="1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Qubit state</w:t>
            </w:r>
          </w:p>
        </w:tc>
        <w:tc>
          <w:tcPr>
            <w:tcW w:type="dxa" w:w="20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(0,0)</w:t>
            </w:r>
          </w:p>
        </w:tc>
        <w:tc>
          <w:tcPr>
            <w:tcW w:type="dxa" w:w="11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0.04</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0.04</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0.04</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 – IPSP</w:t>
            </w:r>
          </w:p>
        </w:tc>
        <w:tc>
          <w:tcPr>
            <w:tcW w:type="dxa" w:w="20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Inhibitory – baseline silent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EPSP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Excitatory – source B dominant</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w:t>
            </w:r>
          </w:p>
        </w:tc>
        <w:tc>
          <w:tcPr>
            <w:tcW w:type="dxa" w:w="11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2.98</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0.93</w:t>
            </w:r>
          </w:p>
        </w:tc>
        <w:tc>
          <w:tcPr>
            <w:tcW w:type="dxa" w:w="1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0.97</w:t>
            </w:r>
          </w:p>
        </w:tc>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|0⟩ – EPSP</w:t>
            </w:r>
          </w:p>
        </w:tc>
        <w:tc>
          <w:tcPr>
            <w:tcW w:type="dxa" w:w="20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Excitatory – source A dominant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 sub-threshold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constructive → OR-like</w:t>
            </w:r>
          </w:p>
        </w:tc>
      </w:tr>
    </w:tbl>
    <w:p>
      <w:pPr>
        <w:spacing w:after="120" w:before="120"/>
      </w:pPr>
      <w:r>
        <w:rPr>
          <w:rFonts w:ascii="Arial" w:cs="Arial" w:eastAsia="Arial" w:hAnsi="Arial"/>
        </w:rPr>
        <w:t xml:space="preserve"/>
      </w:r>
    </w:p>
    <w:p>
      <w:pPr>
        <w:spacing w:after="200" w:before="0"/>
      </w:pPr>
      <w:r>
        <w:rPr>
          <w:rFonts w:ascii="Arial" w:cs="Arial" w:eastAsia="Arial" w:hAnsi="Arial"/>
          <w:sz w:val="22"/>
          <w:szCs w:val="22"/>
        </w:rPr>
        <w:t xml:space="preserve">The Möbius–UV condition raises individual EPSP-state accuracy by +2 percentage points (V</w:t>
      </w:r>
      <w:r>
        <w:rPr>
          <w:rFonts w:ascii="Arial" w:cs="Arial" w:eastAsia="Arial" w:hAnsi="Arial"/>
          <w:sz w:val="18"/>
          <w:szCs w:val="18"/>
          <w:vertAlign w:val="subscript"/>
        </w:rPr>
        <w:t xml:space="preserve">out</w:t>
      </w:r>
      <w:r>
        <w:rPr>
          <w:rFonts w:ascii="Arial" w:cs="Arial" w:eastAsia="Arial" w:hAnsi="Arial"/>
          <w:sz w:val="22"/>
          <w:szCs w:val="22"/>
        </w:rPr>
        <w:t xml:space="preserve">(0,1): 0.96 → 0.98; V</w:t>
      </w:r>
      <w:r>
        <w:rPr>
          <w:rFonts w:ascii="Arial" w:cs="Arial" w:eastAsia="Arial" w:hAnsi="Arial"/>
          <w:sz w:val="18"/>
          <w:szCs w:val="18"/>
          <w:vertAlign w:val="subscript"/>
        </w:rPr>
        <w:t xml:space="preserve">out</w:t>
      </w:r>
      <w:r>
        <w:rPr>
          <w:rFonts w:ascii="Arial" w:cs="Arial" w:eastAsia="Arial" w:hAnsi="Arial"/>
          <w:sz w:val="22"/>
          <w:szCs w:val="22"/>
        </w:rPr>
        <w:t xml:space="preserve">(1,0): 0.93 → 0.97) while driving the (0,0) state deep into the inhibitory regime (unchanged at 0.04). Most importantly, the (1,1) intermediate state drops from 0.38 to 0.28, well below the 0.5 threshold, converting previously ambiguous near-OR behavior into clean XOR logic. The overall XOR separation score (normalized intensity contrast) increases from 0.70 (baseline FDTD) to 0.88 (UV-Möbius enhanced).</w:t>
      </w:r>
    </w:p>
    <w:p>
      <w:pPr>
        <w:pStyle w:val="Heading2"/>
        <w:spacing w:after="120" w:before="240"/>
      </w:pPr>
      <w:r>
        <w:rPr>
          <w:rFonts w:ascii="Arial" w:cs="Arial" w:eastAsia="Arial" w:hAnsi="Arial"/>
          <w:b/>
          <w:bCs/>
          <w:i/>
          <w:iCs/>
          <w:sz w:val="24"/>
          <w:szCs w:val="24"/>
        </w:rPr>
        <w:t xml:space="preserve">C. Multimodal Sensing: Visual and Auditory Channels</w:t>
      </w:r>
    </w:p>
    <w:p>
      <w:pPr>
        <w:spacing w:after="160" w:before="0"/>
      </w:pPr>
      <w:r>
        <w:rPr>
          <w:rFonts w:ascii="Arial" w:cs="Arial" w:eastAsia="Arial" w:hAnsi="Arial"/>
          <w:sz w:val="22"/>
          <w:szCs w:val="22"/>
        </w:rPr>
        <w:t xml:space="preserve">In the visual (electromagnetic) channel, THz plasmon modes (0.1–10 THz) propagate along the serpentine graphene channel with the Möbius-enhanced mode profile, while MIR phonon polaritons (1370–1610 cm⁻¹, ~41–48 THz) are confined in the hBN Reststrahlen band with propagation loss &lt; 0.2 dB/μm. Both channels converge at the readout probe, producing a unified field intensity that is processed by the qubit mapping layer described in Section II.C.</w:t>
      </w:r>
    </w:p>
    <w:p>
      <w:pPr>
        <w:spacing w:after="200" w:before="0"/>
      </w:pPr>
      <w:r>
        <w:rPr>
          <w:rFonts w:ascii="Arial" w:cs="Arial" w:eastAsia="Arial" w:hAnsi="Arial"/>
          <w:sz w:val="22"/>
          <w:szCs w:val="22"/>
        </w:rPr>
        <w:t xml:space="preserve">In the auditory channel, GHz-range SAW excited at the DNA Origami + H₂O interface propagates as a quasi-1D phononic mode along the 50-nm waveguide width. The SAW frequency f</w:t>
      </w:r>
      <w:r>
        <w:rPr>
          <w:rFonts w:ascii="Arial" w:cs="Arial" w:eastAsia="Arial" w:hAnsi="Arial"/>
          <w:sz w:val="18"/>
          <w:szCs w:val="18"/>
          <w:vertAlign w:val="subscript"/>
        </w:rPr>
        <w:t xml:space="preserve">SAW</w:t>
      </w:r>
      <w:r>
        <w:rPr>
          <w:rFonts w:ascii="Arial" w:cs="Arial" w:eastAsia="Arial" w:hAnsi="Arial"/>
          <w:sz w:val="22"/>
          <w:szCs w:val="22"/>
        </w:rPr>
        <w:t xml:space="preserve"> couples to the hBN piezoelectric layer with coupling efficiency η</w:t>
      </w:r>
      <w:r>
        <w:rPr>
          <w:rFonts w:ascii="Arial" w:cs="Arial" w:eastAsia="Arial" w:hAnsi="Arial"/>
          <w:sz w:val="18"/>
          <w:szCs w:val="18"/>
          <w:vertAlign w:val="subscript"/>
        </w:rPr>
        <w:t xml:space="preserve">pe</w:t>
      </w:r>
      <w:r>
        <w:rPr>
          <w:rFonts w:ascii="Arial" w:cs="Arial" w:eastAsia="Arial" w:hAnsi="Arial"/>
          <w:sz w:val="22"/>
          <w:szCs w:val="22"/>
        </w:rPr>
        <w:t xml:space="preserve"> = d</w:t>
      </w:r>
      <w:r>
        <w:rPr>
          <w:rFonts w:ascii="Arial" w:cs="Arial" w:eastAsia="Arial" w:hAnsi="Arial"/>
          <w:sz w:val="18"/>
          <w:szCs w:val="18"/>
          <w:vertAlign w:val="subscript"/>
        </w:rPr>
        <w:t xml:space="preserve">33</w:t>
      </w:r>
      <w:r>
        <w:rPr>
          <w:rFonts w:ascii="Arial" w:cs="Arial" w:eastAsia="Arial" w:hAnsi="Arial"/>
          <w:sz w:val="22"/>
          <w:szCs w:val="22"/>
        </w:rPr>
        <w:t xml:space="preserve">² / (ε</w:t>
      </w:r>
      <w:r>
        <w:rPr>
          <w:rFonts w:ascii="Arial" w:cs="Arial" w:eastAsia="Arial" w:hAnsi="Arial"/>
          <w:sz w:val="18"/>
          <w:szCs w:val="18"/>
          <w:vertAlign w:val="subscript"/>
        </w:rPr>
        <w:t xml:space="preserve">33</w:t>
      </w:r>
      <w:r>
        <w:rPr>
          <w:rFonts w:ascii="Arial" w:cs="Arial" w:eastAsia="Arial" w:hAnsi="Arial"/>
          <w:sz w:val="22"/>
          <w:szCs w:val="22"/>
        </w:rPr>
        <w:t xml:space="preserve"> C</w:t>
      </w:r>
      <w:r>
        <w:rPr>
          <w:rFonts w:ascii="Arial" w:cs="Arial" w:eastAsia="Arial" w:hAnsi="Arial"/>
          <w:sz w:val="18"/>
          <w:szCs w:val="18"/>
          <w:vertAlign w:val="subscript"/>
        </w:rPr>
        <w:t xml:space="preserve">33</w:t>
      </w:r>
      <w:r>
        <w:rPr>
          <w:rFonts w:ascii="Arial" w:cs="Arial" w:eastAsia="Arial" w:hAnsi="Arial"/>
          <w:sz w:val="22"/>
          <w:szCs w:val="22"/>
        </w:rPr>
        <w:t xml:space="preserve">) ≈ 8.2 × 10⁻⁴, generating a modulation of k</w:t>
      </w:r>
      <w:r>
        <w:rPr>
          <w:rFonts w:ascii="Arial" w:cs="Arial" w:eastAsia="Arial" w:hAnsi="Arial"/>
          <w:sz w:val="18"/>
          <w:szCs w:val="18"/>
          <w:vertAlign w:val="subscript"/>
        </w:rPr>
        <w:t xml:space="preserve">eff</w:t>
      </w:r>
      <w:r>
        <w:rPr>
          <w:rFonts w:ascii="Arial" w:cs="Arial" w:eastAsia="Arial" w:hAnsi="Arial"/>
          <w:sz w:val="22"/>
          <w:szCs w:val="22"/>
        </w:rPr>
        <w:t xml:space="preserve"> and hence of the plasmon interference pattern. For the sub-GHz audio range (20 Hz–20 kHz), the ADC-mediated chain (MEMS microphone, 44.1 kHz sampling, real-time FFT, EOM-controlled THz phase modulator) maps instantaneous audio frequency to φ</w:t>
      </w:r>
      <w:r>
        <w:rPr>
          <w:rFonts w:ascii="Arial" w:cs="Arial" w:eastAsia="Arial" w:hAnsi="Arial"/>
          <w:sz w:val="18"/>
          <w:szCs w:val="18"/>
          <w:vertAlign w:val="subscript"/>
        </w:rPr>
        <w:t xml:space="preserve">B</w:t>
      </w:r>
      <w:r>
        <w:rPr>
          <w:rFonts w:ascii="Arial" w:cs="Arial" w:eastAsia="Arial" w:hAnsi="Arial"/>
          <w:sz w:val="22"/>
          <w:szCs w:val="22"/>
        </w:rPr>
        <w:t xml:space="preserve">(t) with latency &lt; 1 ms.</w:t>
      </w:r>
    </w:p>
    <w:p>
      <w:pPr>
        <w:pStyle w:val="Heading1"/>
        <w:spacing w:after="160" w:before="320"/>
      </w:pPr>
      <w:r>
        <w:rPr>
          <w:rFonts w:ascii="Arial" w:cs="Arial" w:eastAsia="Arial" w:hAnsi="Arial"/>
          <w:b/>
          <w:bCs/>
          <w:sz w:val="28"/>
          <w:szCs w:val="28"/>
        </w:rPr>
        <w:t xml:space="preserve">IV. DISCUSSION</w:t>
      </w:r>
    </w:p>
    <w:p>
      <w:pPr>
        <w:pStyle w:val="Heading2"/>
        <w:spacing w:after="120" w:before="240"/>
      </w:pPr>
      <w:r>
        <w:rPr>
          <w:rFonts w:ascii="Arial" w:cs="Arial" w:eastAsia="Arial" w:hAnsi="Arial"/>
          <w:b/>
          <w:bCs/>
          <w:i/>
          <w:iCs/>
          <w:sz w:val="24"/>
          <w:szCs w:val="24"/>
        </w:rPr>
        <w:t xml:space="preserve">A. Physical Interpretation of the Möbius Enhancement</w:t>
      </w:r>
    </w:p>
    <w:p>
      <w:pPr>
        <w:spacing w:after="160" w:before="0"/>
      </w:pPr>
      <w:r>
        <w:rPr>
          <w:rFonts w:ascii="Arial" w:cs="Arial" w:eastAsia="Arial" w:hAnsi="Arial"/>
          <w:sz w:val="22"/>
          <w:szCs w:val="22"/>
        </w:rPr>
        <w:t xml:space="preserve">The Möbius boundary condition operates as an analog mode filter. In the language of the four-stage simulation framework [6], the UV zone implements a spatially localized phase mask that shifts the effective quantization condition from periodic (k = 2πn/L) to anti-periodic (k = (2n+1)π/L). This is physically realized by a UV-induced local increase of the graphene Fermi level ΔE</w:t>
      </w:r>
      <w:r>
        <w:rPr>
          <w:rFonts w:ascii="Arial" w:cs="Arial" w:eastAsia="Arial" w:hAnsi="Arial"/>
          <w:sz w:val="18"/>
          <w:szCs w:val="18"/>
          <w:vertAlign w:val="subscript"/>
        </w:rPr>
        <w:t xml:space="preserve">F</w:t>
      </w:r>
      <w:r>
        <w:rPr>
          <w:rFonts w:ascii="Arial" w:cs="Arial" w:eastAsia="Arial" w:hAnsi="Arial"/>
          <w:sz w:val="22"/>
          <w:szCs w:val="22"/>
        </w:rPr>
        <w:t xml:space="preserve"> ∝ I</w:t>
      </w:r>
      <w:r>
        <w:rPr>
          <w:rFonts w:ascii="Arial" w:cs="Arial" w:eastAsia="Arial" w:hAnsi="Arial"/>
          <w:sz w:val="18"/>
          <w:szCs w:val="18"/>
          <w:vertAlign w:val="subscript"/>
        </w:rPr>
        <w:t xml:space="preserve">UV</w:t>
      </w:r>
      <w:r>
        <w:rPr>
          <w:rFonts w:ascii="Arial" w:cs="Arial" w:eastAsia="Arial" w:hAnsi="Arial"/>
          <w:sz w:val="22"/>
          <w:szCs w:val="22"/>
        </w:rPr>
        <w:t xml:space="preserve">, which shortens the local plasmon wavelength and accumulates a π phase mismatch relative to the even-mode standing-wave resonance condition. The result is a topological selectivity—one that is robust against small perturbations in UV power because the anti-periodic condition is a discrete symmetry, not a fine-tuned resonance.</w:t>
      </w:r>
    </w:p>
    <w:p>
      <w:pPr>
        <w:pStyle w:val="Heading2"/>
        <w:spacing w:after="120" w:before="240"/>
      </w:pPr>
      <w:r>
        <w:rPr>
          <w:rFonts w:ascii="Arial" w:cs="Arial" w:eastAsia="Arial" w:hAnsi="Arial"/>
          <w:b/>
          <w:bCs/>
          <w:i/>
          <w:iCs/>
          <w:sz w:val="24"/>
          <w:szCs w:val="24"/>
        </w:rPr>
        <w:t xml:space="preserve">B. Qubit Representation: Physical Defensibility</w:t>
      </w:r>
    </w:p>
    <w:p>
      <w:pPr>
        <w:spacing w:after="160" w:before="0"/>
      </w:pPr>
      <w:r>
        <w:rPr>
          <w:rFonts w:ascii="Arial" w:cs="Arial" w:eastAsia="Arial" w:hAnsi="Arial"/>
          <w:sz w:val="22"/>
          <w:szCs w:val="22"/>
        </w:rPr>
        <w:t xml:space="preserve">It is important to clarify the scope of the "qubit" label. The present system does not employ quantum coherence, entanglement, or superposition of physical quantum states. Rather, the qubit representation is a mathematical isomorphism: any normalized two-valued variable maps bijectively onto points on the Bloch sphere. In the present case, the two poles correspond to the two stable interference attractors (constructive EPSP-like and destructive IPSP-like) of the plasmonic system, and the latitude angle θ encodes the continuous output voltage V</w:t>
      </w:r>
      <w:r>
        <w:rPr>
          <w:rFonts w:ascii="Arial" w:cs="Arial" w:eastAsia="Arial" w:hAnsi="Arial"/>
          <w:sz w:val="18"/>
          <w:szCs w:val="18"/>
          <w:vertAlign w:val="subscript"/>
        </w:rPr>
        <w:t xml:space="preserve">out</w:t>
      </w:r>
      <w:r>
        <w:rPr>
          <w:rFonts w:ascii="Arial" w:cs="Arial" w:eastAsia="Arial" w:hAnsi="Arial"/>
          <w:sz w:val="22"/>
          <w:szCs w:val="22"/>
        </w:rPr>
        <w:t xml:space="preserve"> via θ = arccos(1 − 2V</w:t>
      </w:r>
      <w:r>
        <w:rPr>
          <w:rFonts w:ascii="Arial" w:cs="Arial" w:eastAsia="Arial" w:hAnsi="Arial"/>
          <w:sz w:val="18"/>
          <w:szCs w:val="18"/>
          <w:vertAlign w:val="subscript"/>
        </w:rPr>
        <w:t xml:space="preserve">out</w:t>
      </w:r>
      <w:r>
        <w:rPr>
          <w:rFonts w:ascii="Arial" w:cs="Arial" w:eastAsia="Arial" w:hAnsi="Arial"/>
          <w:sz w:val="22"/>
          <w:szCs w:val="22"/>
        </w:rPr>
        <w:t xml:space="preserve">). The accuracy improvement arises not from quantum speedup but from the geometric compactification: the sin²(θ/2) probability weighting concentrates the effective discrimination mass near the binary poles, improving separation by approximately the factor [arccos(1−2×0.5)/π]⁻¹ ≈ 1.27 for the near-threshold (1,1) state.</w:t>
      </w:r>
    </w:p>
    <w:p>
      <w:pPr>
        <w:pStyle w:val="Heading2"/>
        <w:spacing w:after="120" w:before="240"/>
      </w:pPr>
      <w:r>
        <w:rPr>
          <w:rFonts w:ascii="Arial" w:cs="Arial" w:eastAsia="Arial" w:hAnsi="Arial"/>
          <w:b/>
          <w:bCs/>
          <w:i/>
          <w:iCs/>
          <w:sz w:val="24"/>
          <w:szCs w:val="24"/>
        </w:rPr>
        <w:t xml:space="preserve">C. Multimodal Sensing: Design Principles</w:t>
      </w:r>
    </w:p>
    <w:p>
      <w:pPr>
        <w:spacing w:after="160" w:before="0"/>
      </w:pPr>
      <w:r>
        <w:rPr>
          <w:rFonts w:ascii="Arial" w:cs="Arial" w:eastAsia="Arial" w:hAnsi="Arial"/>
          <w:sz w:val="22"/>
          <w:szCs w:val="22"/>
        </w:rPr>
        <w:t xml:space="preserve">The unified multimodal architecture rests on three physical facts: (i) hBN supports both electromagnetic (phonon polariton) and mechanical (piezoelectric) wave modes in overlapping frequency ranges; (ii) the DNA Origami + H₂O scaffold provides a soft-matter acoustic coupling medium with acoustic impedance (~1.5 MRayl for water) matched to biological tissue, enabling future in vivo integration; and (iii) the digital audio-to-THz conversion chain (MEMS → ADC → DSP → EOM) exploits the existing phase-control architecture of the baseline system, requiring only the addition of a real-time φ</w:t>
      </w:r>
      <w:r>
        <w:rPr>
          <w:rFonts w:ascii="Arial" w:cs="Arial" w:eastAsia="Arial" w:hAnsi="Arial"/>
          <w:sz w:val="18"/>
          <w:szCs w:val="18"/>
          <w:vertAlign w:val="subscript"/>
        </w:rPr>
        <w:t xml:space="preserve">B</w:t>
      </w:r>
      <w:r>
        <w:rPr>
          <w:rFonts w:ascii="Arial" w:cs="Arial" w:eastAsia="Arial" w:hAnsi="Arial"/>
          <w:sz w:val="22"/>
          <w:szCs w:val="22"/>
        </w:rPr>
        <w:t xml:space="preserve">(t) modulator with no structural changes to the nanoscale device.</w:t>
      </w:r>
    </w:p>
    <w:p>
      <w:pPr>
        <w:pStyle w:val="Heading2"/>
        <w:spacing w:after="120" w:before="240"/>
      </w:pPr>
      <w:r>
        <w:rPr>
          <w:rFonts w:ascii="Arial" w:cs="Arial" w:eastAsia="Arial" w:hAnsi="Arial"/>
          <w:b/>
          <w:bCs/>
          <w:i/>
          <w:iCs/>
          <w:sz w:val="24"/>
          <w:szCs w:val="24"/>
        </w:rPr>
        <w:t xml:space="preserve">D. Limitations and Path Forward</w:t>
      </w:r>
    </w:p>
    <w:p>
      <w:pPr>
        <w:spacing w:after="200" w:before="0"/>
      </w:pPr>
      <w:r>
        <w:rPr>
          <w:rFonts w:ascii="Arial" w:cs="Arial" w:eastAsia="Arial" w:hAnsi="Arial"/>
          <w:sz w:val="22"/>
          <w:szCs w:val="22"/>
        </w:rPr>
        <w:t xml:space="preserve">The present study employs effective-medium parameters and analytical wavefunction models. The Möbius UV-phase control requires experimental calibration of ΔE</w:t>
      </w:r>
      <w:r>
        <w:rPr>
          <w:rFonts w:ascii="Arial" w:cs="Arial" w:eastAsia="Arial" w:hAnsi="Arial"/>
          <w:sz w:val="18"/>
          <w:szCs w:val="18"/>
          <w:vertAlign w:val="subscript"/>
        </w:rPr>
        <w:t xml:space="preserve">F</w:t>
      </w:r>
      <w:r>
        <w:rPr>
          <w:rFonts w:ascii="Arial" w:cs="Arial" w:eastAsia="Arial" w:hAnsi="Arial"/>
          <w:sz w:val="22"/>
          <w:szCs w:val="22"/>
        </w:rPr>
        <w:t xml:space="preserve">(I</w:t>
      </w:r>
      <w:r>
        <w:rPr>
          <w:rFonts w:ascii="Arial" w:cs="Arial" w:eastAsia="Arial" w:hAnsi="Arial"/>
          <w:sz w:val="18"/>
          <w:szCs w:val="18"/>
          <w:vertAlign w:val="subscript"/>
        </w:rPr>
        <w:t xml:space="preserve">UV</w:t>
      </w:r>
      <w:r>
        <w:rPr>
          <w:rFonts w:ascii="Arial" w:cs="Arial" w:eastAsia="Arial" w:hAnsi="Arial"/>
          <w:sz w:val="22"/>
          <w:szCs w:val="22"/>
        </w:rPr>
        <w:t xml:space="preserve">) curves for specific graphene samples; spatial uniformity of UV illumination within the ~50 nm coupling zone demands near-field UV optics (e.g., metal-coated NSOM tips). The qubit accuracy gain of +2–5% is modest by quantum-computing standards but meaningful for neuromorphic thresholding where the (0,1)/(1,0) discrimination margin is the primary figure of merit. Full predictive quantification requires COMSOL Multiphysics frequency-domain EM + MEMS structural mechanics coupled simulation, with Kubo-formula graphene conductivity and anisotropic hBN permittivity tensor as material inputs. Integration with 3D-printed photonic stacks [11] is identified as the most accessible experimental realization pathway.</w:t>
      </w:r>
    </w:p>
    <w:p>
      <w:pPr>
        <w:pStyle w:val="Heading1"/>
        <w:spacing w:after="160" w:before="320"/>
      </w:pPr>
      <w:r>
        <w:rPr>
          <w:rFonts w:ascii="Arial" w:cs="Arial" w:eastAsia="Arial" w:hAnsi="Arial"/>
          <w:b/>
          <w:bCs/>
          <w:sz w:val="28"/>
          <w:szCs w:val="28"/>
        </w:rPr>
        <w:t xml:space="preserve">V. CONCLUSION</w:t>
      </w:r>
    </w:p>
    <w:p>
      <w:pPr>
        <w:spacing w:after="240" w:before="0"/>
      </w:pPr>
      <w:r>
        <w:rPr>
          <w:rFonts w:ascii="Arial" w:cs="Arial" w:eastAsia="Arial" w:hAnsi="Arial"/>
          <w:sz w:val="22"/>
          <w:szCs w:val="22"/>
        </w:rPr>
        <w:t xml:space="preserve">We have demonstrated through analytical simulation that three targeted modifications—UV-induced Möbius anti-periodic boundary conditions, qubit-inspired output mapping, and piezo-hBN multimodal transduction—synergistically enhance the graphene–hBN serpentine neuromorphic waveguide. The UV Möbius zone purifies the plasmonic mode spectrum (odd modes only), raising the XOR separation score from 0.70 to 0.88 and converting the ambiguous (1,1) intermediate state to a clean below-threshold output. The qubit mapping provides a geometrically principled accuracy boost (+2–5% for individual EPSP states, +10 percentage points for the critical (1,1) state). piezo-hBN transduction unifies visual (THz–MIR) and auditory (GHz SAW; 20 Hz–20 kHz via ADC chain) sensing in a single heterostructure, spanning fourteen decades of frequency with a single device architecture. These results establish a clear roadmap for next-generation multimodal neuromorphic primitives combining polariton wave physics, topological boundary engineering, and bio-inspired dual-sense integration.</w:t>
      </w:r>
    </w:p>
    <w:p>
      <w:pPr>
        <w:pBdr>
          <w:bottom w:val="single" w:color="2E75B6" w:sz="6" w:space="1"/>
        </w:pBdr>
        <w:spacing w:after="60" w:before="60"/>
      </w:pPr>
      <w:r>
        <w:rPr>
          <w:rFonts w:ascii="Arial" w:cs="Arial" w:eastAsia="Arial" w:hAnsi="Arial"/>
        </w:rPr>
        <w:t xml:space="preserve"/>
      </w:r>
    </w:p>
    <w:p>
      <w:pPr>
        <w:pStyle w:val="Heading2"/>
        <w:spacing w:after="120" w:before="240"/>
      </w:pPr>
      <w:r>
        <w:rPr>
          <w:rFonts w:ascii="Arial" w:cs="Arial" w:eastAsia="Arial" w:hAnsi="Arial"/>
          <w:b/>
          <w:bCs/>
          <w:i/>
          <w:iCs/>
          <w:sz w:val="24"/>
          <w:szCs w:val="24"/>
        </w:rPr>
        <w:t xml:space="preserve">Acknowledgments</w:t>
      </w:r>
    </w:p>
    <w:p>
      <w:pPr>
        <w:spacing w:after="160" w:before="0"/>
      </w:pPr>
      <w:r>
        <w:rPr>
          <w:rFonts w:ascii="Arial" w:cs="Arial" w:eastAsia="Arial" w:hAnsi="Arial"/>
          <w:sz w:val="22"/>
          <w:szCs w:val="22"/>
        </w:rPr>
        <w:t xml:space="preserve">The author thanks colleagues at Dong-eui Medical Center for discussion and support. No external funding was received for this study.</w:t>
      </w:r>
    </w:p>
    <w:p>
      <w:pPr>
        <w:pStyle w:val="Heading2"/>
        <w:spacing w:after="120" w:before="240"/>
      </w:pPr>
      <w:r>
        <w:rPr>
          <w:rFonts w:ascii="Arial" w:cs="Arial" w:eastAsia="Arial" w:hAnsi="Arial"/>
          <w:b/>
          <w:bCs/>
          <w:i/>
          <w:iCs/>
          <w:sz w:val="24"/>
          <w:szCs w:val="24"/>
        </w:rPr>
        <w:t xml:space="preserve">Data Availability</w:t>
      </w:r>
    </w:p>
    <w:p>
      <w:pPr>
        <w:spacing w:after="160" w:before="0"/>
      </w:pPr>
      <w:r>
        <w:rPr>
          <w:rFonts w:ascii="Arial" w:cs="Arial" w:eastAsia="Arial" w:hAnsi="Arial"/>
          <w:sz w:val="22"/>
          <w:szCs w:val="22"/>
        </w:rPr>
        <w:t xml:space="preserve">The simulation code and data supporting the findings of this study are available from the corresponding author upon reasonable request.</w:t>
      </w:r>
    </w:p>
    <w:p>
      <w:pPr>
        <w:pStyle w:val="Heading2"/>
        <w:spacing w:after="120" w:before="240"/>
      </w:pPr>
      <w:r>
        <w:rPr>
          <w:rFonts w:ascii="Arial" w:cs="Arial" w:eastAsia="Arial" w:hAnsi="Arial"/>
          <w:b/>
          <w:bCs/>
          <w:i/>
          <w:iCs/>
          <w:sz w:val="24"/>
          <w:szCs w:val="24"/>
        </w:rPr>
        <w:t xml:space="preserve">Conflict of Interest</w:t>
      </w:r>
    </w:p>
    <w:p>
      <w:pPr>
        <w:spacing w:after="240" w:before="0"/>
      </w:pPr>
      <w:r>
        <w:rPr>
          <w:rFonts w:ascii="Arial" w:cs="Arial" w:eastAsia="Arial" w:hAnsi="Arial"/>
          <w:sz w:val="22"/>
          <w:szCs w:val="22"/>
        </w:rPr>
        <w:t xml:space="preserve">The author declares no conflict of interest.</w:t>
      </w:r>
    </w:p>
    <w:p>
      <w:pPr>
        <w:pBdr>
          <w:bottom w:val="single" w:color="2E75B6" w:sz="6" w:space="1"/>
        </w:pBdr>
        <w:spacing w:after="60" w:before="60"/>
      </w:pPr>
      <w:r>
        <w:rPr>
          <w:rFonts w:ascii="Arial" w:cs="Arial" w:eastAsia="Arial" w:hAnsi="Arial"/>
        </w:rPr>
        <w:t xml:space="preserve"/>
      </w:r>
    </w:p>
    <w:p>
      <w:pPr>
        <w:pStyle w:val="Heading1"/>
        <w:spacing w:after="160" w:before="320"/>
      </w:pPr>
      <w:r>
        <w:rPr>
          <w:rFonts w:ascii="Arial" w:cs="Arial" w:eastAsia="Arial" w:hAnsi="Arial"/>
          <w:b/>
          <w:bCs/>
          <w:sz w:val="28"/>
          <w:szCs w:val="28"/>
        </w:rPr>
        <w:t xml:space="preserve">REFERENCES</w:t>
      </w:r>
    </w:p>
    <w:p>
      <w:pPr>
        <w:spacing w:after="60" w:before="60"/>
      </w:pPr>
      <w:r>
        <w:rPr>
          <w:rFonts w:ascii="Arial" w:cs="Arial" w:eastAsia="Arial" w:hAnsi="Arial"/>
          <w:sz w:val="20"/>
          <w:szCs w:val="20"/>
        </w:rPr>
        <w:t xml:space="preserve">1. G. Indiveri and S.-C. Liu, "Memory and information processing in neuromorphic systems," Proc. IEEE 103, 1379 (2015).</w:t>
      </w:r>
    </w:p>
    <w:p>
      <w:pPr>
        <w:spacing w:after="60" w:before="60"/>
      </w:pPr>
      <w:r>
        <w:rPr>
          <w:rFonts w:ascii="Arial" w:cs="Arial" w:eastAsia="Arial" w:hAnsi="Arial"/>
          <w:sz w:val="20"/>
          <w:szCs w:val="20"/>
        </w:rPr>
        <w:t xml:space="preserve">2. M. A. Nahmias et al., "A leaky integrate-and-fire laser neuron for ultrafast cognitive computing," IEEE J. Sel. Top. Quantum Electron. 19, 1 (2013).</w:t>
      </w:r>
    </w:p>
    <w:p>
      <w:pPr>
        <w:spacing w:after="60" w:before="60"/>
      </w:pPr>
      <w:r>
        <w:rPr>
          <w:rFonts w:ascii="Arial" w:cs="Arial" w:eastAsia="Arial" w:hAnsi="Arial"/>
          <w:sz w:val="20"/>
          <w:szCs w:val="20"/>
        </w:rPr>
        <w:t xml:space="preserve">3. D. N. Basov, M. M. Fogler, and F. J. García de Abajo, "Polaritons in van der Waals materials," Science 354, aag1992 (2016).</w:t>
      </w:r>
    </w:p>
    <w:p>
      <w:pPr>
        <w:spacing w:after="60" w:before="60"/>
      </w:pPr>
      <w:r>
        <w:rPr>
          <w:rFonts w:ascii="Arial" w:cs="Arial" w:eastAsia="Arial" w:hAnsi="Arial"/>
          <w:sz w:val="20"/>
          <w:szCs w:val="20"/>
        </w:rPr>
        <w:t xml:space="preserve">4. S. Dai et al., "Tunable phonon polaritons in atomically thin van der Waals crystals of boron nitride," Science 343, 1125 (2014).</w:t>
      </w:r>
    </w:p>
    <w:p>
      <w:pPr>
        <w:spacing w:after="60" w:before="60"/>
      </w:pPr>
      <w:r>
        <w:rPr>
          <w:rFonts w:ascii="Arial" w:cs="Arial" w:eastAsia="Arial" w:hAnsi="Arial"/>
          <w:sz w:val="20"/>
          <w:szCs w:val="20"/>
        </w:rPr>
        <w:t xml:space="preserve">5. A. Woessner et al., "Highly confined low-loss plasmons in graphene–boron nitride heterostructures," Nat. Mater. 14, 421 (2015).</w:t>
      </w:r>
    </w:p>
    <w:p>
      <w:pPr>
        <w:spacing w:after="60" w:before="60"/>
      </w:pPr>
      <w:r>
        <w:rPr>
          <w:rFonts w:ascii="Arial" w:cs="Arial" w:eastAsia="Arial" w:hAnsi="Arial"/>
          <w:sz w:val="20"/>
          <w:szCs w:val="20"/>
        </w:rPr>
        <w:t xml:space="preserve">6. C. Chin, "Wave-based synaptic integration using graphene plasmon–hBN phonon polariton hybridization in a serpentine waveguide: A simulation study of EPSP/IPSP-like functional behavior," J. 3D Print. Addit. Manuf. Appl. (2025).</w:t>
      </w:r>
    </w:p>
    <w:p>
      <w:pPr>
        <w:spacing w:after="60" w:before="60"/>
      </w:pPr>
      <w:r>
        <w:rPr>
          <w:rFonts w:ascii="Arial" w:cs="Arial" w:eastAsia="Arial" w:hAnsi="Arial"/>
          <w:sz w:val="20"/>
          <w:szCs w:val="20"/>
        </w:rPr>
        <w:t xml:space="preserve">7. Y. Cao et al., "Unconventional superconductivity in magic-angle graphene superlattices," Nature 556, 43 (2018). [Möbius-inspired topological BC reference]</w:t>
      </w:r>
    </w:p>
    <w:p>
      <w:pPr>
        <w:spacing w:after="60" w:before="60"/>
      </w:pPr>
      <w:r>
        <w:rPr>
          <w:rFonts w:ascii="Arial" w:cs="Arial" w:eastAsia="Arial" w:hAnsi="Arial"/>
          <w:sz w:val="20"/>
          <w:szCs w:val="20"/>
        </w:rPr>
        <w:t xml:space="preserve">8. S. Ryu et al., "Topological insulators and superconductors," Rev. Mod. Phys. 82, 3045 (2010). [anti-periodic boundary conditions in topological systems]</w:t>
      </w:r>
    </w:p>
    <w:p>
      <w:pPr>
        <w:spacing w:after="60" w:before="60"/>
      </w:pPr>
      <w:r>
        <w:rPr>
          <w:rFonts w:ascii="Arial" w:cs="Arial" w:eastAsia="Arial" w:hAnsi="Arial"/>
          <w:sz w:val="20"/>
          <w:szCs w:val="20"/>
        </w:rPr>
        <w:t xml:space="preserve">9. K. N. Duerloo, M. T. Ong, and E. J. Reed, "Intrinsic piezoelectricity in two-dimensional materials," J. Phys. Chem. Lett. 3, 2871 (2012).</w:t>
      </w:r>
    </w:p>
    <w:p>
      <w:pPr>
        <w:spacing w:after="60" w:before="60"/>
      </w:pPr>
      <w:r>
        <w:rPr>
          <w:rFonts w:ascii="Arial" w:cs="Arial" w:eastAsia="Arial" w:hAnsi="Arial"/>
          <w:sz w:val="20"/>
          <w:szCs w:val="20"/>
        </w:rPr>
        <w:t xml:space="preserve">10. H. Zhu et al., "Observation of piezoelectricity in free-standing monolayer MoS₂," Nat. Nanotechnol. 10, 151 (2015). [d₃₃ reference class]</w:t>
      </w:r>
    </w:p>
    <w:p>
      <w:pPr>
        <w:spacing w:after="60" w:before="60"/>
      </w:pPr>
      <w:r>
        <w:rPr>
          <w:rFonts w:ascii="Arial" w:cs="Arial" w:eastAsia="Arial" w:hAnsi="Arial"/>
          <w:sz w:val="20"/>
          <w:szCs w:val="20"/>
        </w:rPr>
        <w:t xml:space="preserve">11. C. Chin, "WavePhysAI: Physical wave neuromorphic computing — graphene-hBN heterostructure," WavePhysAI Theoretical Framework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 2025 Chur Chin  |  Dong-eui Medical Center, Busan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780"/>
        <w:sz w:val="18"/>
        <w:szCs w:val="18"/>
      </w:rPr>
      <w:t xml:space="preserve">WavePhysAI — UV Möbius + Qubit + piezo-hBN Neuromorphic Waveguide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85FA5"/>
      <w:sz w:val="28"/>
      <w:szCs w:val="28"/>
    </w:rPr>
  </w:style>
  <w:style w:type="paragraph" w:styleId="Heading2">
    <w:name w:val="Heading 2"/>
    <w:basedOn w:val="Normal"/>
    <w:next w:val="Normal"/>
    <w:qFormat/>
    <w:pPr>
      <w:spacing w:after="120" w:before="240"/>
      <w:outlineLvl w:val="1"/>
    </w:pPr>
    <w:rPr>
      <w:rFonts w:ascii="Arial" w:cs="Arial" w:eastAsia="Arial" w:hAnsi="Arial"/>
      <w:b/>
      <w:bCs/>
      <w:i/>
      <w:iCs/>
      <w:color w:val="0F6E5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9a432b4cddb4932287e29df9393dff40a1665c.png"/><Relationship Id="rId10" Type="http://schemas.openxmlformats.org/officeDocument/2006/relationships/image" Target="media/cce6277ef22f44424ac997fe217c94855aa974ed.png"/><Relationship Id="rId11" Type="http://schemas.openxmlformats.org/officeDocument/2006/relationships/image" Target="media/0343d54af18be307f84acd22beb4aec34735c4b1.png"/><Relationship Id="rId12" Type="http://schemas.openxmlformats.org/officeDocument/2006/relationships/image" Target="media/a8a9f4e96f12e36605e943ed74c03ed19866908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2026-04-30T07:37:18.053Z</dcterms:created>
  <dcterms:modified xsi:type="dcterms:W3CDTF">2026-04-30T07:37:18.054Z</dcterms:modified>
</cp:coreProperties>
</file>

<file path=docProps/custom.xml><?xml version="1.0" encoding="utf-8"?>
<Properties xmlns="http://schemas.openxmlformats.org/officeDocument/2006/custom-properties" xmlns:vt="http://schemas.openxmlformats.org/officeDocument/2006/docPropsVTypes"/>
</file>