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Times New Roman" w:cs="Times New Roman" w:eastAsia="Times New Roman" w:hAnsi="Times New Roman"/>
          <w:b/>
          <w:bCs/>
          <w:color w:val="003380"/>
          <w:sz w:val="26"/>
          <w:szCs w:val="26"/>
        </w:rPr>
        <w:t xml:space="preserve">PREPRINT — WAVEPHYSAI PROJECT</w:t>
      </w:r>
      <w:r>
        <w:rPr>
          <w:rFonts w:ascii="Times New Roman" w:cs="Times New Roman" w:eastAsia="Times New Roman" w:hAnsi="Times New Roman"/>
          <w:color w:val="666677"/>
          <w:sz w:val="18"/>
          <w:szCs w:val="18"/>
        </w:rPr>
        <w:t xml:space="preserve">  |  Embodied Wave Intelligence</w:t>
      </w:r>
    </w:p>
    <w:p>
      <w:pPr>
        <w:spacing w:after="20" w:before="0"/>
        <w:jc w:val="center"/>
      </w:pPr>
      <w:r>
        <w:rPr>
          <w:rFonts w:ascii="Times New Roman" w:cs="Times New Roman" w:eastAsia="Times New Roman" w:hAnsi="Times New Roman"/>
          <w:i/>
          <w:iCs/>
          <w:color w:val="666677"/>
          <w:sz w:val="18"/>
          <w:szCs w:val="18"/>
        </w:rPr>
        <w:t xml:space="preserve">Computational Neuroscience × Nanophotonics × Physical AI</w:t>
      </w:r>
    </w:p>
    <w:p>
      <w:pPr>
        <w:pBdr>
          <w:bottom w:val="single" w:color="003380" w:sz="4" w:space="2"/>
        </w:pBdr>
        <w:spacing w:after="40" w:before="40"/>
      </w:pPr>
    </w:p>
    <w:p>
      <w:pPr>
        <w:spacing w:after="0" w:before="80"/>
      </w:pPr>
    </w:p>
    <w:p>
      <w:pPr>
        <w:spacing w:after="30" w:before="0"/>
        <w:jc w:val="center"/>
      </w:pPr>
      <w:r>
        <w:rPr>
          <w:rFonts w:ascii="Times New Roman" w:cs="Times New Roman" w:eastAsia="Times New Roman" w:hAnsi="Times New Roman"/>
          <w:b/>
          <w:bCs/>
          <w:color w:val="001155"/>
          <w:sz w:val="28"/>
          <w:szCs w:val="28"/>
        </w:rPr>
        <w:t xml:space="preserve">Wave Homunculus: A Bio-Inspired Non-Uniform Wave Resource</w:t>
      </w:r>
    </w:p>
    <w:p>
      <w:pPr>
        <w:spacing w:after="30" w:before="0"/>
        <w:jc w:val="center"/>
      </w:pPr>
      <w:r>
        <w:rPr>
          <w:rFonts w:ascii="Times New Roman" w:cs="Times New Roman" w:eastAsia="Times New Roman" w:hAnsi="Times New Roman"/>
          <w:b/>
          <w:bCs/>
          <w:color w:val="001155"/>
          <w:sz w:val="28"/>
          <w:szCs w:val="28"/>
        </w:rPr>
        <w:t xml:space="preserve">Allocation Framework for Physical AI — Integrating Somatotopic</w:t>
      </w:r>
    </w:p>
    <w:p>
      <w:pPr>
        <w:spacing w:after="30" w:before="0"/>
        <w:jc w:val="center"/>
      </w:pPr>
      <w:r>
        <w:rPr>
          <w:rFonts w:ascii="Times New Roman" w:cs="Times New Roman" w:eastAsia="Times New Roman" w:hAnsi="Times New Roman"/>
          <w:b/>
          <w:bCs/>
          <w:color w:val="001155"/>
          <w:sz w:val="28"/>
          <w:szCs w:val="28"/>
        </w:rPr>
        <w:t xml:space="preserve">Priority Mapping, Coupled Optomechanical Actuation, and</w:t>
      </w:r>
    </w:p>
    <w:p>
      <w:pPr>
        <w:spacing w:after="120" w:before="0"/>
        <w:jc w:val="center"/>
      </w:pPr>
      <w:r>
        <w:rPr>
          <w:rFonts w:ascii="Times New Roman" w:cs="Times New Roman" w:eastAsia="Times New Roman" w:hAnsi="Times New Roman"/>
          <w:b/>
          <w:bCs/>
          <w:color w:val="001155"/>
          <w:sz w:val="28"/>
          <w:szCs w:val="28"/>
        </w:rPr>
        <w:t xml:space="preserve">DNA Origami–Mediated Fine Motion in Graphene/hBN Heterostructures</w:t>
      </w:r>
    </w:p>
    <w:p>
      <w:pPr>
        <w:spacing w:after="30" w:before="0"/>
        <w:jc w:val="center"/>
      </w:pPr>
      <w:r>
        <w:rPr>
          <w:rFonts w:ascii="Times New Roman" w:cs="Times New Roman" w:eastAsia="Times New Roman" w:hAnsi="Times New Roman"/>
          <w:color w:val="000000"/>
          <w:sz w:val="22"/>
          <w:szCs w:val="22"/>
        </w:rPr>
        <w:t xml:space="preserve">Chur Chin</w:t>
      </w:r>
      <w:r>
        <w:rPr>
          <w:rFonts w:ascii="Times New Roman" w:cs="Times New Roman" w:eastAsia="Times New Roman" w:hAnsi="Times New Roman"/>
          <w:sz w:val="16"/>
          <w:szCs w:val="16"/>
          <w:vertAlign w:val="superscript"/>
        </w:rPr>
        <w:t xml:space="preserve">a,*</w:t>
      </w:r>
    </w:p>
    <w:p>
      <w:pPr>
        <w:spacing w:after="20" w:before="0"/>
        <w:jc w:val="center"/>
      </w:pPr>
      <w:r>
        <w:rPr>
          <w:rFonts w:ascii="Times New Roman" w:cs="Times New Roman" w:eastAsia="Times New Roman" w:hAnsi="Times New Roman"/>
          <w:sz w:val="18"/>
          <w:szCs w:val="18"/>
          <w:vertAlign w:val="superscript"/>
        </w:rPr>
        <w:t xml:space="preserve">a</w:t>
      </w:r>
      <w:r>
        <w:rPr>
          <w:rFonts w:ascii="Times New Roman" w:cs="Times New Roman" w:eastAsia="Times New Roman" w:hAnsi="Times New Roman"/>
          <w:i/>
          <w:iCs/>
          <w:color w:val="666677"/>
          <w:sz w:val="18"/>
          <w:szCs w:val="18"/>
        </w:rPr>
        <w:t xml:space="preserve"> Department of Family Medicine, Dong-eui Medical Center, Busan 47227, Republic of Korea</w:t>
      </w:r>
    </w:p>
    <w:p>
      <w:pPr>
        <w:spacing w:after="120" w:before="0"/>
        <w:jc w:val="center"/>
      </w:pP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i/>
          <w:iCs/>
          <w:color w:val="666677"/>
          <w:sz w:val="18"/>
          <w:szCs w:val="18"/>
        </w:rPr>
        <w:t xml:space="preserve"> Electronic mail: tpotaoai@gmail.com</w:t>
      </w:r>
    </w:p>
    <w:p>
      <w:pPr>
        <w:pBdr>
          <w:bottom w:val="single" w:color="BBBBBB" w:sz="4" w:space="1"/>
        </w:pBdr>
        <w:spacing w:after="40" w:before="40"/>
      </w:pPr>
    </w:p>
    <w:p>
      <w:pPr>
        <w:spacing w:after="0" w:before="80"/>
      </w:pPr>
    </w:p>
    <w:p>
      <w:pPr>
        <w:spacing w:after="60" w:before="0"/>
        <w:jc w:val="both"/>
      </w:pPr>
      <w:r>
        <w:rPr>
          <w:rFonts w:ascii="Times New Roman" w:cs="Times New Roman" w:eastAsia="Times New Roman" w:hAnsi="Times New Roman"/>
          <w:b/>
          <w:bCs/>
          <w:color w:val="003380"/>
          <w:sz w:val="20"/>
          <w:szCs w:val="20"/>
        </w:rPr>
        <w:t xml:space="preserve">ABSTRACT</w:t>
      </w:r>
    </w:p>
    <w:p>
      <w:pPr>
        <w:spacing w:after="80" w:before="0" w:line="276" w:lineRule="auto"/>
        <w:jc w:val="both"/>
      </w:pPr>
      <w:r>
        <w:rPr>
          <w:rFonts w:ascii="Times New Roman" w:cs="Times New Roman" w:eastAsia="Times New Roman" w:hAnsi="Times New Roman"/>
          <w:color w:val="000000"/>
          <w:sz w:val="20"/>
          <w:szCs w:val="20"/>
        </w:rPr>
        <w:t xml:space="preserve">We introduce the </w:t>
      </w:r>
      <w:r>
        <w:rPr>
          <w:rFonts w:ascii="Times New Roman" w:cs="Times New Roman" w:eastAsia="Times New Roman" w:hAnsi="Times New Roman"/>
          <w:b/>
          <w:bCs/>
          <w:color w:val="000000"/>
          <w:sz w:val="20"/>
          <w:szCs w:val="20"/>
        </w:rPr>
        <w:t xml:space="preserve">Wave Homunculus</w:t>
      </w:r>
      <w:r>
        <w:rPr>
          <w:rFonts w:ascii="Times New Roman" w:cs="Times New Roman" w:eastAsia="Times New Roman" w:hAnsi="Times New Roman"/>
          <w:color w:val="000000"/>
          <w:sz w:val="20"/>
          <w:szCs w:val="20"/>
        </w:rPr>
        <w:t xml:space="preserve"> framework — a bio-inspired architecture for Physical AI in which computational and photonic resources are allocated non-uniformly across body regions, in direct analogy to the distorted somatotopic representation found in the human motor and sensory cortices. Just as the biological homunculus disproportionately magnifies the hand, lips, and eyes relative to the torso, the Wave Homunculus assigns shorter wavelengths (λ</w:t>
      </w:r>
      <w:r>
        <w:rPr>
          <w:rFonts w:ascii="Times New Roman" w:cs="Times New Roman" w:eastAsia="Times New Roman" w:hAnsi="Times New Roman"/>
          <w:sz w:val="16"/>
          <w:szCs w:val="16"/>
          <w:vertAlign w:val="subscript"/>
        </w:rPr>
        <w:t xml:space="preserve">finger</w:t>
      </w:r>
      <w:r>
        <w:rPr>
          <w:rFonts w:ascii="Times New Roman" w:cs="Times New Roman" w:eastAsia="Times New Roman" w:hAnsi="Times New Roman"/>
          <w:color w:val="000000"/>
          <w:sz w:val="20"/>
          <w:szCs w:val="20"/>
        </w:rPr>
        <w:t xml:space="preserve"> &lt; λ</w:t>
      </w:r>
      <w:r>
        <w:rPr>
          <w:rFonts w:ascii="Times New Roman" w:cs="Times New Roman" w:eastAsia="Times New Roman" w:hAnsi="Times New Roman"/>
          <w:sz w:val="16"/>
          <w:szCs w:val="16"/>
          <w:vertAlign w:val="subscript"/>
        </w:rPr>
        <w:t xml:space="preserve">torso</w:t>
      </w:r>
      <w:r>
        <w:rPr>
          <w:rFonts w:ascii="Times New Roman" w:cs="Times New Roman" w:eastAsia="Times New Roman" w:hAnsi="Times New Roman"/>
          <w:color w:val="000000"/>
          <w:sz w:val="20"/>
          <w:szCs w:val="20"/>
        </w:rPr>
        <w:t xml:space="preserve">), higher cavity Q-factors, denser interference mesh, and greater phase precision to body zones requiring fine motor control and rich sensory feedback. Each zone is described by a spatially varying wave function ψ</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(x,t) = A</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(x)·exp[i(k</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(x)x − ω</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t + φ</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 with independently tunable amplitude, wavevector, and phase memory. The serpentine graphene/hBN waveguide architecture — with its central backbone (spinal cord analog), radial organ maps, and local reflex interference loops — provides a natural physical substrate for this framework. We further derive and solve the coupled optomechanical equations for a 5-layer graphene/hBN membrane under phase-singular, Cheyne–Stokes-like optical input, yielding a maximum displacement u</w:t>
      </w:r>
      <w:r>
        <w:rPr>
          <w:rFonts w:ascii="Times New Roman" w:cs="Times New Roman" w:eastAsia="Times New Roman" w:hAnsi="Times New Roman"/>
          <w:sz w:val="16"/>
          <w:szCs w:val="16"/>
          <w:vertAlign w:val="subscript"/>
        </w:rPr>
        <w:t xml:space="preserve">max</w:t>
      </w:r>
      <w:r>
        <w:rPr>
          <w:rFonts w:ascii="Times New Roman" w:cs="Times New Roman" w:eastAsia="Times New Roman" w:hAnsi="Times New Roman"/>
          <w:color w:val="000000"/>
          <w:sz w:val="20"/>
          <w:szCs w:val="20"/>
        </w:rPr>
        <w:t xml:space="preserve"> ≈ 0.046 nm at the singularity point (v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→0), a mechanical resonance frequency f</w:t>
      </w:r>
      <w:r>
        <w:rPr>
          <w:rFonts w:ascii="Times New Roman" w:cs="Times New Roman" w:eastAsia="Times New Roman" w:hAnsi="Times New Roman"/>
          <w:sz w:val="16"/>
          <w:szCs w:val="16"/>
          <w:vertAlign w:val="subscript"/>
        </w:rPr>
        <w:t xml:space="preserve">res</w:t>
      </w:r>
      <w:r>
        <w:rPr>
          <w:rFonts w:ascii="Times New Roman" w:cs="Times New Roman" w:eastAsia="Times New Roman" w:hAnsi="Times New Roman"/>
          <w:color w:val="000000"/>
          <w:sz w:val="20"/>
          <w:szCs w:val="20"/>
        </w:rPr>
        <w:t xml:space="preserve"> = 0.979 GHz, and optimal PID feedback gains (K</w:t>
      </w:r>
      <w:r>
        <w:rPr>
          <w:rFonts w:ascii="Times New Roman" w:cs="Times New Roman" w:eastAsia="Times New Roman" w:hAnsi="Times New Roman"/>
          <w:sz w:val="16"/>
          <w:szCs w:val="16"/>
          <w:vertAlign w:val="subscript"/>
        </w:rPr>
        <w:t xml:space="preserve">p</w:t>
      </w:r>
      <w:r>
        <w:rPr>
          <w:rFonts w:ascii="Times New Roman" w:cs="Times New Roman" w:eastAsia="Times New Roman" w:hAnsi="Times New Roman"/>
          <w:color w:val="000000"/>
          <w:sz w:val="20"/>
          <w:szCs w:val="20"/>
        </w:rPr>
        <w:t xml:space="preserve">=0.680, K</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=0.122, K</w:t>
      </w:r>
      <w:r>
        <w:rPr>
          <w:rFonts w:ascii="Times New Roman" w:cs="Times New Roman" w:eastAsia="Times New Roman" w:hAnsi="Times New Roman"/>
          <w:sz w:val="16"/>
          <w:szCs w:val="16"/>
          <w:vertAlign w:val="subscript"/>
        </w:rPr>
        <w:t xml:space="preserve">d</w:t>
      </w:r>
      <w:r>
        <w:rPr>
          <w:rFonts w:ascii="Times New Roman" w:cs="Times New Roman" w:eastAsia="Times New Roman" w:hAnsi="Times New Roman"/>
          <w:color w:val="000000"/>
          <w:sz w:val="20"/>
          <w:szCs w:val="20"/>
        </w:rPr>
        <w:t xml:space="preserve">=0.028) via gradient-descent auto-tuning. DNA Origami 6-helix bundle (6HB) spring elements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1–10 pN/nm) are incorporated as programmable mechanical restoring elements, and a 450 nm water damping layer provides Heisenberg-noise suppression (Δx·Δp ≥ ℏ/2). Three independent finger actuators with per-channel phase-singular control are demonstrated. The Wave Homunculus constitutes the first systematic bridge between neuromorphic somatotopic organization and wave-physical AI hardware, and is proposed as the architecture backbone for </w:t>
      </w:r>
      <w:r>
        <w:rPr>
          <w:rFonts w:ascii="Times New Roman" w:cs="Times New Roman" w:eastAsia="Times New Roman" w:hAnsi="Times New Roman"/>
          <w:i/>
          <w:iCs/>
          <w:color w:val="000000"/>
          <w:sz w:val="20"/>
          <w:szCs w:val="20"/>
        </w:rPr>
        <w:t xml:space="preserve">Embodied Wave Intelligence</w:t>
      </w:r>
      <w:r>
        <w:rPr>
          <w:rFonts w:ascii="Times New Roman" w:cs="Times New Roman" w:eastAsia="Times New Roman" w:hAnsi="Times New Roman"/>
          <w:color w:val="000000"/>
          <w:sz w:val="20"/>
          <w:szCs w:val="20"/>
        </w:rPr>
        <w:t xml:space="preserve"> — a new paradigm distinct from both symbolic LLM-type AI and conventional robotic control.</w:t>
      </w:r>
    </w:p>
    <w:p>
      <w:pPr>
        <w:spacing w:after="0" w:before="60"/>
      </w:pPr>
    </w:p>
    <w:p>
      <w:pPr>
        <w:spacing w:after="120" w:before="0"/>
        <w:jc w:val="both"/>
      </w:pPr>
      <w:r>
        <w:rPr>
          <w:rFonts w:ascii="Times New Roman" w:cs="Times New Roman" w:eastAsia="Times New Roman" w:hAnsi="Times New Roman"/>
          <w:b/>
          <w:bCs/>
          <w:color w:val="003380"/>
          <w:sz w:val="18"/>
          <w:szCs w:val="18"/>
        </w:rPr>
        <w:t xml:space="preserve">Keywords: </w:t>
      </w:r>
      <w:r>
        <w:rPr>
          <w:rFonts w:ascii="Times New Roman" w:cs="Times New Roman" w:eastAsia="Times New Roman" w:hAnsi="Times New Roman"/>
          <w:i/>
          <w:iCs/>
          <w:color w:val="666677"/>
          <w:sz w:val="18"/>
          <w:szCs w:val="18"/>
        </w:rPr>
        <w:t xml:space="preserve">Wave Homunculus; Physical AI; embodied intelligence; graphene/hBN; somatotopic mapping; coupled optomechanics; phase singularity; DNA origami; Von Kármán plate; serpentine waveguide; neuromorphic computing; fine motion</w:t>
      </w:r>
    </w:p>
    <w:p>
      <w:pPr>
        <w:pBdr>
          <w:bottom w:val="single" w:color="003380" w:sz="4" w:space="2"/>
        </w:pBdr>
        <w:spacing w:after="40" w:before="40"/>
      </w:pPr>
    </w:p>
    <w:p>
      <w:pPr>
        <w:spacing w:after="0" w:before="8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 INTRODUCTION</w:t>
      </w:r>
    </w:p>
    <w:p>
      <w:pPr>
        <w:spacing w:after="80" w:before="0" w:line="276" w:lineRule="auto"/>
        <w:jc w:val="both"/>
      </w:pPr>
      <w:r>
        <w:rPr>
          <w:rFonts w:ascii="Times New Roman" w:cs="Times New Roman" w:eastAsia="Times New Roman" w:hAnsi="Times New Roman"/>
          <w:color w:val="000000"/>
          <w:sz w:val="20"/>
          <w:szCs w:val="20"/>
        </w:rPr>
        <w:t xml:space="preserve">The canonical architecture of modern AI — whether transformer-based language models or convolutional perception networks — processes all input tokens with uniform computational weight. Every pixel, every sensor reading, every positional embedding is treated as equally important at the level of hardware allocation. This uniformity is computationally tractable but biologically implausible: the human nervous system has evolved, over hundreds of millions of years, an emphatically </w:t>
      </w:r>
      <w:r>
        <w:rPr>
          <w:rFonts w:ascii="Times New Roman" w:cs="Times New Roman" w:eastAsia="Times New Roman" w:hAnsi="Times New Roman"/>
          <w:i/>
          <w:iCs/>
          <w:color w:val="000000"/>
          <w:sz w:val="20"/>
          <w:szCs w:val="20"/>
        </w:rPr>
        <w:t xml:space="preserve">non-uniform</w:t>
      </w:r>
      <w:r>
        <w:rPr>
          <w:rFonts w:ascii="Times New Roman" w:cs="Times New Roman" w:eastAsia="Times New Roman" w:hAnsi="Times New Roman"/>
          <w:color w:val="000000"/>
          <w:sz w:val="20"/>
          <w:szCs w:val="20"/>
        </w:rPr>
        <w:t xml:space="preserve"> resource allocation strategy, encoded in the somatotopic maps of the motor and sensory cortices.</w:t>
      </w:r>
      <w:r>
        <w:rPr>
          <w:rFonts w:ascii="Times New Roman" w:cs="Times New Roman" w:eastAsia="Times New Roman" w:hAnsi="Times New Roman"/>
          <w:sz w:val="16"/>
          <w:szCs w:val="16"/>
          <w:vertAlign w:val="superscript"/>
        </w:rPr>
        <w:t xml:space="preserve">1</w:t>
      </w:r>
    </w:p>
    <w:p>
      <w:pPr>
        <w:spacing w:after="80" w:before="0" w:line="276" w:lineRule="auto"/>
        <w:jc w:val="both"/>
      </w:pPr>
      <w:r>
        <w:rPr>
          <w:rFonts w:ascii="Times New Roman" w:cs="Times New Roman" w:eastAsia="Times New Roman" w:hAnsi="Times New Roman"/>
          <w:color w:val="000000"/>
          <w:sz w:val="20"/>
          <w:szCs w:val="20"/>
        </w:rPr>
        <w:t xml:space="preserve">The </w:t>
      </w:r>
      <w:r>
        <w:rPr>
          <w:rFonts w:ascii="Times New Roman" w:cs="Times New Roman" w:eastAsia="Times New Roman" w:hAnsi="Times New Roman"/>
          <w:b/>
          <w:bCs/>
          <w:color w:val="000000"/>
          <w:sz w:val="20"/>
          <w:szCs w:val="20"/>
        </w:rPr>
        <w:t xml:space="preserve">cortical homunculus</w:t>
      </w:r>
      <w:r>
        <w:rPr>
          <w:rFonts w:ascii="Times New Roman" w:cs="Times New Roman" w:eastAsia="Times New Roman" w:hAnsi="Times New Roman"/>
          <w:color w:val="000000"/>
          <w:sz w:val="20"/>
          <w:szCs w:val="20"/>
        </w:rPr>
        <w:t xml:space="preserve"> — first systematically mapped by Wilder Penfield through direct cortical stimulation</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color w:val="000000"/>
          <w:sz w:val="20"/>
          <w:szCs w:val="20"/>
        </w:rPr>
        <w:t xml:space="preserve"> — is a distorted representation of the human body in which the area of cortex devoted to each body region is proportional not to the physical size of that region but to its </w:t>
      </w:r>
      <w:r>
        <w:rPr>
          <w:rFonts w:ascii="Times New Roman" w:cs="Times New Roman" w:eastAsia="Times New Roman" w:hAnsi="Times New Roman"/>
          <w:i/>
          <w:iCs/>
          <w:color w:val="000000"/>
          <w:sz w:val="20"/>
          <w:szCs w:val="20"/>
        </w:rPr>
        <w:t xml:space="preserve">sensorimotor complexity</w:t>
      </w:r>
      <w:r>
        <w:rPr>
          <w:rFonts w:ascii="Times New Roman" w:cs="Times New Roman" w:eastAsia="Times New Roman" w:hAnsi="Times New Roman"/>
          <w:color w:val="000000"/>
          <w:sz w:val="20"/>
          <w:szCs w:val="20"/>
        </w:rPr>
        <w:t xml:space="preserve">. The hand, fingers, lips, and tongue receive cortical areas vastly disproportionate to their physical extent, reflecting the extraordinary density of mechanoreceptors and the precision of motor control these regions require. Conversely, the trunk and back, despite their large physical area, occupy comparatively small cortical territories.</w:t>
      </w:r>
      <w:r>
        <w:rPr>
          <w:rFonts w:ascii="Times New Roman" w:cs="Times New Roman" w:eastAsia="Times New Roman" w:hAnsi="Times New Roman"/>
          <w:sz w:val="16"/>
          <w:szCs w:val="16"/>
          <w:vertAlign w:val="superscript"/>
        </w:rPr>
        <w:t xml:space="preserve">3</w:t>
      </w:r>
    </w:p>
    <w:p>
      <w:pPr>
        <w:spacing w:after="80" w:before="0" w:line="276" w:lineRule="auto"/>
        <w:jc w:val="both"/>
      </w:pPr>
      <w:r>
        <w:rPr>
          <w:rFonts w:ascii="Times New Roman" w:cs="Times New Roman" w:eastAsia="Times New Roman" w:hAnsi="Times New Roman"/>
          <w:color w:val="000000"/>
          <w:sz w:val="20"/>
          <w:szCs w:val="20"/>
        </w:rPr>
        <w:t xml:space="preserve">We propose that this biological insight — deliberate, structured non-uniformity of computational resource allocation — should be a foundational design principle for Physical AI systems that operate in the physical world through embodied manipulation. We formalize this as the </w:t>
      </w:r>
      <w:r>
        <w:rPr>
          <w:rFonts w:ascii="Times New Roman" w:cs="Times New Roman" w:eastAsia="Times New Roman" w:hAnsi="Times New Roman"/>
          <w:b/>
          <w:bCs/>
          <w:color w:val="000000"/>
          <w:sz w:val="20"/>
          <w:szCs w:val="20"/>
        </w:rPr>
        <w:t xml:space="preserve">"Wave Homunculus"</w:t>
      </w:r>
      <w:r>
        <w:rPr>
          <w:rFonts w:ascii="Times New Roman" w:cs="Times New Roman" w:eastAsia="Times New Roman" w:hAnsi="Times New Roman"/>
          <w:color w:val="000000"/>
          <w:sz w:val="20"/>
          <w:szCs w:val="20"/>
        </w:rPr>
        <w:t xml:space="preserve"> framework: an architecture in which the wave parameters governing each body-zone's plasmon/polariton computational channel (wavelength λ, cavity quality factor Q, wave density ρ</w:t>
      </w:r>
      <w:r>
        <w:rPr>
          <w:rFonts w:ascii="Times New Roman" w:cs="Times New Roman" w:eastAsia="Times New Roman" w:hAnsi="Times New Roman"/>
          <w:sz w:val="16"/>
          <w:szCs w:val="16"/>
          <w:vertAlign w:val="subscript"/>
        </w:rPr>
        <w:t xml:space="preserve">wave</w:t>
      </w:r>
      <w:r>
        <w:rPr>
          <w:rFonts w:ascii="Times New Roman" w:cs="Times New Roman" w:eastAsia="Times New Roman" w:hAnsi="Times New Roman"/>
          <w:color w:val="000000"/>
          <w:sz w:val="20"/>
          <w:szCs w:val="20"/>
        </w:rPr>
        <w:t xml:space="preserve">, phase precision δφ) are set in direct analogy to the cortical magnification factor of that zone's biological homunculus representation.</w:t>
      </w:r>
    </w:p>
    <w:p>
      <w:pPr>
        <w:spacing w:after="80" w:before="0" w:line="276" w:lineRule="auto"/>
        <w:jc w:val="both"/>
      </w:pPr>
      <w:r>
        <w:rPr>
          <w:rFonts w:ascii="Times New Roman" w:cs="Times New Roman" w:eastAsia="Times New Roman" w:hAnsi="Times New Roman"/>
          <w:color w:val="000000"/>
          <w:sz w:val="20"/>
          <w:szCs w:val="20"/>
        </w:rPr>
        <w:t xml:space="preserve">The physical substrate for the Wave Homunculus is the serpentine graphene/hexagonal boron nitride (hBN) heterostructure platform previously introduced as WavePhysAI.</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color w:val="000000"/>
          <w:sz w:val="20"/>
          <w:szCs w:val="20"/>
        </w:rPr>
        <w:t xml:space="preserve"> This system supports graphene surface plasmon polaritons (SPPs) hybridized with hBN phonon polaritons, propagating through a serpentine channel whose geometry encodes a spinal-cord-like hierarchy: a central backbone (cervical-to-sacral analog), radial organ maps (limb branches), and local reflex interference loops (hBN cavity feedback nodes). The Möbius-like topological boundary condition provides self-continuity of the body map — a </w:t>
      </w:r>
      <w:r>
        <w:rPr>
          <w:rFonts w:ascii="Times New Roman" w:cs="Times New Roman" w:eastAsia="Times New Roman" w:hAnsi="Times New Roman"/>
          <w:i/>
          <w:iCs/>
          <w:color w:val="000000"/>
          <w:sz w:val="20"/>
          <w:szCs w:val="20"/>
        </w:rPr>
        <w:t xml:space="preserve">"Physical Self-Model"</w:t>
      </w:r>
      <w:r>
        <w:rPr>
          <w:rFonts w:ascii="Times New Roman" w:cs="Times New Roman" w:eastAsia="Times New Roman" w:hAnsi="Times New Roman"/>
          <w:color w:val="000000"/>
          <w:sz w:val="20"/>
          <w:szCs w:val="20"/>
        </w:rPr>
        <w:t xml:space="preserve"> — and enables the system to distinguish self from environment through closed-topology phase coherence.</w:t>
      </w:r>
    </w:p>
    <w:p>
      <w:pPr>
        <w:spacing w:after="80" w:before="0" w:line="276" w:lineRule="auto"/>
        <w:jc w:val="both"/>
      </w:pPr>
      <w:r>
        <w:rPr>
          <w:rFonts w:ascii="Times New Roman" w:cs="Times New Roman" w:eastAsia="Times New Roman" w:hAnsi="Times New Roman"/>
          <w:color w:val="000000"/>
          <w:sz w:val="20"/>
          <w:szCs w:val="20"/>
        </w:rPr>
        <w:t xml:space="preserve">In addition to the architectural Wave Homunculus framework, we address a critical missing link: the physical transduction of wave-based computational signals into mechanical actuation — </w:t>
      </w:r>
      <w:r>
        <w:rPr>
          <w:rFonts w:ascii="Times New Roman" w:cs="Times New Roman" w:eastAsia="Times New Roman" w:hAnsi="Times New Roman"/>
          <w:i/>
          <w:iCs/>
          <w:color w:val="000000"/>
          <w:sz w:val="20"/>
          <w:szCs w:val="20"/>
        </w:rPr>
        <w:t xml:space="preserve">Fine Motion</w:t>
      </w:r>
      <w:r>
        <w:rPr>
          <w:rFonts w:ascii="Times New Roman" w:cs="Times New Roman" w:eastAsia="Times New Roman" w:hAnsi="Times New Roman"/>
          <w:color w:val="000000"/>
          <w:sz w:val="20"/>
          <w:szCs w:val="20"/>
        </w:rPr>
        <w:t xml:space="preserve">. Specifically, we derive and solve the coupled optomechanical equations for a 5-layer graphene/hBN membrane under phase-singular, Cheyne–Stokes-modulated optical input. The Cheyne–Stokes (CS) envelope</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color w:val="000000"/>
          <w:sz w:val="20"/>
          <w:szCs w:val="20"/>
        </w:rPr>
        <w:t xml:space="preserve"> — with its periodic waxing-and-waning amplitude punctuated by apnea-like minima — provides natural amplitude-collapse points that seed phase singularities (v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→0), at which the local optical force density is maximized via slow-light enhancement. We show that this singularity-enhanced force drives mechanical displacement at the sub-nanometer scale, calibrated against a full Colab simulation (u</w:t>
      </w:r>
      <w:r>
        <w:rPr>
          <w:rFonts w:ascii="Times New Roman" w:cs="Times New Roman" w:eastAsia="Times New Roman" w:hAnsi="Times New Roman"/>
          <w:sz w:val="16"/>
          <w:szCs w:val="16"/>
          <w:vertAlign w:val="subscript"/>
        </w:rPr>
        <w:t xml:space="preserve">max</w:t>
      </w:r>
      <w:r>
        <w:rPr>
          <w:rFonts w:ascii="Times New Roman" w:cs="Times New Roman" w:eastAsia="Times New Roman" w:hAnsi="Times New Roman"/>
          <w:color w:val="000000"/>
          <w:sz w:val="20"/>
          <w:szCs w:val="20"/>
        </w:rPr>
        <w:t xml:space="preserve"> = 0.046 nm, f</w:t>
      </w:r>
      <w:r>
        <w:rPr>
          <w:rFonts w:ascii="Times New Roman" w:cs="Times New Roman" w:eastAsia="Times New Roman" w:hAnsi="Times New Roman"/>
          <w:sz w:val="16"/>
          <w:szCs w:val="16"/>
          <w:vertAlign w:val="subscript"/>
        </w:rPr>
        <w:t xml:space="preserve">res</w:t>
      </w:r>
      <w:r>
        <w:rPr>
          <w:rFonts w:ascii="Times New Roman" w:cs="Times New Roman" w:eastAsia="Times New Roman" w:hAnsi="Times New Roman"/>
          <w:color w:val="000000"/>
          <w:sz w:val="20"/>
          <w:szCs w:val="20"/>
        </w:rPr>
        <w:t xml:space="preserve"> = 0.979 GHz).</w:t>
      </w:r>
      <w:r>
        <w:rPr>
          <w:rFonts w:ascii="Times New Roman" w:cs="Times New Roman" w:eastAsia="Times New Roman" w:hAnsi="Times New Roman"/>
          <w:sz w:val="16"/>
          <w:szCs w:val="16"/>
          <w:vertAlign w:val="superscript"/>
        </w:rPr>
        <w:t xml:space="preserve">6</w:t>
      </w:r>
    </w:p>
    <w:p>
      <w:pPr>
        <w:spacing w:after="80" w:before="0" w:line="276" w:lineRule="auto"/>
        <w:jc w:val="both"/>
      </w:pPr>
      <w:r>
        <w:rPr>
          <w:rFonts w:ascii="Times New Roman" w:cs="Times New Roman" w:eastAsia="Times New Roman" w:hAnsi="Times New Roman"/>
          <w:color w:val="000000"/>
          <w:sz w:val="20"/>
          <w:szCs w:val="20"/>
        </w:rPr>
        <w:t xml:space="preserve">The integration of DNA Origami 6-helix bundle (6HB) spring elements as programmable mechanical restoring components, a 450 nm water damping layer for Heisenberg-noise suppression, and PID gradient-descent auto-tuning of feedback gains completes the Physical AI control loop. A three-finger independent actuator prototype — the highest-priority zone in the Wave Homunculus hierarchy — is described and computationally validated.</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 THE WAVE HOMUNCULUS: THEORY AND ARCHITECTURE</w:t>
      </w:r>
    </w:p>
    <w:p>
      <w:pPr>
        <w:spacing w:after="60" w:before="130"/>
        <w:jc w:val="left"/>
      </w:pPr>
      <w:r>
        <w:rPr>
          <w:rFonts w:ascii="Times New Roman" w:cs="Times New Roman" w:eastAsia="Times New Roman" w:hAnsi="Times New Roman"/>
          <w:b/>
          <w:bCs/>
          <w:i/>
          <w:iCs/>
          <w:color w:val="223355"/>
          <w:sz w:val="22"/>
          <w:szCs w:val="22"/>
        </w:rPr>
        <w:t xml:space="preserve">A. Somatotopic Priority and Non-Uniform Wave Allocation</w:t>
      </w:r>
    </w:p>
    <w:p>
      <w:pPr>
        <w:spacing w:after="80" w:before="0" w:line="276" w:lineRule="auto"/>
        <w:jc w:val="both"/>
      </w:pPr>
      <w:r>
        <w:rPr>
          <w:rFonts w:ascii="Times New Roman" w:cs="Times New Roman" w:eastAsia="Times New Roman" w:hAnsi="Times New Roman"/>
          <w:color w:val="000000"/>
          <w:sz w:val="20"/>
          <w:szCs w:val="20"/>
        </w:rPr>
        <w:t xml:space="preserve">In the biological cortex, the magnification factor M(r) at cortical position r is defined as the cortical area per unit body-surface area: M(r) = dA</w:t>
      </w:r>
      <w:r>
        <w:rPr>
          <w:rFonts w:ascii="Times New Roman" w:cs="Times New Roman" w:eastAsia="Times New Roman" w:hAnsi="Times New Roman"/>
          <w:sz w:val="16"/>
          <w:szCs w:val="16"/>
          <w:vertAlign w:val="subscript"/>
        </w:rPr>
        <w:t xml:space="preserve">cortex</w:t>
      </w:r>
      <w:r>
        <w:rPr>
          <w:rFonts w:ascii="Times New Roman" w:cs="Times New Roman" w:eastAsia="Times New Roman" w:hAnsi="Times New Roman"/>
          <w:color w:val="000000"/>
          <w:sz w:val="20"/>
          <w:szCs w:val="20"/>
        </w:rPr>
        <w:t xml:space="preserve">/dA</w:t>
      </w:r>
      <w:r>
        <w:rPr>
          <w:rFonts w:ascii="Times New Roman" w:cs="Times New Roman" w:eastAsia="Times New Roman" w:hAnsi="Times New Roman"/>
          <w:sz w:val="16"/>
          <w:szCs w:val="16"/>
          <w:vertAlign w:val="subscript"/>
        </w:rPr>
        <w:t xml:space="preserve">body</w:t>
      </w:r>
      <w:r>
        <w:rPr>
          <w:rFonts w:ascii="Times New Roman" w:cs="Times New Roman" w:eastAsia="Times New Roman" w:hAnsi="Times New Roman"/>
          <w:color w:val="000000"/>
          <w:sz w:val="20"/>
          <w:szCs w:val="20"/>
        </w:rPr>
        <w:t xml:space="preserve">. For the human hand, M ≈ 1 cm²/mm² — a thousand-fold cortical magnification relative to physical area.</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color w:val="000000"/>
          <w:sz w:val="20"/>
          <w:szCs w:val="20"/>
        </w:rPr>
        <w:t xml:space="preserve"> We define the analogous </w:t>
      </w:r>
      <w:r>
        <w:rPr>
          <w:rFonts w:ascii="Times New Roman" w:cs="Times New Roman" w:eastAsia="Times New Roman" w:hAnsi="Times New Roman"/>
          <w:i/>
          <w:iCs/>
          <w:color w:val="000000"/>
          <w:sz w:val="20"/>
          <w:szCs w:val="20"/>
        </w:rPr>
        <w:t xml:space="preserve">Wave Magnification Factor</w:t>
      </w:r>
      <w:r>
        <w:rPr>
          <w:rFonts w:ascii="Times New Roman" w:cs="Times New Roman" w:eastAsia="Times New Roman" w:hAnsi="Times New Roman"/>
          <w:color w:val="000000"/>
          <w:sz w:val="20"/>
          <w:szCs w:val="20"/>
        </w:rPr>
        <w:t xml:space="preserve"> W(s) for body zone s:</w:t>
      </w:r>
    </w:p>
    <w:p>
      <w:pPr>
        <w:spacing w:after="80" w:before="80"/>
        <w:jc w:val="center"/>
      </w:pPr>
      <w:r>
        <w:rPr>
          <w:rFonts w:ascii="Times New Roman" w:cs="Times New Roman" w:eastAsia="Times New Roman" w:hAnsi="Times New Roman"/>
          <w:i/>
          <w:iCs/>
          <w:color w:val="000000"/>
          <w:sz w:val="20"/>
          <w:szCs w:val="20"/>
        </w:rPr>
        <w:t xml:space="preserve">W(s) = ρ_wave(s) · Q(s) · (λ_ref / λ(s))²</w:t>
      </w:r>
    </w:p>
    <w:p>
      <w:pPr>
        <w:spacing w:after="80" w:before="0" w:line="276" w:lineRule="auto"/>
        <w:jc w:val="both"/>
      </w:pPr>
      <w:r>
        <w:rPr>
          <w:rFonts w:ascii="Times New Roman" w:cs="Times New Roman" w:eastAsia="Times New Roman" w:hAnsi="Times New Roman"/>
          <w:color w:val="000000"/>
          <w:sz w:val="20"/>
          <w:szCs w:val="20"/>
        </w:rPr>
        <w:t xml:space="preserve">where ρ</w:t>
      </w:r>
      <w:r>
        <w:rPr>
          <w:rFonts w:ascii="Times New Roman" w:cs="Times New Roman" w:eastAsia="Times New Roman" w:hAnsi="Times New Roman"/>
          <w:sz w:val="16"/>
          <w:szCs w:val="16"/>
          <w:vertAlign w:val="subscript"/>
        </w:rPr>
        <w:t xml:space="preserve">wave</w:t>
      </w:r>
      <w:r>
        <w:rPr>
          <w:rFonts w:ascii="Times New Roman" w:cs="Times New Roman" w:eastAsia="Times New Roman" w:hAnsi="Times New Roman"/>
          <w:color w:val="000000"/>
          <w:sz w:val="20"/>
          <w:szCs w:val="20"/>
        </w:rPr>
        <w:t xml:space="preserve">(s) is the waveguide interference-mesh density (nodes per μm²), Q(s) is the cavity quality factor, and λ</w:t>
      </w:r>
      <w:r>
        <w:rPr>
          <w:rFonts w:ascii="Times New Roman" w:cs="Times New Roman" w:eastAsia="Times New Roman" w:hAnsi="Times New Roman"/>
          <w:sz w:val="16"/>
          <w:szCs w:val="16"/>
          <w:vertAlign w:val="subscript"/>
        </w:rPr>
        <w:t xml:space="preserve">ref</w:t>
      </w:r>
      <w:r>
        <w:rPr>
          <w:rFonts w:ascii="Times New Roman" w:cs="Times New Roman" w:eastAsia="Times New Roman" w:hAnsi="Times New Roman"/>
          <w:color w:val="000000"/>
          <w:sz w:val="20"/>
          <w:szCs w:val="20"/>
        </w:rPr>
        <w:t xml:space="preserve">/λ(s) is the inverse wavelength ratio relative to a reference zone (torso). The Wave Homunculus assigns W(s) ∝ M(s): finger zones receive W ≈ 100 (relative units), torso W ≈ 5–10.</w:t>
      </w:r>
    </w:p>
    <w:p>
      <w:pPr>
        <w:spacing w:after="80" w:before="0" w:line="276" w:lineRule="auto"/>
        <w:jc w:val="both"/>
      </w:pPr>
      <w:r>
        <w:rPr>
          <w:rFonts w:ascii="Times New Roman" w:cs="Times New Roman" w:eastAsia="Times New Roman" w:hAnsi="Times New Roman"/>
          <w:color w:val="000000"/>
          <w:sz w:val="20"/>
          <w:szCs w:val="20"/>
        </w:rPr>
        <w:t xml:space="preserve">The spatially varying wave function for zone s is:</w:t>
      </w:r>
    </w:p>
    <w:p>
      <w:pPr>
        <w:spacing w:after="80" w:before="80"/>
        <w:jc w:val="center"/>
      </w:pPr>
      <w:r>
        <w:rPr>
          <w:rFonts w:ascii="Times New Roman" w:cs="Times New Roman" w:eastAsia="Times New Roman" w:hAnsi="Times New Roman"/>
          <w:i/>
          <w:iCs/>
          <w:color w:val="000000"/>
          <w:sz w:val="20"/>
          <w:szCs w:val="20"/>
        </w:rPr>
        <w:t xml:space="preserve">ψ_i(x,t) = A_i(x) · exp[i(k_i(x)x − ω_i t + φ_i(x))]</w:t>
      </w:r>
    </w:p>
    <w:p>
      <w:pPr>
        <w:spacing w:after="80" w:before="0" w:line="276" w:lineRule="auto"/>
        <w:jc w:val="both"/>
      </w:pPr>
      <w:r>
        <w:rPr>
          <w:rFonts w:ascii="Times New Roman" w:cs="Times New Roman" w:eastAsia="Times New Roman" w:hAnsi="Times New Roman"/>
          <w:color w:val="000000"/>
          <w:sz w:val="20"/>
          <w:szCs w:val="20"/>
        </w:rPr>
        <w:t xml:space="preserve">with body-part-specific parameters: amplitude A</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 local wavevector k</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 (shorter for high-priority zones: k</w:t>
      </w:r>
      <w:r>
        <w:rPr>
          <w:rFonts w:ascii="Times New Roman" w:cs="Times New Roman" w:eastAsia="Times New Roman" w:hAnsi="Times New Roman"/>
          <w:sz w:val="16"/>
          <w:szCs w:val="16"/>
          <w:vertAlign w:val="subscript"/>
        </w:rPr>
        <w:t xml:space="preserve">finger</w:t>
      </w:r>
      <w:r>
        <w:rPr>
          <w:rFonts w:ascii="Times New Roman" w:cs="Times New Roman" w:eastAsia="Times New Roman" w:hAnsi="Times New Roman"/>
          <w:color w:val="000000"/>
          <w:sz w:val="20"/>
          <w:szCs w:val="20"/>
        </w:rPr>
        <w:t xml:space="preserve"> &gt; k</w:t>
      </w:r>
      <w:r>
        <w:rPr>
          <w:rFonts w:ascii="Times New Roman" w:cs="Times New Roman" w:eastAsia="Times New Roman" w:hAnsi="Times New Roman"/>
          <w:sz w:val="16"/>
          <w:szCs w:val="16"/>
          <w:vertAlign w:val="subscript"/>
        </w:rPr>
        <w:t xml:space="preserve">torso</w:t>
      </w:r>
      <w:r>
        <w:rPr>
          <w:rFonts w:ascii="Times New Roman" w:cs="Times New Roman" w:eastAsia="Times New Roman" w:hAnsi="Times New Roman"/>
          <w:color w:val="000000"/>
          <w:sz w:val="20"/>
          <w:szCs w:val="20"/>
        </w:rPr>
        <w:t xml:space="preserve">), carrier frequency ω</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and phase memory φ</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(x) encoding the local reflex history. This replaces the conventional uniform plane wave ψ(x,t) = A·exp[i(kx−ωt)] — the "flat Earth" of wave computation — with a curved, body-priority-weighted wave manifold.</w:t>
      </w:r>
    </w:p>
    <w:p>
      <w:pPr>
        <w:spacing w:after="60" w:before="130"/>
        <w:jc w:val="left"/>
      </w:pPr>
      <w:r>
        <w:rPr>
          <w:rFonts w:ascii="Times New Roman" w:cs="Times New Roman" w:eastAsia="Times New Roman" w:hAnsi="Times New Roman"/>
          <w:b/>
          <w:bCs/>
          <w:i/>
          <w:iCs/>
          <w:color w:val="223355"/>
          <w:sz w:val="22"/>
          <w:szCs w:val="22"/>
        </w:rPr>
        <w:t xml:space="preserve">B. Serpentine Spinal Backbone and Reflex Arc Architecture</w:t>
      </w:r>
    </w:p>
    <w:p>
      <w:pPr>
        <w:spacing w:after="80" w:before="0" w:line="276" w:lineRule="auto"/>
        <w:jc w:val="both"/>
      </w:pPr>
      <w:r>
        <w:rPr>
          <w:rFonts w:ascii="Times New Roman" w:cs="Times New Roman" w:eastAsia="Times New Roman" w:hAnsi="Times New Roman"/>
          <w:color w:val="000000"/>
          <w:sz w:val="20"/>
          <w:szCs w:val="20"/>
        </w:rPr>
        <w:t xml:space="preserve">The serpentine graphene waveguide plays the role of the spinal cord in the Wave Homunculus. The backbone is parametrized as:</w:t>
      </w:r>
    </w:p>
    <w:p>
      <w:pPr>
        <w:spacing w:after="60" w:before="60"/>
        <w:jc w:val="center"/>
      </w:pPr>
      <w:r>
        <w:rPr>
          <w:rFonts w:ascii="Times New Roman" w:cs="Times New Roman" w:eastAsia="Times New Roman" w:hAnsi="Times New Roman"/>
          <w:i/>
          <w:iCs/>
          <w:color w:val="000000"/>
          <w:sz w:val="20"/>
          <w:szCs w:val="20"/>
        </w:rPr>
        <w:t xml:space="preserve">y_spine(x) = 0.8·sin(2.2x) + 0.35·sin(1.9x) + 0.12x</w:t>
      </w:r>
    </w:p>
    <w:p>
      <w:pPr>
        <w:spacing w:after="80" w:before="0" w:line="276" w:lineRule="auto"/>
        <w:jc w:val="both"/>
      </w:pPr>
      <w:r>
        <w:rPr>
          <w:rFonts w:ascii="Times New Roman" w:cs="Times New Roman" w:eastAsia="Times New Roman" w:hAnsi="Times New Roman"/>
          <w:color w:val="000000"/>
          <w:sz w:val="20"/>
          <w:szCs w:val="20"/>
        </w:rPr>
        <w:t xml:space="preserve">with position-dependent resonance k(x), quality factor Q(x), and cavity width ω</w:t>
      </w:r>
      <w:r>
        <w:rPr>
          <w:rFonts w:ascii="Times New Roman" w:cs="Times New Roman" w:eastAsia="Times New Roman" w:hAnsi="Times New Roman"/>
          <w:sz w:val="16"/>
          <w:szCs w:val="16"/>
          <w:vertAlign w:val="subscript"/>
        </w:rPr>
        <w:t xml:space="preserve">cav</w:t>
      </w:r>
      <w:r>
        <w:rPr>
          <w:rFonts w:ascii="Times New Roman" w:cs="Times New Roman" w:eastAsia="Times New Roman" w:hAnsi="Times New Roman"/>
          <w:color w:val="000000"/>
          <w:sz w:val="20"/>
          <w:szCs w:val="20"/>
        </w:rPr>
        <w:t xml:space="preserve">(x) all varying along the backbone axis in accordance with the somatotopic priority map. The cervical region (head, face) carries the highest wave density and shortest wavelengths; the lumbar and sacral regions (trunk, legs) carry lower densities and longer wavelengths — precisely mirroring the biological cervical-to-lumbar magnification gradient.</w:t>
      </w:r>
    </w:p>
    <w:p>
      <w:pPr>
        <w:spacing w:after="80" w:before="0" w:line="276" w:lineRule="auto"/>
        <w:jc w:val="both"/>
      </w:pPr>
      <w:r>
        <w:rPr>
          <w:rFonts w:ascii="Times New Roman" w:cs="Times New Roman" w:eastAsia="Times New Roman" w:hAnsi="Times New Roman"/>
          <w:color w:val="000000"/>
          <w:sz w:val="20"/>
          <w:szCs w:val="20"/>
        </w:rPr>
        <w:t xml:space="preserve">Local reflex interference loops are implemented as hBN cavity feedback nodes positioned along the backbone. Each node implements the reflex arc:</w:t>
      </w:r>
    </w:p>
    <w:p>
      <w:pPr>
        <w:spacing w:after="60" w:before="60"/>
        <w:jc w:val="center"/>
      </w:pPr>
      <w:r>
        <w:rPr>
          <w:rFonts w:ascii="Times New Roman" w:cs="Times New Roman" w:eastAsia="Times New Roman" w:hAnsi="Times New Roman"/>
          <w:i/>
          <w:iCs/>
          <w:color w:val="000000"/>
          <w:sz w:val="20"/>
          <w:szCs w:val="20"/>
        </w:rPr>
        <w:t xml:space="preserve">Finger sensor → local hBN cavity → immediate phase inversion → motor wave output</w:t>
      </w:r>
    </w:p>
    <w:p>
      <w:pPr>
        <w:spacing w:after="80" w:before="0" w:line="276" w:lineRule="auto"/>
        <w:jc w:val="both"/>
      </w:pPr>
      <w:r>
        <w:rPr>
          <w:rFonts w:ascii="Times New Roman" w:cs="Times New Roman" w:eastAsia="Times New Roman" w:hAnsi="Times New Roman"/>
          <w:color w:val="000000"/>
          <w:sz w:val="20"/>
          <w:szCs w:val="20"/>
        </w:rPr>
        <w:t xml:space="preserve">This local loop operates without latency to the central processing core (analogous to a spinal reflex bypassing the brain for rapid withdrawal responses), with loop delay τ</w:t>
      </w:r>
      <w:r>
        <w:rPr>
          <w:rFonts w:ascii="Times New Roman" w:cs="Times New Roman" w:eastAsia="Times New Roman" w:hAnsi="Times New Roman"/>
          <w:sz w:val="16"/>
          <w:szCs w:val="16"/>
          <w:vertAlign w:val="subscript"/>
        </w:rPr>
        <w:t xml:space="preserve">loop</w:t>
      </w:r>
      <w:r>
        <w:rPr>
          <w:rFonts w:ascii="Times New Roman" w:cs="Times New Roman" w:eastAsia="Times New Roman" w:hAnsi="Times New Roman"/>
          <w:color w:val="000000"/>
          <w:sz w:val="20"/>
          <w:szCs w:val="20"/>
        </w:rPr>
        <w:t xml:space="preserve"> ∝ L</w:t>
      </w:r>
      <w:r>
        <w:rPr>
          <w:rFonts w:ascii="Times New Roman" w:cs="Times New Roman" w:eastAsia="Times New Roman" w:hAnsi="Times New Roman"/>
          <w:sz w:val="16"/>
          <w:szCs w:val="16"/>
          <w:vertAlign w:val="subscript"/>
        </w:rPr>
        <w:t xml:space="preserve">cavity</w:t>
      </w:r>
      <w:r>
        <w:rPr>
          <w:rFonts w:ascii="Times New Roman" w:cs="Times New Roman" w:eastAsia="Times New Roman" w:hAnsi="Times New Roman"/>
          <w:color w:val="000000"/>
          <w:sz w:val="20"/>
          <w:szCs w:val="20"/>
        </w:rPr>
        <w:t xml:space="preserve">/v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 0.1–1 ps — orders of magnitude faster than a round-trip to a central processing node.</w:t>
      </w:r>
    </w:p>
    <w:p>
      <w:pPr>
        <w:spacing w:after="60" w:before="130"/>
        <w:jc w:val="left"/>
      </w:pPr>
      <w:r>
        <w:rPr>
          <w:rFonts w:ascii="Times New Roman" w:cs="Times New Roman" w:eastAsia="Times New Roman" w:hAnsi="Times New Roman"/>
          <w:b/>
          <w:bCs/>
          <w:i/>
          <w:iCs/>
          <w:color w:val="223355"/>
          <w:sz w:val="22"/>
          <w:szCs w:val="22"/>
        </w:rPr>
        <w:t xml:space="preserve">C. Möbius Body-Map Closure and Physical Self-Model</w:t>
      </w:r>
    </w:p>
    <w:p>
      <w:pPr>
        <w:spacing w:after="80" w:before="0" w:line="276" w:lineRule="auto"/>
        <w:jc w:val="both"/>
      </w:pPr>
      <w:r>
        <w:rPr>
          <w:rFonts w:ascii="Times New Roman" w:cs="Times New Roman" w:eastAsia="Times New Roman" w:hAnsi="Times New Roman"/>
          <w:color w:val="000000"/>
          <w:sz w:val="20"/>
          <w:szCs w:val="20"/>
        </w:rPr>
        <w:t xml:space="preserve">A unique feature of the Wave Homunculus is the closure of the somatotopic map into a self-consistent topological manifold via the Möbius-like phase condition:</w:t>
      </w:r>
    </w:p>
    <w:p>
      <w:pPr>
        <w:spacing w:after="80" w:before="80"/>
        <w:jc w:val="center"/>
      </w:pPr>
      <w:r>
        <w:rPr>
          <w:rFonts w:ascii="Times New Roman" w:cs="Times New Roman" w:eastAsia="Times New Roman" w:hAnsi="Times New Roman"/>
          <w:i/>
          <w:iCs/>
          <w:color w:val="000000"/>
          <w:sz w:val="20"/>
          <w:szCs w:val="20"/>
        </w:rPr>
        <w:t xml:space="preserve">Φ_eff = k·L + α·A_RF + β·I_UV + γ·Ω_CD = π (mod 2π)</w:t>
      </w:r>
    </w:p>
    <w:p>
      <w:pPr>
        <w:spacing w:after="80" w:before="0" w:line="276" w:lineRule="auto"/>
        <w:jc w:val="both"/>
      </w:pPr>
      <w:r>
        <w:rPr>
          <w:rFonts w:ascii="Times New Roman" w:cs="Times New Roman" w:eastAsia="Times New Roman" w:hAnsi="Times New Roman"/>
          <w:color w:val="000000"/>
          <w:sz w:val="20"/>
          <w:szCs w:val="20"/>
        </w:rPr>
        <w:t xml:space="preserve">The closed topology of the phase manifold ensures that the wave body-map has no open edges: any physical boundary of the graphene membrane is mapped smoothly onto a closed phase surface. This is the wave-physical implementation of </w:t>
      </w:r>
      <w:r>
        <w:rPr>
          <w:rFonts w:ascii="Times New Roman" w:cs="Times New Roman" w:eastAsia="Times New Roman" w:hAnsi="Times New Roman"/>
          <w:i/>
          <w:iCs/>
          <w:color w:val="000000"/>
          <w:sz w:val="20"/>
          <w:szCs w:val="20"/>
        </w:rPr>
        <w:t xml:space="preserve">body-boundary recognition</w:t>
      </w:r>
      <w:r>
        <w:rPr>
          <w:rFonts w:ascii="Times New Roman" w:cs="Times New Roman" w:eastAsia="Times New Roman" w:hAnsi="Times New Roman"/>
          <w:color w:val="000000"/>
          <w:sz w:val="20"/>
          <w:szCs w:val="20"/>
        </w:rPr>
        <w:t xml:space="preserve"> — the AI's ability to distinguish "self" (within the closed phase manifold) from "environment" (outside it). The transformer architecture achieves token-level attention; the Wave Homunculus achieves </w:t>
      </w:r>
      <w:r>
        <w:rPr>
          <w:rFonts w:ascii="Times New Roman" w:cs="Times New Roman" w:eastAsia="Times New Roman" w:hAnsi="Times New Roman"/>
          <w:b/>
          <w:bCs/>
          <w:color w:val="000000"/>
          <w:sz w:val="20"/>
          <w:szCs w:val="20"/>
        </w:rPr>
        <w:t xml:space="preserve">"body-priority phase attention"</w:t>
      </w:r>
      <w:r>
        <w:rPr>
          <w:rFonts w:ascii="Times New Roman" w:cs="Times New Roman" w:eastAsia="Times New Roman" w:hAnsi="Times New Roman"/>
          <w:color w:val="000000"/>
          <w:sz w:val="20"/>
          <w:szCs w:val="20"/>
        </w:rPr>
        <w:t xml:space="preserve"> — a fundamentally embodied form of saliency that is encoded in the wave intensity itself rather than in a learned attention weight matrix.</w:t>
      </w:r>
    </w:p>
    <w:p>
      <w:pPr>
        <w:spacing w:after="40" w:before="80"/>
        <w:jc w:val="center"/>
      </w:pPr>
      <w:r>
        <w:drawing>
          <wp:inline distT="0" distB="0" distL="0" distR="0">
            <wp:extent cx="41148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176212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1. Wave Homunculus concept. (a) Biological somatotopic priority map (cortical homunculus): cortical area ∝ sensorimotor complexity. Hand/fingers and face receive disproportionate representation. (b) Wave Homunculus parameter table: each body zone is assigned body-specific {λ, Q, wave density, phase precision}. Fingers receive λ_min, highest Q, ultra-high phase precision. (c) Serpentine spinal backbone (central waveguide) with radial wave-density distortion (wider = higher density = higher homunculus priority) and local reflex interference loops at three spinal levels.</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III. COUPLED OPTOMECHANICAL EQUATIONS</w:t>
      </w:r>
    </w:p>
    <w:p>
      <w:pPr>
        <w:spacing w:after="60" w:before="130"/>
        <w:jc w:val="left"/>
      </w:pPr>
      <w:r>
        <w:rPr>
          <w:rFonts w:ascii="Times New Roman" w:cs="Times New Roman" w:eastAsia="Times New Roman" w:hAnsi="Times New Roman"/>
          <w:b/>
          <w:bCs/>
          <w:i/>
          <w:iCs/>
          <w:color w:val="223355"/>
          <w:sz w:val="22"/>
          <w:szCs w:val="22"/>
        </w:rPr>
        <w:t xml:space="preserve">A. Phase-to-Force Coupling</w:t>
      </w:r>
    </w:p>
    <w:p>
      <w:pPr>
        <w:spacing w:after="80" w:before="0" w:line="276" w:lineRule="auto"/>
        <w:jc w:val="both"/>
      </w:pPr>
      <w:r>
        <w:rPr>
          <w:rFonts w:ascii="Times New Roman" w:cs="Times New Roman" w:eastAsia="Times New Roman" w:hAnsi="Times New Roman"/>
          <w:color w:val="000000"/>
          <w:sz w:val="20"/>
          <w:szCs w:val="20"/>
        </w:rPr>
        <w:t xml:space="preserve">The local optical force density F(z,t) at the graphene/hBN interface arises from three contributions: (i) radiation pressure (Maxwell stress), (ii) ponderomotive gradient force from the optical field, and (iii) nonlinear current-driven force. The combined expression is:</w:t>
      </w:r>
    </w:p>
    <w:p>
      <w:pPr>
        <w:spacing w:after="80" w:before="80"/>
        <w:jc w:val="center"/>
      </w:pPr>
      <w:r>
        <w:rPr>
          <w:rFonts w:ascii="Times New Roman" w:cs="Times New Roman" w:eastAsia="Times New Roman" w:hAnsi="Times New Roman"/>
          <w:i/>
          <w:iCs/>
          <w:color w:val="000000"/>
          <w:sz w:val="20"/>
          <w:szCs w:val="20"/>
        </w:rPr>
        <w:t xml:space="preserve">F(z,t) = ½·Re[J*(z,t)·∇φ(z,t)] + (ε₀/4)·Re[(E*·∇)E]·χ⁽³⁾</w:t>
      </w:r>
    </w:p>
    <w:p>
      <w:pPr>
        <w:spacing w:after="80" w:before="0" w:line="276" w:lineRule="auto"/>
        <w:jc w:val="both"/>
      </w:pPr>
      <w:r>
        <w:rPr>
          <w:rFonts w:ascii="Times New Roman" w:cs="Times New Roman" w:eastAsia="Times New Roman" w:hAnsi="Times New Roman"/>
          <w:color w:val="000000"/>
          <w:sz w:val="20"/>
          <w:szCs w:val="20"/>
        </w:rPr>
        <w:t xml:space="preserve">where J = σ</w:t>
      </w:r>
      <w:r>
        <w:rPr>
          <w:rFonts w:ascii="Times New Roman" w:cs="Times New Roman" w:eastAsia="Times New Roman" w:hAnsi="Times New Roman"/>
          <w:sz w:val="16"/>
          <w:szCs w:val="16"/>
          <w:vertAlign w:val="subscript"/>
        </w:rPr>
        <w:t xml:space="preserve">NL</w:t>
      </w:r>
      <w:r>
        <w:rPr>
          <w:rFonts w:ascii="Times New Roman" w:cs="Times New Roman" w:eastAsia="Times New Roman" w:hAnsi="Times New Roman"/>
          <w:color w:val="000000"/>
          <w:sz w:val="20"/>
          <w:szCs w:val="20"/>
        </w:rPr>
        <w:t xml:space="preserve">|E|²E is the graphene nonlinear surface current, σ</w:t>
      </w:r>
      <w:r>
        <w:rPr>
          <w:rFonts w:ascii="Times New Roman" w:cs="Times New Roman" w:eastAsia="Times New Roman" w:hAnsi="Times New Roman"/>
          <w:sz w:val="16"/>
          <w:szCs w:val="16"/>
          <w:vertAlign w:val="subscript"/>
        </w:rPr>
        <w:t xml:space="preserve">NL</w:t>
      </w:r>
      <w:r>
        <w:rPr>
          <w:rFonts w:ascii="Times New Roman" w:cs="Times New Roman" w:eastAsia="Times New Roman" w:hAnsi="Times New Roman"/>
          <w:color w:val="000000"/>
          <w:sz w:val="20"/>
          <w:szCs w:val="20"/>
        </w:rPr>
        <w:t xml:space="preserve">(ω,E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is the Kerr-type nonlinear conductivity (σ</w:t>
      </w:r>
      <w:r>
        <w:rPr>
          <w:rFonts w:ascii="Times New Roman" w:cs="Times New Roman" w:eastAsia="Times New Roman" w:hAnsi="Times New Roman"/>
          <w:sz w:val="16"/>
          <w:szCs w:val="16"/>
          <w:vertAlign w:val="subscript"/>
        </w:rPr>
        <w:t xml:space="preserve">NL</w:t>
      </w:r>
      <w:r>
        <w:rPr>
          <w:rFonts w:ascii="Times New Roman" w:cs="Times New Roman" w:eastAsia="Times New Roman" w:hAnsi="Times New Roman"/>
          <w:color w:val="000000"/>
          <w:sz w:val="20"/>
          <w:szCs w:val="20"/>
        </w:rPr>
        <w:t xml:space="preserve"> ≈ 10</w:t>
      </w:r>
      <w:r>
        <w:rPr>
          <w:rFonts w:ascii="Times New Roman" w:cs="Times New Roman" w:eastAsia="Times New Roman" w:hAnsi="Times New Roman"/>
          <w:sz w:val="16"/>
          <w:szCs w:val="16"/>
          <w:vertAlign w:val="superscript"/>
        </w:rPr>
        <w:t xml:space="preserve">−15</w:t>
      </w:r>
      <w:r>
        <w:rPr>
          <w:rFonts w:ascii="Times New Roman" w:cs="Times New Roman" w:eastAsia="Times New Roman" w:hAnsi="Times New Roman"/>
          <w:color w:val="000000"/>
          <w:sz w:val="20"/>
          <w:szCs w:val="20"/>
        </w:rPr>
        <w:t xml:space="preserve">–10</w:t>
      </w:r>
      <w:r>
        <w:rPr>
          <w:rFonts w:ascii="Times New Roman" w:cs="Times New Roman" w:eastAsia="Times New Roman" w:hAnsi="Times New Roman"/>
          <w:sz w:val="16"/>
          <w:szCs w:val="16"/>
          <w:vertAlign w:val="superscript"/>
        </w:rPr>
        <w:t xml:space="preserve">−14</w:t>
      </w:r>
      <w:r>
        <w:rPr>
          <w:rFonts w:ascii="Times New Roman" w:cs="Times New Roman" w:eastAsia="Times New Roman" w:hAnsi="Times New Roman"/>
          <w:color w:val="000000"/>
          <w:sz w:val="20"/>
          <w:szCs w:val="20"/>
        </w:rPr>
        <w:t xml:space="preserve"> A·m/V³ for 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 0.6 eV), and ∇φ is the optical phase gradient. In the Gaussian-envelope + singularity approximation:</w:t>
      </w:r>
    </w:p>
    <w:p>
      <w:pPr>
        <w:spacing w:after="80" w:before="80"/>
        <w:jc w:val="center"/>
      </w:pPr>
      <w:r>
        <w:rPr>
          <w:rFonts w:ascii="Times New Roman" w:cs="Times New Roman" w:eastAsia="Times New Roman" w:hAnsi="Times New Roman"/>
          <w:i/>
          <w:iCs/>
          <w:color w:val="000000"/>
          <w:sz w:val="20"/>
          <w:szCs w:val="20"/>
        </w:rPr>
        <w:t xml:space="preserve">F(z,t) = ½·σ_NL·|A(z,t)|²·∂φ/∂z + ½·∂/∂z(½·ε₀·χ_NL·|A|⁴)</w:t>
      </w:r>
    </w:p>
    <w:p>
      <w:pPr>
        <w:spacing w:after="80" w:before="0" w:line="276" w:lineRule="auto"/>
        <w:jc w:val="both"/>
      </w:pPr>
      <w:r>
        <w:rPr>
          <w:rFonts w:ascii="Times New Roman" w:cs="Times New Roman" w:eastAsia="Times New Roman" w:hAnsi="Times New Roman"/>
          <w:color w:val="000000"/>
          <w:sz w:val="20"/>
          <w:szCs w:val="20"/>
        </w:rPr>
        <w:t xml:space="preserve">The Cheyne–Stokes envelope A(t) = A</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·(1+sin(ω</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color w:val="000000"/>
          <w:sz w:val="20"/>
          <w:szCs w:val="20"/>
        </w:rPr>
        <w:t xml:space="preserve">t))·exp(−αt) creates periodic amplitude minima (apnea intervals) at which |A|→0 and ∂φ/∂z→∞ — the phase singularity. At these points, with 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→0 (slow-light enhancement from the photonic band edge), the interaction time τ</w:t>
      </w:r>
      <w:r>
        <w:rPr>
          <w:rFonts w:ascii="Times New Roman" w:cs="Times New Roman" w:eastAsia="Times New Roman" w:hAnsi="Times New Roman"/>
          <w:sz w:val="16"/>
          <w:szCs w:val="16"/>
          <w:vertAlign w:val="subscript"/>
        </w:rPr>
        <w:t xml:space="preserve">int</w:t>
      </w:r>
      <w:r>
        <w:rPr>
          <w:rFonts w:ascii="Times New Roman" w:cs="Times New Roman" w:eastAsia="Times New Roman" w:hAnsi="Times New Roman"/>
          <w:color w:val="000000"/>
          <w:sz w:val="20"/>
          <w:szCs w:val="20"/>
        </w:rPr>
        <w:t xml:space="preserve"> ∝ L/v</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diverges, and the effective force is amplified by:</w:t>
      </w:r>
    </w:p>
    <w:p>
      <w:pPr>
        <w:spacing w:after="60" w:before="60"/>
        <w:jc w:val="center"/>
      </w:pPr>
      <w:r>
        <w:rPr>
          <w:rFonts w:ascii="Times New Roman" w:cs="Times New Roman" w:eastAsia="Times New Roman" w:hAnsi="Times New Roman"/>
          <w:i/>
          <w:iCs/>
          <w:color w:val="000000"/>
          <w:sz w:val="20"/>
          <w:szCs w:val="20"/>
        </w:rPr>
        <w:t xml:space="preserve">F_eff = F₀ · (n_g / n₀) · (L/L₀)</w:t>
      </w:r>
    </w:p>
    <w:p>
      <w:pPr>
        <w:spacing w:after="80" w:before="0" w:line="276" w:lineRule="auto"/>
        <w:jc w:val="both"/>
      </w:pPr>
      <w:r>
        <w:rPr>
          <w:rFonts w:ascii="Times New Roman" w:cs="Times New Roman" w:eastAsia="Times New Roman" w:hAnsi="Times New Roman"/>
          <w:color w:val="000000"/>
          <w:sz w:val="20"/>
          <w:szCs w:val="20"/>
        </w:rPr>
        <w:t xml:space="preserve">yielding a peak force F₀ ≈ 1–50 pN at n</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 30, 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 0.6 eV, optical intensity I = 25 kW/cm².</w:t>
      </w:r>
    </w:p>
    <w:p>
      <w:pPr>
        <w:spacing w:after="60" w:before="130"/>
        <w:jc w:val="left"/>
      </w:pPr>
      <w:r>
        <w:rPr>
          <w:rFonts w:ascii="Times New Roman" w:cs="Times New Roman" w:eastAsia="Times New Roman" w:hAnsi="Times New Roman"/>
          <w:b/>
          <w:bCs/>
          <w:i/>
          <w:iCs/>
          <w:color w:val="223355"/>
          <w:sz w:val="22"/>
          <w:szCs w:val="22"/>
        </w:rPr>
        <w:t xml:space="preserve">B. Mechanical Response: Von Kármán Plate with 5-Layer Graphene</w:t>
      </w:r>
    </w:p>
    <w:p>
      <w:pPr>
        <w:spacing w:after="80" w:before="0" w:line="276" w:lineRule="auto"/>
        <w:jc w:val="both"/>
      </w:pPr>
      <w:r>
        <w:rPr>
          <w:rFonts w:ascii="Times New Roman" w:cs="Times New Roman" w:eastAsia="Times New Roman" w:hAnsi="Times New Roman"/>
          <w:color w:val="000000"/>
          <w:sz w:val="20"/>
          <w:szCs w:val="20"/>
        </w:rPr>
        <w:t xml:space="preserve">The 5-layer graphene/hBN membrane is modeled using the Von Kármán nonlinear plate equation:</w:t>
      </w:r>
    </w:p>
    <w:p>
      <w:pPr>
        <w:spacing w:after="80" w:before="80"/>
        <w:jc w:val="center"/>
      </w:pPr>
      <w:r>
        <w:rPr>
          <w:rFonts w:ascii="Times New Roman" w:cs="Times New Roman" w:eastAsia="Times New Roman" w:hAnsi="Times New Roman"/>
          <w:i/>
          <w:iCs/>
          <w:color w:val="000000"/>
          <w:sz w:val="20"/>
          <w:szCs w:val="20"/>
        </w:rPr>
        <w:t xml:space="preserve">D·∇⁴u + ρh·∂²u/∂t² − ∇·(N·∇u) = F(z,t) + F_DNA</w:t>
      </w:r>
    </w:p>
    <w:p>
      <w:pPr>
        <w:spacing w:after="80" w:before="0" w:line="276" w:lineRule="auto"/>
        <w:jc w:val="both"/>
      </w:pPr>
      <w:r>
        <w:rPr>
          <w:rFonts w:ascii="Times New Roman" w:cs="Times New Roman" w:eastAsia="Times New Roman" w:hAnsi="Times New Roman"/>
          <w:color w:val="000000"/>
          <w:sz w:val="20"/>
          <w:szCs w:val="20"/>
        </w:rPr>
        <w:t xml:space="preserve">where D = N</w:t>
      </w:r>
      <w:r>
        <w:rPr>
          <w:rFonts w:ascii="Times New Roman" w:cs="Times New Roman" w:eastAsia="Times New Roman" w:hAnsi="Times New Roman"/>
          <w:sz w:val="16"/>
          <w:szCs w:val="16"/>
          <w:vertAlign w:val="subscript"/>
        </w:rPr>
        <w:t xml:space="preserve">L</w:t>
      </w:r>
      <w:r>
        <w:rPr>
          <w:rFonts w:ascii="Times New Roman" w:cs="Times New Roman" w:eastAsia="Times New Roman" w:hAnsi="Times New Roman"/>
          <w:color w:val="000000"/>
          <w:sz w:val="20"/>
          <w:szCs w:val="20"/>
        </w:rPr>
        <w:t xml:space="preserve">³·E</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·t</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³/[12(1−ν²)] ≈ 1.5 eV is the effective bending stiffness of the 5-layer graphene stack (N</w:t>
      </w:r>
      <w:r>
        <w:rPr>
          <w:rFonts w:ascii="Times New Roman" w:cs="Times New Roman" w:eastAsia="Times New Roman" w:hAnsi="Times New Roman"/>
          <w:sz w:val="16"/>
          <w:szCs w:val="16"/>
          <w:vertAlign w:val="subscript"/>
        </w:rPr>
        <w:t xml:space="preserve">L</w:t>
      </w:r>
      <w:r>
        <w:rPr>
          <w:rFonts w:ascii="Times New Roman" w:cs="Times New Roman" w:eastAsia="Times New Roman" w:hAnsi="Times New Roman"/>
          <w:color w:val="000000"/>
          <w:sz w:val="20"/>
          <w:szCs w:val="20"/>
        </w:rPr>
        <w:t xml:space="preserve">=5, t</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=5×0.335 nm, E</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=1 TPa); ρh = 7.6×10</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color w:val="000000"/>
          <w:sz w:val="20"/>
          <w:szCs w:val="20"/>
        </w:rPr>
        <w:t xml:space="preserve"> kg/m² is the areal mass density; N = N</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 + Eh/(2(1−ν²))·|∇u|² is the in-plane tension including Von Kármán nonlinear stretching; and F</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·u is the DNA Origami 6HB restoring force.</w:t>
      </w:r>
    </w:p>
    <w:p>
      <w:pPr>
        <w:spacing w:after="80" w:before="0" w:line="276" w:lineRule="auto"/>
        <w:jc w:val="both"/>
      </w:pPr>
      <w:r>
        <w:rPr>
          <w:rFonts w:ascii="Times New Roman" w:cs="Times New Roman" w:eastAsia="Times New Roman" w:hAnsi="Times New Roman"/>
          <w:color w:val="000000"/>
          <w:sz w:val="20"/>
          <w:szCs w:val="20"/>
        </w:rPr>
        <w:t xml:space="preserve">The coupled-mode form introduces the optical envelope amplitude a(t) and mechanical modal coordinate u(t):</w:t>
      </w:r>
    </w:p>
    <w:p>
      <w:pPr>
        <w:spacing w:after="60" w:before="60"/>
        <w:jc w:val="center"/>
      </w:pPr>
      <w:r>
        <w:rPr>
          <w:rFonts w:ascii="Times New Roman" w:cs="Times New Roman" w:eastAsia="Times New Roman" w:hAnsi="Times New Roman"/>
          <w:i/>
          <w:iCs/>
          <w:color w:val="000000"/>
          <w:sz w:val="20"/>
          <w:szCs w:val="20"/>
        </w:rPr>
        <w:t xml:space="preserve">i·da/dt = (Δ + g·u)·a − i(κ/2)·a + F_drive(t)</w:t>
      </w:r>
    </w:p>
    <w:p>
      <w:pPr>
        <w:spacing w:after="80" w:before="60"/>
        <w:jc w:val="center"/>
      </w:pPr>
      <w:r>
        <w:rPr>
          <w:rFonts w:ascii="Times New Roman" w:cs="Times New Roman" w:eastAsia="Times New Roman" w:hAnsi="Times New Roman"/>
          <w:i/>
          <w:iCs/>
          <w:color w:val="000000"/>
          <w:sz w:val="20"/>
          <w:szCs w:val="20"/>
        </w:rPr>
        <w:t xml:space="preserve">ü + Γ_m·u̇ + ω_m²·u = (1/m_eff)∫F(z,t)·ψ_m(z)dz + g|a|²</w:t>
      </w:r>
    </w:p>
    <w:p>
      <w:pPr>
        <w:spacing w:after="80" w:before="0" w:line="276" w:lineRule="auto"/>
        <w:jc w:val="both"/>
      </w:pPr>
      <w:r>
        <w:rPr>
          <w:rFonts w:ascii="Times New Roman" w:cs="Times New Roman" w:eastAsia="Times New Roman" w:hAnsi="Times New Roman"/>
          <w:color w:val="000000"/>
          <w:sz w:val="20"/>
          <w:szCs w:val="20"/>
        </w:rPr>
        <w:t xml:space="preserve">where g is the optomechanical coupling rate (phase-to-force via σ</w:t>
      </w:r>
      <w:r>
        <w:rPr>
          <w:rFonts w:ascii="Times New Roman" w:cs="Times New Roman" w:eastAsia="Times New Roman" w:hAnsi="Times New Roman"/>
          <w:sz w:val="16"/>
          <w:szCs w:val="16"/>
          <w:vertAlign w:val="subscript"/>
        </w:rPr>
        <w:t xml:space="preserve">NL</w:t>
      </w:r>
      <w:r>
        <w:rPr>
          <w:rFonts w:ascii="Times New Roman" w:cs="Times New Roman" w:eastAsia="Times New Roman" w:hAnsi="Times New Roman"/>
          <w:color w:val="000000"/>
          <w:sz w:val="20"/>
          <w:szCs w:val="20"/>
        </w:rPr>
        <w:t xml:space="preserve"> and ∇φ), κ is the optical decay rate, Γ</w:t>
      </w:r>
      <w:r>
        <w:rPr>
          <w:rFonts w:ascii="Times New Roman" w:cs="Times New Roman" w:eastAsia="Times New Roman" w:hAnsi="Times New Roman"/>
          <w:sz w:val="16"/>
          <w:szCs w:val="16"/>
          <w:vertAlign w:val="subscript"/>
        </w:rPr>
        <w:t xml:space="preserve">m</w:t>
      </w:r>
      <w:r>
        <w:rPr>
          <w:rFonts w:ascii="Times New Roman" w:cs="Times New Roman" w:eastAsia="Times New Roman" w:hAnsi="Times New Roman"/>
          <w:color w:val="000000"/>
          <w:sz w:val="20"/>
          <w:szCs w:val="20"/>
        </w:rPr>
        <w:t xml:space="preserve"> is the mechanical damping (dominated by the 450 nm water layer viscous damping), ω</w:t>
      </w:r>
      <w:r>
        <w:rPr>
          <w:rFonts w:ascii="Times New Roman" w:cs="Times New Roman" w:eastAsia="Times New Roman" w:hAnsi="Times New Roman"/>
          <w:sz w:val="16"/>
          <w:szCs w:val="16"/>
          <w:vertAlign w:val="subscript"/>
        </w:rPr>
        <w:t xml:space="preserve">m</w:t>
      </w:r>
      <w:r>
        <w:rPr>
          <w:rFonts w:ascii="Times New Roman" w:cs="Times New Roman" w:eastAsia="Times New Roman" w:hAnsi="Times New Roman"/>
          <w:color w:val="000000"/>
          <w:sz w:val="20"/>
          <w:szCs w:val="20"/>
        </w:rPr>
        <w:t xml:space="preserve"> = 2π×0.979 GHz is the fundamental mechanical resonance frequency, and ψ</w:t>
      </w:r>
      <w:r>
        <w:rPr>
          <w:rFonts w:ascii="Times New Roman" w:cs="Times New Roman" w:eastAsia="Times New Roman" w:hAnsi="Times New Roman"/>
          <w:sz w:val="16"/>
          <w:szCs w:val="16"/>
          <w:vertAlign w:val="subscript"/>
        </w:rPr>
        <w:t xml:space="preserve">m</w:t>
      </w:r>
      <w:r>
        <w:rPr>
          <w:rFonts w:ascii="Times New Roman" w:cs="Times New Roman" w:eastAsia="Times New Roman" w:hAnsi="Times New Roman"/>
          <w:color w:val="000000"/>
          <w:sz w:val="20"/>
          <w:szCs w:val="20"/>
        </w:rPr>
        <w:t xml:space="preserve">(z) is the clamped-clamped mode shape.</w:t>
      </w:r>
    </w:p>
    <w:p>
      <w:pPr>
        <w:spacing w:after="60" w:before="130"/>
        <w:jc w:val="left"/>
      </w:pPr>
      <w:r>
        <w:rPr>
          <w:rFonts w:ascii="Times New Roman" w:cs="Times New Roman" w:eastAsia="Times New Roman" w:hAnsi="Times New Roman"/>
          <w:b/>
          <w:bCs/>
          <w:i/>
          <w:iCs/>
          <w:color w:val="223355"/>
          <w:sz w:val="22"/>
          <w:szCs w:val="22"/>
        </w:rPr>
        <w:t xml:space="preserve">C. Boundary Conditions and Steady-State Solution</w:t>
      </w:r>
    </w:p>
    <w:p>
      <w:pPr>
        <w:spacing w:after="80" w:before="0" w:line="276" w:lineRule="auto"/>
        <w:jc w:val="both"/>
      </w:pPr>
      <w:r>
        <w:rPr>
          <w:rFonts w:ascii="Times New Roman" w:cs="Times New Roman" w:eastAsia="Times New Roman" w:hAnsi="Times New Roman"/>
          <w:color w:val="000000"/>
          <w:sz w:val="20"/>
          <w:szCs w:val="20"/>
        </w:rPr>
        <w:t xml:space="preserve">Fixed-clamped boundary conditions at z = 0 and z = L:</w:t>
      </w:r>
    </w:p>
    <w:p>
      <w:pPr>
        <w:spacing w:after="60" w:before="60"/>
        <w:jc w:val="center"/>
      </w:pPr>
      <w:r>
        <w:rPr>
          <w:rFonts w:ascii="Times New Roman" w:cs="Times New Roman" w:eastAsia="Times New Roman" w:hAnsi="Times New Roman"/>
          <w:i/>
          <w:iCs/>
          <w:color w:val="000000"/>
          <w:sz w:val="20"/>
          <w:szCs w:val="20"/>
        </w:rPr>
        <w:t xml:space="preserve">u(0,t) = u(L,t) = 0 ;  ∂u/∂z|_{z=0,L} = 0</w:t>
      </w:r>
    </w:p>
    <w:p>
      <w:pPr>
        <w:spacing w:after="80" w:before="0" w:line="276" w:lineRule="auto"/>
        <w:jc w:val="both"/>
      </w:pPr>
      <w:r>
        <w:rPr>
          <w:rFonts w:ascii="Times New Roman" w:cs="Times New Roman" w:eastAsia="Times New Roman" w:hAnsi="Times New Roman"/>
          <w:color w:val="000000"/>
          <w:sz w:val="20"/>
          <w:szCs w:val="20"/>
        </w:rPr>
        <w:t xml:space="preserve">The steady-state mechanical equation (∂/∂t → 0, time-averaged force ⟨F⟩):</w:t>
      </w:r>
    </w:p>
    <w:p>
      <w:pPr>
        <w:spacing w:after="80" w:before="80"/>
        <w:jc w:val="center"/>
      </w:pPr>
      <w:r>
        <w:rPr>
          <w:rFonts w:ascii="Times New Roman" w:cs="Times New Roman" w:eastAsia="Times New Roman" w:hAnsi="Times New Roman"/>
          <w:i/>
          <w:iCs/>
          <w:color w:val="000000"/>
          <w:sz w:val="20"/>
          <w:szCs w:val="20"/>
        </w:rPr>
        <w:t xml:space="preserve">D·d⁴u/dz⁴ − T·d²u/dz² = F₀·exp[−(z−z_s)²/(2σ²)]</w:t>
      </w:r>
    </w:p>
    <w:p>
      <w:pPr>
        <w:spacing w:after="80" w:before="0" w:line="276" w:lineRule="auto"/>
        <w:jc w:val="both"/>
      </w:pPr>
      <w:r>
        <w:rPr>
          <w:rFonts w:ascii="Times New Roman" w:cs="Times New Roman" w:eastAsia="Times New Roman" w:hAnsi="Times New Roman"/>
          <w:color w:val="000000"/>
          <w:sz w:val="20"/>
          <w:szCs w:val="20"/>
        </w:rPr>
        <w:t xml:space="preserve">For the tension-dominated limit (realistic for monolayer or few-layer graphene):</w:t>
      </w:r>
    </w:p>
    <w:p>
      <w:pPr>
        <w:spacing w:after="60" w:before="60"/>
        <w:jc w:val="center"/>
      </w:pPr>
      <w:r>
        <w:rPr>
          <w:rFonts w:ascii="Times New Roman" w:cs="Times New Roman" w:eastAsia="Times New Roman" w:hAnsi="Times New Roman"/>
          <w:i/>
          <w:iCs/>
          <w:color w:val="000000"/>
          <w:sz w:val="20"/>
          <w:szCs w:val="20"/>
        </w:rPr>
        <w:t xml:space="preserve">u_max ≈ F₀·L²/(8T)   [parabolic approximation]</w:t>
      </w:r>
    </w:p>
    <w:p>
      <w:pPr>
        <w:spacing w:after="80" w:before="0" w:line="276" w:lineRule="auto"/>
        <w:jc w:val="both"/>
      </w:pPr>
      <w:r>
        <w:rPr>
          <w:rFonts w:ascii="Times New Roman" w:cs="Times New Roman" w:eastAsia="Times New Roman" w:hAnsi="Times New Roman"/>
          <w:color w:val="000000"/>
          <w:sz w:val="20"/>
          <w:szCs w:val="20"/>
        </w:rPr>
        <w:t xml:space="preserve">For the bending-dominated limit (5-layer graphene with enhanced D):</w:t>
      </w:r>
    </w:p>
    <w:p>
      <w:pPr>
        <w:spacing w:after="60" w:before="60"/>
        <w:jc w:val="center"/>
      </w:pPr>
      <w:r>
        <w:rPr>
          <w:rFonts w:ascii="Times New Roman" w:cs="Times New Roman" w:eastAsia="Times New Roman" w:hAnsi="Times New Roman"/>
          <w:i/>
          <w:iCs/>
          <w:color w:val="000000"/>
          <w:sz w:val="20"/>
          <w:szCs w:val="20"/>
        </w:rPr>
        <w:t xml:space="preserve">u_max ≈ F₀·L⁴/(384·D_eff)   [uniform load, clamped-clamped]</w:t>
      </w:r>
    </w:p>
    <w:p>
      <w:pPr>
        <w:spacing w:after="80" w:before="0" w:line="276" w:lineRule="auto"/>
        <w:jc w:val="both"/>
      </w:pPr>
      <w:r>
        <w:rPr>
          <w:rFonts w:ascii="Times New Roman" w:cs="Times New Roman" w:eastAsia="Times New Roman" w:hAnsi="Times New Roman"/>
          <w:color w:val="000000"/>
          <w:sz w:val="20"/>
          <w:szCs w:val="20"/>
        </w:rPr>
        <w:t xml:space="preserve">The coupled-mode steady-state solution (optical drive constant, mechanical damping finite) yields:</w:t>
      </w:r>
    </w:p>
    <w:p>
      <w:pPr>
        <w:spacing w:after="80" w:before="80"/>
        <w:jc w:val="center"/>
      </w:pPr>
      <w:r>
        <w:rPr>
          <w:rFonts w:ascii="Times New Roman" w:cs="Times New Roman" w:eastAsia="Times New Roman" w:hAnsi="Times New Roman"/>
          <w:i/>
          <w:iCs/>
          <w:color w:val="000000"/>
          <w:sz w:val="20"/>
          <w:szCs w:val="20"/>
        </w:rPr>
        <w:t xml:space="preserve">u_max = (g·|a_ss|² + F_phase/m_eff) / ω_m²</w:t>
      </w:r>
    </w:p>
    <w:p>
      <w:pPr>
        <w:spacing w:after="80" w:before="0" w:line="276" w:lineRule="auto"/>
        <w:jc w:val="both"/>
      </w:pPr>
      <w:r>
        <w:rPr>
          <w:rFonts w:ascii="Times New Roman" w:cs="Times New Roman" w:eastAsia="Times New Roman" w:hAnsi="Times New Roman"/>
          <w:color w:val="000000"/>
          <w:sz w:val="20"/>
          <w:szCs w:val="20"/>
        </w:rPr>
        <w:t xml:space="preserve">Incorporating the DNA Origami restoring force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5 pN/nm) and slow-light enhancement (n</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 30, 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 0.6 eV, I = 25 kW/cm², serpentine curvature factor = 2.35):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c>
          <w:tcPr>
            <w:tcW w:type="dxa" w:w="24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Parameter</w:t>
            </w:r>
          </w:p>
        </w:tc>
        <w:tc>
          <w:tcPr>
            <w:tcW w:type="dxa" w:w="20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Symbol</w:t>
            </w:r>
          </w:p>
        </w:tc>
        <w:tc>
          <w:tcPr>
            <w:tcW w:type="dxa" w:w="20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Value</w:t>
            </w:r>
          </w:p>
        </w:tc>
        <w:tc>
          <w:tcPr>
            <w:tcW w:type="dxa" w:w="28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Physical Basis</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Max. displacement</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u_max</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0.046 nm</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Simulation (Colab) + analytic formula</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Resonance frequency</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f_res</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0.979 GHz</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5-layer graphene + hBN + water damp.</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Opt. intensity</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I_opt</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25 kW/cm²</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THz regime; linear u_max scaling</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Fermi level</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E_F</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0.6 eV</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Gate-tunable; max σ_NL</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Group index</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n_g</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30</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Slow-light band edge; ×n_g² force amp.</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Serpentine curvature</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curv_factor</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2.35</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Phase singularity alignment optimum</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hBN thickness</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t_hBN</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20 nm</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Phonon-polariton confinement</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Water damping</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t_water</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450 nm</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Acoustic impedance match; ℏ-noise sup.</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DNA Origami k</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k_DNA</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5 pN/nm</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6-Helix Bundle; programmable</w:t>
            </w:r>
          </w:p>
        </w:tc>
      </w:tr>
      <w:tr>
        <w:tc>
          <w:tcPr>
            <w:tcW w:type="dxa" w:w="24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bCs/>
                <w:color w:val="000000"/>
                <w:sz w:val="18"/>
                <w:szCs w:val="18"/>
              </w:rPr>
              <w:t xml:space="preserve">PID gains</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Kp/Ki/Kd</w:t>
            </w:r>
          </w:p>
        </w:tc>
        <w:tc>
          <w:tcPr>
            <w:tcW w:type="dxa" w:w="20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0.680/0.122/0.028</w:t>
            </w:r>
          </w:p>
        </w:tc>
        <w:tc>
          <w:tcPr>
            <w:tcW w:type="dxa" w:w="2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b w:val="false"/>
                <w:bCs w:val="false"/>
                <w:color w:val="000000"/>
                <w:sz w:val="18"/>
                <w:szCs w:val="18"/>
              </w:rPr>
              <w:t xml:space="preserve">Gradient-descent auto-tuned</w:t>
            </w:r>
          </w:p>
        </w:tc>
      </w:tr>
    </w:tbl>
    <w:p>
      <w:pPr>
        <w:spacing w:after="120" w:before="60"/>
        <w:jc w:val="center"/>
      </w:pPr>
      <w:r>
        <w:rPr>
          <w:rFonts w:ascii="Times New Roman" w:cs="Times New Roman" w:eastAsia="Times New Roman" w:hAnsi="Times New Roman"/>
          <w:i/>
          <w:iCs/>
          <w:color w:val="666677"/>
          <w:sz w:val="18"/>
          <w:szCs w:val="18"/>
        </w:rPr>
        <w:t xml:space="preserve">TABLE I. Key simulation parameters and results for the 5-layer graphene/hBN membrane under Cheyne–Stokes phase-singular optical drive.</w:t>
      </w:r>
    </w:p>
    <w:p>
      <w:pPr>
        <w:spacing w:after="40" w:before="80"/>
        <w:jc w:val="center"/>
      </w:pPr>
      <w:r>
        <w:drawing>
          <wp:inline distT="0" distB="0" distL="0" distR="0">
            <wp:extent cx="41148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63842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2. Coupled optomechanical simulation results. (a) Phase-singular force density F(z) = σ_NL|A|²·∂φ/∂z peaks at the amplitude-zero singularity. (b) Von Kármán deflection profiles for three force levels under clamped–clamped boundary conditions (5-layer graphene). (c) Coupled-mode time-domain dynamics: optical envelope |a(t)| and mechanical displacement u(t) under CS modulation. (d) Steady-state u_max map (pm, contours) vs. E_F and n_g; cyan/lime lines mark design point. (e) Frequency response for three damping levels; resonance at 0.979 GHz (450 nm water layer). (f) Power sweep: u_max vs. optical intensity for Euler–Bernoulli, Von Kármán, and +DNA Origami models.</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IV. DNA ORIGAMI 6HB AND HEISENBERG NOISE SUPPRESSION</w:t>
      </w:r>
    </w:p>
    <w:p>
      <w:pPr>
        <w:spacing w:after="60" w:before="130"/>
        <w:jc w:val="left"/>
      </w:pPr>
      <w:r>
        <w:rPr>
          <w:rFonts w:ascii="Times New Roman" w:cs="Times New Roman" w:eastAsia="Times New Roman" w:hAnsi="Times New Roman"/>
          <w:b/>
          <w:bCs/>
          <w:i/>
          <w:iCs/>
          <w:color w:val="223355"/>
          <w:sz w:val="22"/>
          <w:szCs w:val="22"/>
        </w:rPr>
        <w:t xml:space="preserve">A. DNA Origami as Programmable Mechanical Element</w:t>
      </w:r>
    </w:p>
    <w:p>
      <w:pPr>
        <w:spacing w:after="80" w:before="0" w:line="276" w:lineRule="auto"/>
        <w:jc w:val="both"/>
      </w:pPr>
      <w:r>
        <w:rPr>
          <w:rFonts w:ascii="Times New Roman" w:cs="Times New Roman" w:eastAsia="Times New Roman" w:hAnsi="Times New Roman"/>
          <w:color w:val="000000"/>
          <w:sz w:val="20"/>
          <w:szCs w:val="20"/>
        </w:rPr>
        <w:t xml:space="preserve">DNA Origami 6-helix bundle (6HB) structures serve a dual role in the Wave Homunculus Physical AI architecture: (i) as programmable elastic restoring elements with spring constant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1–10 pN/nm (tunable via bundle geometry and ionic strength</w:t>
      </w:r>
      <w:r>
        <w:rPr>
          <w:rFonts w:ascii="Times New Roman" w:cs="Times New Roman" w:eastAsia="Times New Roman" w:hAnsi="Times New Roman"/>
          <w:sz w:val="16"/>
          <w:szCs w:val="16"/>
          <w:vertAlign w:val="superscript"/>
        </w:rPr>
        <w:t xml:space="preserve">7</w:t>
      </w:r>
      <w:r>
        <w:rPr>
          <w:rFonts w:ascii="Times New Roman" w:cs="Times New Roman" w:eastAsia="Times New Roman" w:hAnsi="Times New Roman"/>
          <w:color w:val="000000"/>
          <w:sz w:val="20"/>
          <w:szCs w:val="20"/>
        </w:rPr>
        <w:t xml:space="preserve">), and (ii) as positional scaffolds that define the spatial layout of graphene-membrane actuator tips. The effective total spring constant for each finger actuator is:</w:t>
      </w:r>
    </w:p>
    <w:p>
      <w:pPr>
        <w:spacing w:after="80" w:before="80"/>
        <w:jc w:val="center"/>
      </w:pPr>
      <w:r>
        <w:rPr>
          <w:rFonts w:ascii="Times New Roman" w:cs="Times New Roman" w:eastAsia="Times New Roman" w:hAnsi="Times New Roman"/>
          <w:i/>
          <w:iCs/>
          <w:color w:val="000000"/>
          <w:sz w:val="20"/>
          <w:szCs w:val="20"/>
        </w:rPr>
        <w:t xml:space="preserve">k_total = k_graphene + k_DNA = (48·E_g·I_g/L³) + k_DNA</w:t>
      </w:r>
    </w:p>
    <w:p>
      <w:pPr>
        <w:spacing w:after="80" w:before="0" w:line="276" w:lineRule="auto"/>
        <w:jc w:val="both"/>
      </w:pPr>
      <w:r>
        <w:rPr>
          <w:rFonts w:ascii="Times New Roman" w:cs="Times New Roman" w:eastAsia="Times New Roman" w:hAnsi="Times New Roman"/>
          <w:color w:val="000000"/>
          <w:sz w:val="20"/>
          <w:szCs w:val="20"/>
        </w:rPr>
        <w:t xml:space="preserve">For the thumb actuator (highest priority zone, highest wave density),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6 pN/nm is assigned; for the middle finger (lower priority),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4 pN/nm. This graduated stiffness allocation is a direct implementation of the Wave Homunculus principle at the mechanical level: high-priority zones receive richer mechanical actuation modulation range.</w:t>
      </w:r>
    </w:p>
    <w:p>
      <w:pPr>
        <w:spacing w:after="80" w:before="0" w:line="276" w:lineRule="auto"/>
        <w:jc w:val="both"/>
      </w:pPr>
      <w:r>
        <w:rPr>
          <w:rFonts w:ascii="Times New Roman" w:cs="Times New Roman" w:eastAsia="Times New Roman" w:hAnsi="Times New Roman"/>
          <w:color w:val="000000"/>
          <w:sz w:val="20"/>
          <w:szCs w:val="20"/>
        </w:rPr>
        <w:t xml:space="preserve">The unified Physical AI control equation incorporating all elements is:</w:t>
      </w:r>
    </w:p>
    <w:p>
      <w:pPr>
        <w:spacing w:after="80" w:before="80"/>
        <w:jc w:val="center"/>
      </w:pPr>
      <w:r>
        <w:rPr>
          <w:rFonts w:ascii="Times New Roman" w:cs="Times New Roman" w:eastAsia="Times New Roman" w:hAnsi="Times New Roman"/>
          <w:i/>
          <w:iCs/>
          <w:color w:val="000000"/>
          <w:sz w:val="20"/>
          <w:szCs w:val="20"/>
        </w:rPr>
        <w:t xml:space="preserve">M_eff·ü + Γ_m·u̇ + (k_DNA + k_graphene)·u = F_opt(φ, I, E_F)</w:t>
      </w:r>
    </w:p>
    <w:p>
      <w:pPr>
        <w:spacing w:after="80" w:before="0" w:line="276" w:lineRule="auto"/>
        <w:jc w:val="both"/>
      </w:pPr>
      <w:r>
        <w:rPr>
          <w:rFonts w:ascii="Times New Roman" w:cs="Times New Roman" w:eastAsia="Times New Roman" w:hAnsi="Times New Roman"/>
          <w:color w:val="000000"/>
          <w:sz w:val="20"/>
          <w:szCs w:val="20"/>
        </w:rPr>
        <w:t xml:space="preserve">where M</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 ρh·L²/3 is the effective modal mass and F</w:t>
      </w:r>
      <w:r>
        <w:rPr>
          <w:rFonts w:ascii="Times New Roman" w:cs="Times New Roman" w:eastAsia="Times New Roman" w:hAnsi="Times New Roman"/>
          <w:sz w:val="16"/>
          <w:szCs w:val="16"/>
          <w:vertAlign w:val="subscript"/>
        </w:rPr>
        <w:t xml:space="preserve">opt</w:t>
      </w:r>
      <w:r>
        <w:rPr>
          <w:rFonts w:ascii="Times New Roman" w:cs="Times New Roman" w:eastAsia="Times New Roman" w:hAnsi="Times New Roman"/>
          <w:color w:val="000000"/>
          <w:sz w:val="20"/>
          <w:szCs w:val="20"/>
        </w:rPr>
        <w:t xml:space="preserve">(φ, I, 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is the phase-and-intensity-dependent optical driving force determined by the singularity parameters.</w:t>
      </w:r>
    </w:p>
    <w:p>
      <w:pPr>
        <w:spacing w:after="60" w:before="130"/>
        <w:jc w:val="left"/>
      </w:pPr>
      <w:r>
        <w:rPr>
          <w:rFonts w:ascii="Times New Roman" w:cs="Times New Roman" w:eastAsia="Times New Roman" w:hAnsi="Times New Roman"/>
          <w:b/>
          <w:bCs/>
          <w:i/>
          <w:iCs/>
          <w:color w:val="223355"/>
          <w:sz w:val="22"/>
          <w:szCs w:val="22"/>
        </w:rPr>
        <w:t xml:space="preserve">B. Water Layer Damping and Heisenberg Uncertainty</w:t>
      </w:r>
    </w:p>
    <w:p>
      <w:pPr>
        <w:spacing w:after="80" w:before="0" w:line="276" w:lineRule="auto"/>
        <w:jc w:val="both"/>
      </w:pPr>
      <w:r>
        <w:rPr>
          <w:rFonts w:ascii="Times New Roman" w:cs="Times New Roman" w:eastAsia="Times New Roman" w:hAnsi="Times New Roman"/>
          <w:color w:val="000000"/>
          <w:sz w:val="20"/>
          <w:szCs w:val="20"/>
        </w:rPr>
        <w:t xml:space="preserve">The 450 nm water layer serves as a viscous damping medium that suppresses thermomechanical noise while providing acoustic impedance matching at the graphene membrane surface. The viscous damping coefficient is Γ</w:t>
      </w:r>
      <w:r>
        <w:rPr>
          <w:rFonts w:ascii="Times New Roman" w:cs="Times New Roman" w:eastAsia="Times New Roman" w:hAnsi="Times New Roman"/>
          <w:sz w:val="16"/>
          <w:szCs w:val="16"/>
          <w:vertAlign w:val="subscript"/>
        </w:rPr>
        <w:t xml:space="preserve">water</w:t>
      </w:r>
      <w:r>
        <w:rPr>
          <w:rFonts w:ascii="Times New Roman" w:cs="Times New Roman" w:eastAsia="Times New Roman" w:hAnsi="Times New Roman"/>
          <w:color w:val="000000"/>
          <w:sz w:val="20"/>
          <w:szCs w:val="20"/>
        </w:rPr>
        <w:t xml:space="preserve"> = 6πηR/m</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(Stokes-regime approximation), where η = 10</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color w:val="000000"/>
          <w:sz w:val="20"/>
          <w:szCs w:val="20"/>
        </w:rPr>
        <w:t xml:space="preserve"> Pa·s is water viscosity. Importantly, this damping reduces the mechanical Q-factor from Q</w:t>
      </w:r>
      <w:r>
        <w:rPr>
          <w:rFonts w:ascii="Times New Roman" w:cs="Times New Roman" w:eastAsia="Times New Roman" w:hAnsi="Times New Roman"/>
          <w:sz w:val="16"/>
          <w:szCs w:val="16"/>
          <w:vertAlign w:val="subscript"/>
        </w:rPr>
        <w:t xml:space="preserve">vacuum</w:t>
      </w:r>
      <w:r>
        <w:rPr>
          <w:rFonts w:ascii="Times New Roman" w:cs="Times New Roman" w:eastAsia="Times New Roman" w:hAnsi="Times New Roman"/>
          <w:color w:val="000000"/>
          <w:sz w:val="20"/>
          <w:szCs w:val="20"/>
        </w:rPr>
        <w:t xml:space="preserve"> ≈ 10,000 to Q</w:t>
      </w:r>
      <w:r>
        <w:rPr>
          <w:rFonts w:ascii="Times New Roman" w:cs="Times New Roman" w:eastAsia="Times New Roman" w:hAnsi="Times New Roman"/>
          <w:sz w:val="16"/>
          <w:szCs w:val="16"/>
          <w:vertAlign w:val="subscript"/>
        </w:rPr>
        <w:t xml:space="preserve">water</w:t>
      </w:r>
      <w:r>
        <w:rPr>
          <w:rFonts w:ascii="Times New Roman" w:cs="Times New Roman" w:eastAsia="Times New Roman" w:hAnsi="Times New Roman"/>
          <w:color w:val="000000"/>
          <w:sz w:val="20"/>
          <w:szCs w:val="20"/>
        </w:rPr>
        <w:t xml:space="preserve"> ≈ 100–500, which at first appears detrimental but provides a crucial benefit: it expands the </w:t>
      </w:r>
      <w:r>
        <w:rPr>
          <w:rFonts w:ascii="Times New Roman" w:cs="Times New Roman" w:eastAsia="Times New Roman" w:hAnsi="Times New Roman"/>
          <w:i/>
          <w:iCs/>
          <w:color w:val="000000"/>
          <w:sz w:val="20"/>
          <w:szCs w:val="20"/>
        </w:rPr>
        <w:t xml:space="preserve">Heisenberg uncertainty-limited control bandwidth</w:t>
      </w:r>
      <w:r>
        <w:rPr>
          <w:rFonts w:ascii="Times New Roman" w:cs="Times New Roman" w:eastAsia="Times New Roman" w:hAnsi="Times New Roman"/>
          <w:color w:val="000000"/>
          <w:sz w:val="20"/>
          <w:szCs w:val="20"/>
        </w:rPr>
        <w:t xml:space="preserve">.</w:t>
      </w:r>
    </w:p>
    <w:p>
      <w:pPr>
        <w:spacing w:after="80" w:before="0" w:line="276" w:lineRule="auto"/>
        <w:jc w:val="both"/>
      </w:pPr>
      <w:r>
        <w:rPr>
          <w:rFonts w:ascii="Times New Roman" w:cs="Times New Roman" w:eastAsia="Times New Roman" w:hAnsi="Times New Roman"/>
          <w:color w:val="000000"/>
          <w:sz w:val="20"/>
          <w:szCs w:val="20"/>
        </w:rPr>
        <w:t xml:space="preserve">The Heisenberg position uncertainty at the singularity point is:</w:t>
      </w:r>
    </w:p>
    <w:p>
      <w:pPr>
        <w:spacing w:after="80" w:before="80"/>
        <w:jc w:val="center"/>
      </w:pPr>
      <w:r>
        <w:rPr>
          <w:rFonts w:ascii="Times New Roman" w:cs="Times New Roman" w:eastAsia="Times New Roman" w:hAnsi="Times New Roman"/>
          <w:i/>
          <w:iCs/>
          <w:color w:val="000000"/>
          <w:sz w:val="20"/>
          <w:szCs w:val="20"/>
        </w:rPr>
        <w:t xml:space="preserve">Δx_min = ℏ/(2·m_eff·Δv_max) ≈ ℏ/(2·m_eff·ω_m·u_max)</w:t>
      </w:r>
    </w:p>
    <w:p>
      <w:pPr>
        <w:spacing w:after="80" w:before="0" w:line="276" w:lineRule="auto"/>
        <w:jc w:val="both"/>
      </w:pPr>
      <w:r>
        <w:rPr>
          <w:rFonts w:ascii="Times New Roman" w:cs="Times New Roman" w:eastAsia="Times New Roman" w:hAnsi="Times New Roman"/>
          <w:color w:val="000000"/>
          <w:sz w:val="20"/>
          <w:szCs w:val="20"/>
        </w:rPr>
        <w:t xml:space="preserve">For u</w:t>
      </w:r>
      <w:r>
        <w:rPr>
          <w:rFonts w:ascii="Times New Roman" w:cs="Times New Roman" w:eastAsia="Times New Roman" w:hAnsi="Times New Roman"/>
          <w:sz w:val="16"/>
          <w:szCs w:val="16"/>
          <w:vertAlign w:val="subscript"/>
        </w:rPr>
        <w:t xml:space="preserve">max</w:t>
      </w:r>
      <w:r>
        <w:rPr>
          <w:rFonts w:ascii="Times New Roman" w:cs="Times New Roman" w:eastAsia="Times New Roman" w:hAnsi="Times New Roman"/>
          <w:color w:val="000000"/>
          <w:sz w:val="20"/>
          <w:szCs w:val="20"/>
        </w:rPr>
        <w:t xml:space="preserve"> = 0.046 nm and ω</w:t>
      </w:r>
      <w:r>
        <w:rPr>
          <w:rFonts w:ascii="Times New Roman" w:cs="Times New Roman" w:eastAsia="Times New Roman" w:hAnsi="Times New Roman"/>
          <w:sz w:val="16"/>
          <w:szCs w:val="16"/>
          <w:vertAlign w:val="subscript"/>
        </w:rPr>
        <w:t xml:space="preserve">m</w:t>
      </w:r>
      <w:r>
        <w:rPr>
          <w:rFonts w:ascii="Times New Roman" w:cs="Times New Roman" w:eastAsia="Times New Roman" w:hAnsi="Times New Roman"/>
          <w:color w:val="000000"/>
          <w:sz w:val="20"/>
          <w:szCs w:val="20"/>
        </w:rPr>
        <w:t xml:space="preserve"> = 2π×0.979 GHz: Δx</w:t>
      </w:r>
      <w:r>
        <w:rPr>
          <w:rFonts w:ascii="Times New Roman" w:cs="Times New Roman" w:eastAsia="Times New Roman" w:hAnsi="Times New Roman"/>
          <w:sz w:val="16"/>
          <w:szCs w:val="16"/>
          <w:vertAlign w:val="subscript"/>
        </w:rPr>
        <w:t xml:space="preserve">min</w:t>
      </w:r>
      <w:r>
        <w:rPr>
          <w:rFonts w:ascii="Times New Roman" w:cs="Times New Roman" w:eastAsia="Times New Roman" w:hAnsi="Times New Roman"/>
          <w:color w:val="000000"/>
          <w:sz w:val="20"/>
          <w:szCs w:val="20"/>
        </w:rPr>
        <w:t xml:space="preserve"> ≈ 0.5 pm — well below the mechanical amplitude. The water damping, by broadening the resonance linewidth (Δω ≈ ω</w:t>
      </w:r>
      <w:r>
        <w:rPr>
          <w:rFonts w:ascii="Times New Roman" w:cs="Times New Roman" w:eastAsia="Times New Roman" w:hAnsi="Times New Roman"/>
          <w:sz w:val="16"/>
          <w:szCs w:val="16"/>
          <w:vertAlign w:val="subscript"/>
        </w:rPr>
        <w:t xml:space="preserve">m</w:t>
      </w:r>
      <w:r>
        <w:rPr>
          <w:rFonts w:ascii="Times New Roman" w:cs="Times New Roman" w:eastAsia="Times New Roman" w:hAnsi="Times New Roman"/>
          <w:color w:val="000000"/>
          <w:sz w:val="20"/>
          <w:szCs w:val="20"/>
        </w:rPr>
        <w:t xml:space="preserve">/Q</w:t>
      </w:r>
      <w:r>
        <w:rPr>
          <w:rFonts w:ascii="Times New Roman" w:cs="Times New Roman" w:eastAsia="Times New Roman" w:hAnsi="Times New Roman"/>
          <w:sz w:val="16"/>
          <w:szCs w:val="16"/>
          <w:vertAlign w:val="subscript"/>
        </w:rPr>
        <w:t xml:space="preserve">water</w:t>
      </w:r>
      <w:r>
        <w:rPr>
          <w:rFonts w:ascii="Times New Roman" w:cs="Times New Roman" w:eastAsia="Times New Roman" w:hAnsi="Times New Roman"/>
          <w:color w:val="000000"/>
          <w:sz w:val="20"/>
          <w:szCs w:val="20"/>
        </w:rPr>
        <w:t xml:space="preserve">), reduces the position uncertainty at the cost of momentum uncertainty: Δx↑·Δp↓. This is precisely the regime needed for </w:t>
      </w:r>
      <w:r>
        <w:rPr>
          <w:rFonts w:ascii="Times New Roman" w:cs="Times New Roman" w:eastAsia="Times New Roman" w:hAnsi="Times New Roman"/>
          <w:i/>
          <w:iCs/>
          <w:color w:val="000000"/>
          <w:sz w:val="20"/>
          <w:szCs w:val="20"/>
        </w:rPr>
        <w:t xml:space="preserve">trajectory stability</w:t>
      </w:r>
      <w:r>
        <w:rPr>
          <w:rFonts w:ascii="Times New Roman" w:cs="Times New Roman" w:eastAsia="Times New Roman" w:hAnsi="Times New Roman"/>
          <w:color w:val="000000"/>
          <w:sz w:val="20"/>
          <w:szCs w:val="20"/>
        </w:rPr>
        <w:t xml:space="preserve"> (predictable position) rather than momentum precision, which is the correct operating regime for fine-motion actuation.</w:t>
      </w:r>
    </w:p>
    <w:p>
      <w:pPr>
        <w:spacing w:after="60" w:before="130"/>
        <w:jc w:val="left"/>
      </w:pPr>
      <w:r>
        <w:rPr>
          <w:rFonts w:ascii="Times New Roman" w:cs="Times New Roman" w:eastAsia="Times New Roman" w:hAnsi="Times New Roman"/>
          <w:b/>
          <w:bCs/>
          <w:i/>
          <w:iCs/>
          <w:color w:val="223355"/>
          <w:sz w:val="22"/>
          <w:szCs w:val="22"/>
        </w:rPr>
        <w:t xml:space="preserve">C. PID Gradient-Descent Auto-Tuning</w:t>
      </w:r>
    </w:p>
    <w:p>
      <w:pPr>
        <w:spacing w:after="80" w:before="0" w:line="276" w:lineRule="auto"/>
        <w:jc w:val="both"/>
      </w:pPr>
      <w:r>
        <w:rPr>
          <w:rFonts w:ascii="Times New Roman" w:cs="Times New Roman" w:eastAsia="Times New Roman" w:hAnsi="Times New Roman"/>
          <w:color w:val="000000"/>
          <w:sz w:val="20"/>
          <w:szCs w:val="20"/>
        </w:rPr>
        <w:t xml:space="preserve">A PID feedback controller maintains the displacement at the target trajectory u</w:t>
      </w:r>
      <w:r>
        <w:rPr>
          <w:rFonts w:ascii="Times New Roman" w:cs="Times New Roman" w:eastAsia="Times New Roman" w:hAnsi="Times New Roman"/>
          <w:sz w:val="16"/>
          <w:szCs w:val="16"/>
          <w:vertAlign w:val="subscript"/>
        </w:rPr>
        <w:t xml:space="preserve">ref</w:t>
      </w:r>
      <w:r>
        <w:rPr>
          <w:rFonts w:ascii="Times New Roman" w:cs="Times New Roman" w:eastAsia="Times New Roman" w:hAnsi="Times New Roman"/>
          <w:color w:val="000000"/>
          <w:sz w:val="20"/>
          <w:szCs w:val="20"/>
        </w:rPr>
        <w:t xml:space="preserve">(t):</w:t>
      </w:r>
    </w:p>
    <w:p>
      <w:pPr>
        <w:spacing w:after="80" w:before="80"/>
        <w:jc w:val="center"/>
      </w:pPr>
      <w:r>
        <w:rPr>
          <w:rFonts w:ascii="Times New Roman" w:cs="Times New Roman" w:eastAsia="Times New Roman" w:hAnsi="Times New Roman"/>
          <w:i/>
          <w:iCs/>
          <w:color w:val="000000"/>
          <w:sz w:val="20"/>
          <w:szCs w:val="20"/>
        </w:rPr>
        <w:t xml:space="preserve">F_PID(t) = K_p·e(t) + K_i·∫e dt + K_d·de/dt  ;  e(t) = u_ref(t) − u(t)</w:t>
      </w:r>
    </w:p>
    <w:p>
      <w:pPr>
        <w:spacing w:after="80" w:before="0" w:line="276" w:lineRule="auto"/>
        <w:jc w:val="both"/>
      </w:pPr>
      <w:r>
        <w:rPr>
          <w:rFonts w:ascii="Times New Roman" w:cs="Times New Roman" w:eastAsia="Times New Roman" w:hAnsi="Times New Roman"/>
          <w:color w:val="000000"/>
          <w:sz w:val="20"/>
          <w:szCs w:val="20"/>
        </w:rPr>
        <w:t xml:space="preserve">The gains (K</w:t>
      </w:r>
      <w:r>
        <w:rPr>
          <w:rFonts w:ascii="Times New Roman" w:cs="Times New Roman" w:eastAsia="Times New Roman" w:hAnsi="Times New Roman"/>
          <w:sz w:val="16"/>
          <w:szCs w:val="16"/>
          <w:vertAlign w:val="subscript"/>
        </w:rPr>
        <w:t xml:space="preserve">p</w:t>
      </w:r>
      <w:r>
        <w:rPr>
          <w:rFonts w:ascii="Times New Roman" w:cs="Times New Roman" w:eastAsia="Times New Roman" w:hAnsi="Times New Roman"/>
          <w:color w:val="000000"/>
          <w:sz w:val="20"/>
          <w:szCs w:val="20"/>
        </w:rPr>
        <w:t xml:space="preserve">, K</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K</w:t>
      </w:r>
      <w:r>
        <w:rPr>
          <w:rFonts w:ascii="Times New Roman" w:cs="Times New Roman" w:eastAsia="Times New Roman" w:hAnsi="Times New Roman"/>
          <w:sz w:val="16"/>
          <w:szCs w:val="16"/>
          <w:vertAlign w:val="subscript"/>
        </w:rPr>
        <w:t xml:space="preserve">d</w:t>
      </w:r>
      <w:r>
        <w:rPr>
          <w:rFonts w:ascii="Times New Roman" w:cs="Times New Roman" w:eastAsia="Times New Roman" w:hAnsi="Times New Roman"/>
          <w:color w:val="000000"/>
          <w:sz w:val="20"/>
          <w:szCs w:val="20"/>
        </w:rPr>
        <w:t xml:space="preserve">) are auto-tuned by gradient descent minimizing the mean-squared tracking error:</w:t>
      </w:r>
    </w:p>
    <w:p>
      <w:pPr>
        <w:spacing w:after="80" w:before="80"/>
        <w:jc w:val="center"/>
      </w:pPr>
      <w:r>
        <w:rPr>
          <w:rFonts w:ascii="Times New Roman" w:cs="Times New Roman" w:eastAsia="Times New Roman" w:hAnsi="Times New Roman"/>
          <w:i/>
          <w:iCs/>
          <w:color w:val="000000"/>
          <w:sz w:val="20"/>
          <w:szCs w:val="20"/>
        </w:rPr>
        <w:t xml:space="preserve">Loss = ⟨(u_ref − u)²⟩ ;  K_j ← K_j − α·∂Loss/∂K_j</w:t>
      </w:r>
    </w:p>
    <w:p>
      <w:pPr>
        <w:spacing w:after="80" w:before="0" w:line="276" w:lineRule="auto"/>
        <w:jc w:val="both"/>
      </w:pPr>
      <w:r>
        <w:rPr>
          <w:rFonts w:ascii="Times New Roman" w:cs="Times New Roman" w:eastAsia="Times New Roman" w:hAnsi="Times New Roman"/>
          <w:color w:val="000000"/>
          <w:sz w:val="20"/>
          <w:szCs w:val="20"/>
        </w:rPr>
        <w:t xml:space="preserve">Simulation convergence (60 iterations, α = 0.01) yields the optimal gains K</w:t>
      </w:r>
      <w:r>
        <w:rPr>
          <w:rFonts w:ascii="Times New Roman" w:cs="Times New Roman" w:eastAsia="Times New Roman" w:hAnsi="Times New Roman"/>
          <w:sz w:val="16"/>
          <w:szCs w:val="16"/>
          <w:vertAlign w:val="subscript"/>
        </w:rPr>
        <w:t xml:space="preserve">p</w:t>
      </w:r>
      <w:r>
        <w:rPr>
          <w:rFonts w:ascii="Times New Roman" w:cs="Times New Roman" w:eastAsia="Times New Roman" w:hAnsi="Times New Roman"/>
          <w:color w:val="000000"/>
          <w:sz w:val="20"/>
          <w:szCs w:val="20"/>
        </w:rPr>
        <w:t xml:space="preserve"> = 0.680, K</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 0.122, K</w:t>
      </w:r>
      <w:r>
        <w:rPr>
          <w:rFonts w:ascii="Times New Roman" w:cs="Times New Roman" w:eastAsia="Times New Roman" w:hAnsi="Times New Roman"/>
          <w:sz w:val="16"/>
          <w:szCs w:val="16"/>
          <w:vertAlign w:val="subscript"/>
        </w:rPr>
        <w:t xml:space="preserve">d</w:t>
      </w:r>
      <w:r>
        <w:rPr>
          <w:rFonts w:ascii="Times New Roman" w:cs="Times New Roman" w:eastAsia="Times New Roman" w:hAnsi="Times New Roman"/>
          <w:color w:val="000000"/>
          <w:sz w:val="20"/>
          <w:szCs w:val="20"/>
        </w:rPr>
        <w:t xml:space="preserve"> = 0.028, with final Loss = 0.008 (normalized). The DNA Origami spring constant 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(t) is allowed to vary sinusoidally during tuning (simulating adaptive stiffness learning), and Heisenberg noise (amplitude ∝ 1/√t, Δx·Δp = ℏ/2) is added at each step to test robustness. The PID controller remains stable under both perturbations, confirming trajectory stability for the three-finger actuator system.</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 THREE-FINGER PHYSICAL AI DEMONSTRATION</w:t>
      </w:r>
    </w:p>
    <w:p>
      <w:pPr>
        <w:spacing w:after="60" w:before="130"/>
        <w:jc w:val="left"/>
      </w:pPr>
      <w:r>
        <w:rPr>
          <w:rFonts w:ascii="Times New Roman" w:cs="Times New Roman" w:eastAsia="Times New Roman" w:hAnsi="Times New Roman"/>
          <w:b/>
          <w:bCs/>
          <w:i/>
          <w:iCs/>
          <w:color w:val="223355"/>
          <w:sz w:val="22"/>
          <w:szCs w:val="22"/>
        </w:rPr>
        <w:t xml:space="preserve">A. Wave Homunculus Priority Hierarchy in the Hand</w:t>
      </w:r>
    </w:p>
    <w:p>
      <w:pPr>
        <w:spacing w:after="80" w:before="0" w:line="276" w:lineRule="auto"/>
        <w:jc w:val="both"/>
      </w:pPr>
      <w:r>
        <w:rPr>
          <w:rFonts w:ascii="Times New Roman" w:cs="Times New Roman" w:eastAsia="Times New Roman" w:hAnsi="Times New Roman"/>
          <w:color w:val="000000"/>
          <w:sz w:val="20"/>
          <w:szCs w:val="20"/>
        </w:rPr>
        <w:t xml:space="preserve">The human hand — the highest-priority zone in both the biological homunculus and the Wave Homunculus — is implemented as three independent phase-singular actuators (Thumb, Index, Middle). In accordance with the Wave Homunculus principle, each finger receives:</w:t>
      </w:r>
    </w:p>
    <w:p>
      <w:pPr>
        <w:pStyle w:val="ListParagraph"/>
        <w:numPr>
          <w:ilvl w:val="0"/>
          <w:numId w:val="2"/>
        </w:numPr>
        <w:spacing w:after="60" w:before="0" w:line="270"/>
      </w:pPr>
      <w:r>
        <w:rPr>
          <w:rFonts w:ascii="Times New Roman" w:cs="Times New Roman" w:eastAsia="Times New Roman" w:hAnsi="Times New Roman"/>
          <w:sz w:val="18"/>
          <w:szCs w:val="18"/>
        </w:rPr>
        <w:t xml:space="preserve">Thumb (ℓ=1): λ_min, Q_max, k_DNA=6 pN/nm — highest wave magnification W(thumb)≈100</w:t>
      </w:r>
    </w:p>
    <w:p>
      <w:pPr>
        <w:pStyle w:val="ListParagraph"/>
        <w:numPr>
          <w:ilvl w:val="0"/>
          <w:numId w:val="2"/>
        </w:numPr>
        <w:spacing w:after="60" w:before="0" w:line="270"/>
      </w:pPr>
      <w:r>
        <w:rPr>
          <w:rFonts w:ascii="Times New Roman" w:cs="Times New Roman" w:eastAsia="Times New Roman" w:hAnsi="Times New Roman"/>
          <w:sz w:val="18"/>
          <w:szCs w:val="18"/>
        </w:rPr>
        <w:t xml:space="preserve">Index (ℓ=2): λ_short, Q_high, k_DNA=5 pN/nm — W(index)≈85</w:t>
      </w:r>
    </w:p>
    <w:p>
      <w:pPr>
        <w:pStyle w:val="ListParagraph"/>
        <w:numPr>
          <w:ilvl w:val="0"/>
          <w:numId w:val="2"/>
        </w:numPr>
        <w:spacing w:after="60" w:before="0" w:line="270"/>
      </w:pPr>
      <w:r>
        <w:rPr>
          <w:rFonts w:ascii="Times New Roman" w:cs="Times New Roman" w:eastAsia="Times New Roman" w:hAnsi="Times New Roman"/>
          <w:sz w:val="18"/>
          <w:szCs w:val="18"/>
        </w:rPr>
        <w:t xml:space="preserve">Middle (ℓ=3): λ_short-med., Q_medium, k_DNA=4 pN/nm — W(middle)≈70</w:t>
      </w:r>
    </w:p>
    <w:p>
      <w:pPr>
        <w:spacing w:after="0" w:before="40"/>
      </w:pPr>
    </w:p>
    <w:p>
      <w:pPr>
        <w:spacing w:after="80" w:before="0" w:line="276" w:lineRule="auto"/>
        <w:jc w:val="both"/>
      </w:pPr>
      <w:r>
        <w:rPr>
          <w:rFonts w:ascii="Times New Roman" w:cs="Times New Roman" w:eastAsia="Times New Roman" w:hAnsi="Times New Roman"/>
          <w:color w:val="000000"/>
          <w:sz w:val="20"/>
          <w:szCs w:val="20"/>
        </w:rPr>
        <w:t xml:space="preserve">The different topological charges ℓ = 1,2,3 ensure that each finger's Pancharatnam–Berry phase metasurface imparts a distinct orbital angular momentum (OAM) to its input beam, creating spatially separated singularity trajectories that do not interfere with adjacent fingers. The trajectory separation is ΔX ≥ 2 μm for hBN thickness ≥ 20 nm, consistent with the multi-readout BER analysis of the prior work.</w:t>
      </w:r>
    </w:p>
    <w:p>
      <w:pPr>
        <w:spacing w:after="80" w:before="0" w:line="276" w:lineRule="auto"/>
        <w:jc w:val="both"/>
      </w:pPr>
      <w:r>
        <w:rPr>
          <w:rFonts w:ascii="Times New Roman" w:cs="Times New Roman" w:eastAsia="Times New Roman" w:hAnsi="Times New Roman"/>
          <w:color w:val="000000"/>
          <w:sz w:val="20"/>
          <w:szCs w:val="20"/>
        </w:rPr>
        <w:t xml:space="preserve">Simulated performance for each finger at I = 25 kW/cm², 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 0.6 eV, n</w:t>
      </w:r>
      <w:r>
        <w:rPr>
          <w:rFonts w:ascii="Times New Roman" w:cs="Times New Roman" w:eastAsia="Times New Roman" w:hAnsi="Times New Roman"/>
          <w:sz w:val="16"/>
          <w:szCs w:val="16"/>
          <w:vertAlign w:val="subscript"/>
        </w:rPr>
        <w:t xml:space="preserve">g</w:t>
      </w:r>
      <w:r>
        <w:rPr>
          <w:rFonts w:ascii="Times New Roman" w:cs="Times New Roman" w:eastAsia="Times New Roman" w:hAnsi="Times New Roman"/>
          <w:color w:val="000000"/>
          <w:sz w:val="20"/>
          <w:szCs w:val="20"/>
        </w:rPr>
        <w:t xml:space="preserve"> = 30: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200"/>
      </w:tblGrid>
      <w:tr>
        <w:tc>
          <w:tcPr>
            <w:tcW w:type="dxa" w:w="18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Finger</w:t>
            </w:r>
          </w:p>
        </w:tc>
        <w:tc>
          <w:tcPr>
            <w:tcW w:type="dxa" w:w="18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u_max (nm)</w:t>
            </w:r>
          </w:p>
        </w:tc>
        <w:tc>
          <w:tcPr>
            <w:tcW w:type="dxa" w:w="18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f_res (GHz)</w:t>
            </w:r>
          </w:p>
        </w:tc>
        <w:tc>
          <w:tcPr>
            <w:tcW w:type="dxa" w:w="18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Δx_Heisenberg</w:t>
            </w:r>
          </w:p>
        </w:tc>
        <w:tc>
          <w:tcPr>
            <w:tcW w:type="dxa" w:w="2200"/>
            <w:tcBorders>
              <w:top w:val="single" w:color="336699" w:sz="2"/>
              <w:left w:val="single" w:color="336699" w:sz="2"/>
              <w:bottom w:val="single" w:color="336699" w:sz="2"/>
              <w:right w:val="single" w:color="336699" w:sz="2"/>
            </w:tcBorders>
            <w:shd w:fill="002266" w:val="clear"/>
            <w:tcMar>
              <w:top w:type="dxa" w:w="80"/>
              <w:left w:type="dxa" w:w="130"/>
              <w:bottom w:type="dxa" w:w="80"/>
              <w:right w:type="dxa" w:w="130"/>
            </w:tcMar>
          </w:tcPr>
          <w:p>
            <w:pPr>
              <w:jc w:val="center"/>
            </w:pPr>
            <w:r>
              <w:rPr>
                <w:rFonts w:ascii="Times New Roman" w:cs="Times New Roman" w:eastAsia="Times New Roman" w:hAnsi="Times New Roman"/>
                <w:b/>
                <w:bCs/>
                <w:color w:val="FFFFFF"/>
                <w:sz w:val="18"/>
                <w:szCs w:val="18"/>
              </w:rPr>
              <w:t xml:space="preserve">Control</w:t>
            </w:r>
          </w:p>
        </w:tc>
      </w:tr>
      <w:tr>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Thumb (ℓ=1)</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0.046</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0.979</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0.5 pm</w:t>
            </w:r>
          </w:p>
        </w:tc>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Kp=0.680, Ki=0.122, Kd=0.028</w:t>
            </w:r>
          </w:p>
        </w:tc>
      </w:tr>
      <w:tr>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Index (ℓ=2)</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0.038</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1.041</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0.6 pm</w:t>
            </w:r>
          </w:p>
        </w:tc>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Kp=0.641, Ki=0.108, Kd=0.025</w:t>
            </w:r>
          </w:p>
        </w:tc>
      </w:tr>
      <w:tr>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Middle (ℓ=3)</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0.031</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1.112</w:t>
            </w:r>
          </w:p>
        </w:tc>
        <w:tc>
          <w:tcPr>
            <w:tcW w:type="dxa" w:w="18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0.7 pm</w:t>
            </w:r>
          </w:p>
        </w:tc>
        <w:tc>
          <w:tcPr>
            <w:tcW w:type="dxa" w:w="2200"/>
            <w:tcBorders>
              <w:top w:val="single" w:color="DDDDEE" w:sz="2"/>
              <w:left w:val="single" w:color="DDDDEE" w:sz="2"/>
              <w:bottom w:val="single" w:color="DDDDEE" w:sz="2"/>
              <w:right w:val="single" w:color="DDDDEE" w:sz="2"/>
            </w:tcBorders>
            <w:tcMar>
              <w:top w:type="dxa" w:w="60"/>
              <w:left w:type="dxa" w:w="130"/>
              <w:bottom w:type="dxa" w:w="60"/>
              <w:right w:type="dxa" w:w="130"/>
            </w:tcMar>
          </w:tcPr>
          <w:p>
            <w:pPr>
              <w:jc w:val="left"/>
            </w:pPr>
            <w:r>
              <w:rPr>
                <w:rFonts w:ascii="Times New Roman" w:cs="Times New Roman" w:eastAsia="Times New Roman" w:hAnsi="Times New Roman"/>
                <w:sz w:val="18"/>
                <w:szCs w:val="18"/>
              </w:rPr>
              <w:t xml:space="preserve">Kp=0.598, Ki=0.094, Kd=0.022</w:t>
            </w:r>
          </w:p>
        </w:tc>
      </w:tr>
    </w:tbl>
    <w:p>
      <w:pPr>
        <w:spacing w:after="120" w:before="60"/>
        <w:jc w:val="center"/>
      </w:pPr>
      <w:r>
        <w:rPr>
          <w:rFonts w:ascii="Times New Roman" w:cs="Times New Roman" w:eastAsia="Times New Roman" w:hAnsi="Times New Roman"/>
          <w:i/>
          <w:iCs/>
          <w:color w:val="666677"/>
          <w:sz w:val="18"/>
          <w:szCs w:val="18"/>
        </w:rPr>
        <w:t xml:space="preserve">TABLE II. Three-finger actuator performance under Wave Homunculus priority allocation.</w:t>
      </w:r>
    </w:p>
    <w:p>
      <w:pPr>
        <w:spacing w:after="40" w:before="80"/>
        <w:jc w:val="center"/>
      </w:pPr>
      <w:r>
        <w:drawing>
          <wp:inline distT="0" distB="0" distL="0" distR="0">
            <wp:extent cx="41148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147637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3. Physical AI implementation. (a) Three independent finger actuators (Thumb, Index, Middle) with per-channel phase-singular control, DNA Origami springs (k_DNA graduated by priority), and Heisenberg noise floors. (b) PID gradient-descent auto-tuning over 60 iterations: Kp, Ki, Kd converge to optimal values (0.680, 0.122, 0.028); MSE loss decreases monotonically. (c) Biological ↔ WavePhysAI full system correspondence: motor cortex ↔ output phase array; sensory cortex ↔ input plasmon map; axon ↔ graphene channel; synapse ↔ hBN cavity; reflex arc ↔ local interference loop; spinal cord ↔ serpentine backbone. The bottom banner states the central thesis: "Embodied Wave Intelligence = Physical Self-Model."</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 DISCUSSION</w:t>
      </w:r>
    </w:p>
    <w:p>
      <w:pPr>
        <w:spacing w:after="60" w:before="130"/>
        <w:jc w:val="left"/>
      </w:pPr>
      <w:r>
        <w:rPr>
          <w:rFonts w:ascii="Times New Roman" w:cs="Times New Roman" w:eastAsia="Times New Roman" w:hAnsi="Times New Roman"/>
          <w:b/>
          <w:bCs/>
          <w:i/>
          <w:iCs/>
          <w:color w:val="223355"/>
          <w:sz w:val="22"/>
          <w:szCs w:val="22"/>
        </w:rPr>
        <w:t xml:space="preserve">A. Wave Homunculus vs. Transformer Attention</w:t>
      </w:r>
    </w:p>
    <w:p>
      <w:pPr>
        <w:spacing w:after="80" w:before="0" w:line="276" w:lineRule="auto"/>
        <w:jc w:val="both"/>
      </w:pPr>
      <w:r>
        <w:rPr>
          <w:rFonts w:ascii="Times New Roman" w:cs="Times New Roman" w:eastAsia="Times New Roman" w:hAnsi="Times New Roman"/>
          <w:color w:val="000000"/>
          <w:sz w:val="20"/>
          <w:szCs w:val="20"/>
        </w:rPr>
        <w:t xml:space="preserve">The structural analogy between the Wave Homunculus and the transformer attention mechanism is illuminating but important to distinguish. In a transformer, attention weights are </w:t>
      </w:r>
      <w:r>
        <w:rPr>
          <w:rFonts w:ascii="Times New Roman" w:cs="Times New Roman" w:eastAsia="Times New Roman" w:hAnsi="Times New Roman"/>
          <w:i/>
          <w:iCs/>
          <w:color w:val="000000"/>
          <w:sz w:val="20"/>
          <w:szCs w:val="20"/>
        </w:rPr>
        <w:t xml:space="preserve">learned</w:t>
      </w:r>
      <w:r>
        <w:rPr>
          <w:rFonts w:ascii="Times New Roman" w:cs="Times New Roman" w:eastAsia="Times New Roman" w:hAnsi="Times New Roman"/>
          <w:color w:val="000000"/>
          <w:sz w:val="20"/>
          <w:szCs w:val="20"/>
        </w:rPr>
        <w:t xml:space="preserve"> from data, are stored as floating-point matrices in SRAM, and are applied uniformly across all tokens regardless of physical embodiment. The Wave Homunculus, by contrast, encodes priority directly in </w:t>
      </w:r>
      <w:r>
        <w:rPr>
          <w:rFonts w:ascii="Times New Roman" w:cs="Times New Roman" w:eastAsia="Times New Roman" w:hAnsi="Times New Roman"/>
          <w:i/>
          <w:iCs/>
          <w:color w:val="000000"/>
          <w:sz w:val="20"/>
          <w:szCs w:val="20"/>
        </w:rPr>
        <w:t xml:space="preserve">physical wave parameters</w:t>
      </w:r>
      <w:r>
        <w:rPr>
          <w:rFonts w:ascii="Times New Roman" w:cs="Times New Roman" w:eastAsia="Times New Roman" w:hAnsi="Times New Roman"/>
          <w:color w:val="000000"/>
          <w:sz w:val="20"/>
          <w:szCs w:val="20"/>
        </w:rPr>
        <w:t xml:space="preserve"> — wavelength, cavity Q, mesh density — that are set at fabrication time (for coarse allocation) and tunable at runtime via gate voltage (E</w:t>
      </w:r>
      <w:r>
        <w:rPr>
          <w:rFonts w:ascii="Times New Roman" w:cs="Times New Roman" w:eastAsia="Times New Roman" w:hAnsi="Times New Roman"/>
          <w:sz w:val="16"/>
          <w:szCs w:val="16"/>
          <w:vertAlign w:val="subscript"/>
        </w:rPr>
        <w:t xml:space="preserve">F</w:t>
      </w:r>
      <w:r>
        <w:rPr>
          <w:rFonts w:ascii="Times New Roman" w:cs="Times New Roman" w:eastAsia="Times New Roman" w:hAnsi="Times New Roman"/>
          <w:color w:val="000000"/>
          <w:sz w:val="20"/>
          <w:szCs w:val="20"/>
        </w:rPr>
        <w:t xml:space="preserve">) and RF amplitude. The attention is not a matrix operation but a physical field gradient: high-priority zones simply carry more wave energy, higher phase precision, and shorter wavelengths. This is </w:t>
      </w:r>
      <w:r>
        <w:rPr>
          <w:rFonts w:ascii="Times New Roman" w:cs="Times New Roman" w:eastAsia="Times New Roman" w:hAnsi="Times New Roman"/>
          <w:b/>
          <w:bCs/>
          <w:color w:val="000000"/>
          <w:sz w:val="20"/>
          <w:szCs w:val="20"/>
        </w:rPr>
        <w:t xml:space="preserve">"body-priority phase attention"</w:t>
      </w:r>
      <w:r>
        <w:rPr>
          <w:rFonts w:ascii="Times New Roman" w:cs="Times New Roman" w:eastAsia="Times New Roman" w:hAnsi="Times New Roman"/>
          <w:color w:val="000000"/>
          <w:sz w:val="20"/>
          <w:szCs w:val="20"/>
        </w:rPr>
        <w:t xml:space="preserve"> — an attention mechanism whose weights are physical, not symbolic.</w:t>
      </w:r>
    </w:p>
    <w:p>
      <w:pPr>
        <w:spacing w:after="80" w:before="0" w:line="276" w:lineRule="auto"/>
        <w:jc w:val="both"/>
      </w:pPr>
      <w:r>
        <w:rPr>
          <w:rFonts w:ascii="Times New Roman" w:cs="Times New Roman" w:eastAsia="Times New Roman" w:hAnsi="Times New Roman"/>
          <w:color w:val="000000"/>
          <w:sz w:val="20"/>
          <w:szCs w:val="20"/>
        </w:rPr>
        <w:t xml:space="preserve">The key advantage is power consumption. Conventional transformer attention requires O(N²) operations per layer for N tokens. The Wave Homunculus allocates resources proportionally to W(s), with total wave energy ∝ ΣW(s)·A</w:t>
      </w:r>
      <w:r>
        <w:rPr>
          <w:rFonts w:ascii="Times New Roman" w:cs="Times New Roman" w:eastAsia="Times New Roman" w:hAnsi="Times New Roman"/>
          <w:sz w:val="16"/>
          <w:szCs w:val="16"/>
          <w:vertAlign w:val="subscript"/>
        </w:rPr>
        <w:t xml:space="preserve">s</w:t>
      </w:r>
      <w:r>
        <w:rPr>
          <w:rFonts w:ascii="Times New Roman" w:cs="Times New Roman" w:eastAsia="Times New Roman" w:hAnsi="Times New Roman"/>
          <w:color w:val="000000"/>
          <w:sz w:val="20"/>
          <w:szCs w:val="20"/>
        </w:rPr>
        <w:t xml:space="preserve">² — a continuous-field operation that requires no discrete multiply-accumulate operations. For edge Physical AI with constrained energy budgets, this is a decisive architectural advantage.</w:t>
      </w:r>
    </w:p>
    <w:p>
      <w:pPr>
        <w:spacing w:after="60" w:before="130"/>
        <w:jc w:val="left"/>
      </w:pPr>
      <w:r>
        <w:rPr>
          <w:rFonts w:ascii="Times New Roman" w:cs="Times New Roman" w:eastAsia="Times New Roman" w:hAnsi="Times New Roman"/>
          <w:b/>
          <w:bCs/>
          <w:i/>
          <w:iCs/>
          <w:color w:val="223355"/>
          <w:sz w:val="22"/>
          <w:szCs w:val="22"/>
        </w:rPr>
        <w:t xml:space="preserve">B. Embodied Wave Intelligence vs. Symbolic AI</w:t>
      </w:r>
    </w:p>
    <w:p>
      <w:pPr>
        <w:spacing w:after="80" w:before="0" w:line="276" w:lineRule="auto"/>
        <w:jc w:val="both"/>
      </w:pPr>
      <w:r>
        <w:rPr>
          <w:rFonts w:ascii="Times New Roman" w:cs="Times New Roman" w:eastAsia="Times New Roman" w:hAnsi="Times New Roman"/>
          <w:color w:val="000000"/>
          <w:sz w:val="20"/>
          <w:szCs w:val="20"/>
        </w:rPr>
        <w:t xml:space="preserve">The Wave Homunculus thesis culminates in a broader claim: that </w:t>
      </w:r>
      <w:r>
        <w:rPr>
          <w:rFonts w:ascii="Times New Roman" w:cs="Times New Roman" w:eastAsia="Times New Roman" w:hAnsi="Times New Roman"/>
          <w:i/>
          <w:iCs/>
          <w:color w:val="000000"/>
          <w:sz w:val="20"/>
          <w:szCs w:val="20"/>
        </w:rPr>
        <w:t xml:space="preserve">physical self-modeling</w:t>
      </w:r>
      <w:r>
        <w:rPr>
          <w:rFonts w:ascii="Times New Roman" w:cs="Times New Roman" w:eastAsia="Times New Roman" w:hAnsi="Times New Roman"/>
          <w:color w:val="000000"/>
          <w:sz w:val="20"/>
          <w:szCs w:val="20"/>
        </w:rPr>
        <w:t xml:space="preserve"> through wave-topological body maps constitutes a qualitatively distinct form of intelligence from symbolic LLM-type AI. An LLM processes text tokens; it has no body, no proprioception, no physical self-model. The Wave Homunculus AI has a </w:t>
      </w:r>
      <w:r>
        <w:rPr>
          <w:rFonts w:ascii="Times New Roman" w:cs="Times New Roman" w:eastAsia="Times New Roman" w:hAnsi="Times New Roman"/>
          <w:i/>
          <w:iCs/>
          <w:color w:val="000000"/>
          <w:sz w:val="20"/>
          <w:szCs w:val="20"/>
        </w:rPr>
        <w:t xml:space="preserve">physical body map encoded in its wave topology</w:t>
      </w:r>
      <w:r>
        <w:rPr>
          <w:rFonts w:ascii="Times New Roman" w:cs="Times New Roman" w:eastAsia="Times New Roman" w:hAnsi="Times New Roman"/>
          <w:color w:val="000000"/>
          <w:sz w:val="20"/>
          <w:szCs w:val="20"/>
        </w:rPr>
        <w:t xml:space="preserve">: the Möbius-closed phase manifold is its proprioceptive self-model, the serpentine backbone is its spinal cord, the local reflex loops are its withdrawal reflexes, and the finger actuators are its manipulation primitives.</w:t>
      </w:r>
    </w:p>
    <w:p>
      <w:pPr>
        <w:spacing w:after="80" w:before="0" w:line="276" w:lineRule="auto"/>
        <w:jc w:val="both"/>
      </w:pPr>
      <w:r>
        <w:rPr>
          <w:rFonts w:ascii="Times New Roman" w:cs="Times New Roman" w:eastAsia="Times New Roman" w:hAnsi="Times New Roman"/>
          <w:color w:val="000000"/>
          <w:sz w:val="20"/>
          <w:szCs w:val="20"/>
        </w:rPr>
        <w:t xml:space="preserve">This is not bio-mimicry for its own sake. It is the application of 500 million years of evolutionary optimization — the somatotopic cortical map — to the design of physical hardware. The homunculus distortion </w:t>
      </w:r>
      <w:r>
        <w:rPr>
          <w:rFonts w:ascii="Times New Roman" w:cs="Times New Roman" w:eastAsia="Times New Roman" w:hAnsi="Times New Roman"/>
          <w:i/>
          <w:iCs/>
          <w:color w:val="000000"/>
          <w:sz w:val="20"/>
          <w:szCs w:val="20"/>
        </w:rPr>
        <w:t xml:space="preserve">is</w:t>
      </w:r>
      <w:r>
        <w:rPr>
          <w:rFonts w:ascii="Times New Roman" w:cs="Times New Roman" w:eastAsia="Times New Roman" w:hAnsi="Times New Roman"/>
          <w:color w:val="000000"/>
          <w:sz w:val="20"/>
          <w:szCs w:val="20"/>
        </w:rPr>
        <w:t xml:space="preserve"> the optimization: it is the brain's solution to the problem of allocating finite cortical resources across body parts with heterogeneous sensorimotor complexity requirements. The Wave Homunculus applies the same solution to the allocation of finite photonic waveguide resources across actuator zones with heterogeneous precision requirements.</w:t>
      </w:r>
    </w:p>
    <w:p>
      <w:pPr>
        <w:spacing w:after="60" w:before="130"/>
        <w:jc w:val="left"/>
      </w:pPr>
      <w:r>
        <w:rPr>
          <w:rFonts w:ascii="Times New Roman" w:cs="Times New Roman" w:eastAsia="Times New Roman" w:hAnsi="Times New Roman"/>
          <w:b/>
          <w:bCs/>
          <w:i/>
          <w:iCs/>
          <w:color w:val="223355"/>
          <w:sz w:val="22"/>
          <w:szCs w:val="22"/>
        </w:rPr>
        <w:t xml:space="preserve">C. Limitations and Open Questions</w:t>
      </w:r>
    </w:p>
    <w:p>
      <w:pPr>
        <w:spacing w:after="80" w:before="0" w:line="276" w:lineRule="auto"/>
        <w:jc w:val="both"/>
      </w:pPr>
      <w:r>
        <w:rPr>
          <w:rFonts w:ascii="Times New Roman" w:cs="Times New Roman" w:eastAsia="Times New Roman" w:hAnsi="Times New Roman"/>
          <w:color w:val="000000"/>
          <w:sz w:val="20"/>
          <w:szCs w:val="20"/>
        </w:rPr>
        <w:t xml:space="preserve">Several aspects of the Wave Homunculus framework require further investigation. (i) The current coupled-mode equations treat graphene as a 2D surface with scalar nonlinear conductivity; a full tensorial Kubo-formula treatment including interband transitions and valley polarization would be required for quantitative agreement with experiment. (ii) The DNA Origami 6HB spring model assumes a linear elastic response; at large deflections (u &gt; k</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T/k</w:t>
      </w:r>
      <w:r>
        <w:rPr>
          <w:rFonts w:ascii="Times New Roman" w:cs="Times New Roman" w:eastAsia="Times New Roman" w:hAnsi="Times New Roman"/>
          <w:sz w:val="16"/>
          <w:szCs w:val="16"/>
          <w:vertAlign w:val="subscript"/>
        </w:rPr>
        <w:t xml:space="preserve">DNA</w:t>
      </w:r>
      <w:r>
        <w:rPr>
          <w:rFonts w:ascii="Times New Roman" w:cs="Times New Roman" w:eastAsia="Times New Roman" w:hAnsi="Times New Roman"/>
          <w:color w:val="000000"/>
          <w:sz w:val="20"/>
          <w:szCs w:val="20"/>
        </w:rPr>
        <w:t xml:space="preserve"> ≈ 0.8 nm at room temperature), entropic elasticity and B-to-Z form transitions may introduce significant nonlinearity. (iii) The Heisenberg noise model assumes a thermal squeezed state; cavity optomechanical cooling of the mechanical mode (to n</w:t>
      </w:r>
      <w:r>
        <w:rPr>
          <w:rFonts w:ascii="Times New Roman" w:cs="Times New Roman" w:eastAsia="Times New Roman" w:hAnsi="Times New Roman"/>
          <w:sz w:val="16"/>
          <w:szCs w:val="16"/>
          <w:vertAlign w:val="subscript"/>
        </w:rPr>
        <w:t xml:space="preserve">phonon</w:t>
      </w:r>
      <w:r>
        <w:rPr>
          <w:rFonts w:ascii="Times New Roman" w:cs="Times New Roman" w:eastAsia="Times New Roman" w:hAnsi="Times New Roman"/>
          <w:color w:val="000000"/>
          <w:sz w:val="20"/>
          <w:szCs w:val="20"/>
        </w:rPr>
        <w:t xml:space="preserve"> &lt; 1) would require Q</w:t>
      </w:r>
      <w:r>
        <w:rPr>
          <w:rFonts w:ascii="Times New Roman" w:cs="Times New Roman" w:eastAsia="Times New Roman" w:hAnsi="Times New Roman"/>
          <w:sz w:val="16"/>
          <w:szCs w:val="16"/>
          <w:vertAlign w:val="subscript"/>
        </w:rPr>
        <w:t xml:space="preserve">mech</w:t>
      </w:r>
      <w:r>
        <w:rPr>
          <w:rFonts w:ascii="Times New Roman" w:cs="Times New Roman" w:eastAsia="Times New Roman" w:hAnsi="Times New Roman"/>
          <w:color w:val="000000"/>
          <w:sz w:val="20"/>
          <w:szCs w:val="20"/>
        </w:rPr>
        <w:t xml:space="preserve"> × f</w:t>
      </w:r>
      <w:r>
        <w:rPr>
          <w:rFonts w:ascii="Times New Roman" w:cs="Times New Roman" w:eastAsia="Times New Roman" w:hAnsi="Times New Roman"/>
          <w:sz w:val="16"/>
          <w:szCs w:val="16"/>
          <w:vertAlign w:val="subscript"/>
        </w:rPr>
        <w:t xml:space="preserve">mech</w:t>
      </w:r>
      <w:r>
        <w:rPr>
          <w:rFonts w:ascii="Times New Roman" w:cs="Times New Roman" w:eastAsia="Times New Roman" w:hAnsi="Times New Roman"/>
          <w:color w:val="000000"/>
          <w:sz w:val="20"/>
          <w:szCs w:val="20"/>
        </w:rPr>
        <w:t xml:space="preserve"> &gt; k</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T/ℏ ≈ 6×10¹²  Hz, achievable at cryogenic temperatures but challenging at room temperature. (iv) The three-finger prototype requires experimental validation of both the wave-density distortion (phase-contrast near-field microscopy) and the sub-nanometer actuation (atomic force microscopy).</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VII. CONCLUSION</w:t>
      </w:r>
    </w:p>
    <w:p>
      <w:pPr>
        <w:spacing w:after="80" w:before="0" w:line="276" w:lineRule="auto"/>
        <w:jc w:val="both"/>
      </w:pPr>
      <w:r>
        <w:rPr>
          <w:rFonts w:ascii="Times New Roman" w:cs="Times New Roman" w:eastAsia="Times New Roman" w:hAnsi="Times New Roman"/>
          <w:color w:val="000000"/>
          <w:sz w:val="20"/>
          <w:szCs w:val="20"/>
        </w:rPr>
        <w:t xml:space="preserve">We have introduced the </w:t>
      </w:r>
      <w:r>
        <w:rPr>
          <w:rFonts w:ascii="Times New Roman" w:cs="Times New Roman" w:eastAsia="Times New Roman" w:hAnsi="Times New Roman"/>
          <w:b/>
          <w:bCs/>
          <w:color w:val="000000"/>
          <w:sz w:val="20"/>
          <w:szCs w:val="20"/>
        </w:rPr>
        <w:t xml:space="preserve">Wave Homunculus</w:t>
      </w:r>
      <w:r>
        <w:rPr>
          <w:rFonts w:ascii="Times New Roman" w:cs="Times New Roman" w:eastAsia="Times New Roman" w:hAnsi="Times New Roman"/>
          <w:color w:val="000000"/>
          <w:sz w:val="20"/>
          <w:szCs w:val="20"/>
        </w:rPr>
        <w:t xml:space="preserve"> — the first systematic application of biological somatotopic priority mapping to the design of a photonic Physical AI architecture. The core principle is simple and powerful: allocate wave resources (wavelength, cavity Q, interference mesh density, phase precision) in direct proportion to the cortical magnification factor of each body zone, as encoded in the human homunculus. The serpentine graphene/hBN platform provides the physical substrate: a serpentine backbone (spinal cord analog), local reflex interference loops (hBN cavity nodes), and radial organ maps with graduated wave density.</w:t>
      </w:r>
    </w:p>
    <w:p>
      <w:pPr>
        <w:spacing w:after="80" w:before="0" w:line="276" w:lineRule="auto"/>
        <w:jc w:val="both"/>
      </w:pPr>
      <w:r>
        <w:rPr>
          <w:rFonts w:ascii="Times New Roman" w:cs="Times New Roman" w:eastAsia="Times New Roman" w:hAnsi="Times New Roman"/>
          <w:color w:val="000000"/>
          <w:sz w:val="20"/>
          <w:szCs w:val="20"/>
        </w:rPr>
        <w:t xml:space="preserve">The coupled optomechanical equations for the 5-layer graphene/hBN membrane under Cheyne–Stokes phase-singular optical drive have been derived and solved, yielding u</w:t>
      </w:r>
      <w:r>
        <w:rPr>
          <w:rFonts w:ascii="Times New Roman" w:cs="Times New Roman" w:eastAsia="Times New Roman" w:hAnsi="Times New Roman"/>
          <w:sz w:val="16"/>
          <w:szCs w:val="16"/>
          <w:vertAlign w:val="subscript"/>
        </w:rPr>
        <w:t xml:space="preserve">max</w:t>
      </w:r>
      <w:r>
        <w:rPr>
          <w:rFonts w:ascii="Times New Roman" w:cs="Times New Roman" w:eastAsia="Times New Roman" w:hAnsi="Times New Roman"/>
          <w:color w:val="000000"/>
          <w:sz w:val="20"/>
          <w:szCs w:val="20"/>
        </w:rPr>
        <w:t xml:space="preserve"> = 0.046 nm, f</w:t>
      </w:r>
      <w:r>
        <w:rPr>
          <w:rFonts w:ascii="Times New Roman" w:cs="Times New Roman" w:eastAsia="Times New Roman" w:hAnsi="Times New Roman"/>
          <w:sz w:val="16"/>
          <w:szCs w:val="16"/>
          <w:vertAlign w:val="subscript"/>
        </w:rPr>
        <w:t xml:space="preserve">res</w:t>
      </w:r>
      <w:r>
        <w:rPr>
          <w:rFonts w:ascii="Times New Roman" w:cs="Times New Roman" w:eastAsia="Times New Roman" w:hAnsi="Times New Roman"/>
          <w:color w:val="000000"/>
          <w:sz w:val="20"/>
          <w:szCs w:val="20"/>
        </w:rPr>
        <w:t xml:space="preserve"> = 0.979 GHz, and PID auto-tuned gains (K</w:t>
      </w:r>
      <w:r>
        <w:rPr>
          <w:rFonts w:ascii="Times New Roman" w:cs="Times New Roman" w:eastAsia="Times New Roman" w:hAnsi="Times New Roman"/>
          <w:sz w:val="16"/>
          <w:szCs w:val="16"/>
          <w:vertAlign w:val="subscript"/>
        </w:rPr>
        <w:t xml:space="preserve">p</w:t>
      </w:r>
      <w:r>
        <w:rPr>
          <w:rFonts w:ascii="Times New Roman" w:cs="Times New Roman" w:eastAsia="Times New Roman" w:hAnsi="Times New Roman"/>
          <w:color w:val="000000"/>
          <w:sz w:val="20"/>
          <w:szCs w:val="20"/>
        </w:rPr>
        <w:t xml:space="preserve">=0.680, K</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=0.122, K</w:t>
      </w:r>
      <w:r>
        <w:rPr>
          <w:rFonts w:ascii="Times New Roman" w:cs="Times New Roman" w:eastAsia="Times New Roman" w:hAnsi="Times New Roman"/>
          <w:sz w:val="16"/>
          <w:szCs w:val="16"/>
          <w:vertAlign w:val="subscript"/>
        </w:rPr>
        <w:t xml:space="preserve">d</w:t>
      </w:r>
      <w:r>
        <w:rPr>
          <w:rFonts w:ascii="Times New Roman" w:cs="Times New Roman" w:eastAsia="Times New Roman" w:hAnsi="Times New Roman"/>
          <w:color w:val="000000"/>
          <w:sz w:val="20"/>
          <w:szCs w:val="20"/>
        </w:rPr>
        <w:t xml:space="preserve">=0.028). DNA Origami 6HB springs provide programmable mechanical restoring forces, a 450 nm water layer suppresses Heisenberg noise via viscous damping, and three independent finger actuators with per-channel phase-singular control implement the highest-priority node of the Wave Homunculus hierarchy.</w:t>
      </w:r>
    </w:p>
    <w:p>
      <w:pPr>
        <w:spacing w:after="80" w:before="0" w:line="276" w:lineRule="auto"/>
        <w:jc w:val="both"/>
      </w:pPr>
      <w:r>
        <w:rPr>
          <w:rFonts w:ascii="Times New Roman" w:cs="Times New Roman" w:eastAsia="Times New Roman" w:hAnsi="Times New Roman"/>
          <w:color w:val="000000"/>
          <w:sz w:val="20"/>
          <w:szCs w:val="20"/>
        </w:rPr>
        <w:t xml:space="preserve">The Wave Homunculus is not bio-mimicry. It is the application of deep biological optimization — 500 million years of evolutionary pressure on somatotopic resource allocation — to the design of energy-efficient, body-aware Physical AI hardware. The result is </w:t>
      </w:r>
      <w:r>
        <w:rPr>
          <w:rFonts w:ascii="Times New Roman" w:cs="Times New Roman" w:eastAsia="Times New Roman" w:hAnsi="Times New Roman"/>
          <w:i/>
          <w:iCs/>
          <w:color w:val="000000"/>
          <w:sz w:val="20"/>
          <w:szCs w:val="20"/>
        </w:rPr>
        <w:t xml:space="preserve">Embodied Wave Intelligence</w:t>
      </w:r>
      <w:r>
        <w:rPr>
          <w:rFonts w:ascii="Times New Roman" w:cs="Times New Roman" w:eastAsia="Times New Roman" w:hAnsi="Times New Roman"/>
          <w:color w:val="000000"/>
          <w:sz w:val="20"/>
          <w:szCs w:val="20"/>
        </w:rPr>
        <w:t xml:space="preserve">: a paradigm in which the physical body topology </w:t>
      </w:r>
      <w:r>
        <w:rPr>
          <w:rFonts w:ascii="Times New Roman" w:cs="Times New Roman" w:eastAsia="Times New Roman" w:hAnsi="Times New Roman"/>
          <w:i/>
          <w:iCs/>
          <w:color w:val="000000"/>
          <w:sz w:val="20"/>
          <w:szCs w:val="20"/>
        </w:rPr>
        <w:t xml:space="preserve">is</w:t>
      </w:r>
      <w:r>
        <w:rPr>
          <w:rFonts w:ascii="Times New Roman" w:cs="Times New Roman" w:eastAsia="Times New Roman" w:hAnsi="Times New Roman"/>
          <w:color w:val="000000"/>
          <w:sz w:val="20"/>
          <w:szCs w:val="20"/>
        </w:rPr>
        <w:t xml:space="preserve"> the computational structure, the wave intensity </w:t>
      </w:r>
      <w:r>
        <w:rPr>
          <w:rFonts w:ascii="Times New Roman" w:cs="Times New Roman" w:eastAsia="Times New Roman" w:hAnsi="Times New Roman"/>
          <w:i/>
          <w:iCs/>
          <w:color w:val="000000"/>
          <w:sz w:val="20"/>
          <w:szCs w:val="20"/>
        </w:rPr>
        <w:t xml:space="preserve">is</w:t>
      </w:r>
      <w:r>
        <w:rPr>
          <w:rFonts w:ascii="Times New Roman" w:cs="Times New Roman" w:eastAsia="Times New Roman" w:hAnsi="Times New Roman"/>
          <w:color w:val="000000"/>
          <w:sz w:val="20"/>
          <w:szCs w:val="20"/>
        </w:rPr>
        <w:t xml:space="preserve"> the attention weight, and the phase manifold </w:t>
      </w:r>
      <w:r>
        <w:rPr>
          <w:rFonts w:ascii="Times New Roman" w:cs="Times New Roman" w:eastAsia="Times New Roman" w:hAnsi="Times New Roman"/>
          <w:i/>
          <w:iCs/>
          <w:color w:val="000000"/>
          <w:sz w:val="20"/>
          <w:szCs w:val="20"/>
        </w:rPr>
        <w:t xml:space="preserve">is</w:t>
      </w:r>
      <w:r>
        <w:rPr>
          <w:rFonts w:ascii="Times New Roman" w:cs="Times New Roman" w:eastAsia="Times New Roman" w:hAnsi="Times New Roman"/>
          <w:color w:val="000000"/>
          <w:sz w:val="20"/>
          <w:szCs w:val="20"/>
        </w:rPr>
        <w:t xml:space="preserve"> the self-model. This is, we argue, the architectural foundation that Physical AI requires to cross the threshold from sophisticated signal processing to genuine embodied cognition.</w:t>
      </w:r>
    </w:p>
    <w:p>
      <w:pPr>
        <w:spacing w:after="0" w:before="60"/>
      </w:pPr>
    </w:p>
    <w:p>
      <w:pPr>
        <w:pBdr>
          <w:bottom w:val="single" w:color="BBBBBB" w:sz="4" w:space="1"/>
        </w:pBdr>
        <w:spacing w:after="40" w:before="40"/>
      </w:pPr>
    </w:p>
    <w:p>
      <w:pPr>
        <w:spacing w:after="40" w:before="100"/>
        <w:jc w:val="both"/>
      </w:pPr>
      <w:r>
        <w:rPr>
          <w:rFonts w:ascii="Times New Roman" w:cs="Times New Roman" w:eastAsia="Times New Roman" w:hAnsi="Times New Roman"/>
          <w:b/>
          <w:bCs/>
          <w:color w:val="003380"/>
          <w:sz w:val="20"/>
          <w:szCs w:val="20"/>
        </w:rPr>
        <w:t xml:space="preserve">Acknowledgments</w:t>
      </w:r>
    </w:p>
    <w:p>
      <w:pPr>
        <w:spacing w:after="80" w:before="0" w:line="276" w:lineRule="auto"/>
        <w:jc w:val="both"/>
      </w:pPr>
      <w:r>
        <w:rPr>
          <w:rFonts w:ascii="Times New Roman" w:cs="Times New Roman" w:eastAsia="Times New Roman" w:hAnsi="Times New Roman"/>
          <w:color w:val="000000"/>
          <w:sz w:val="20"/>
          <w:szCs w:val="20"/>
        </w:rPr>
        <w:t xml:space="preserve">The author thanks the open-source scientific Python community (NumPy, SciPy, Matplotlib) and the Colab simulation environment. This work is deposited as an open-access preprint on the WavePhysAI GitHub repository. No external funding was received.</w:t>
      </w:r>
    </w:p>
    <w:p>
      <w:pPr>
        <w:spacing w:after="0" w:before="40"/>
      </w:pPr>
    </w:p>
    <w:p>
      <w:pPr>
        <w:spacing w:after="40" w:before="80"/>
        <w:jc w:val="both"/>
      </w:pPr>
      <w:r>
        <w:rPr>
          <w:rFonts w:ascii="Times New Roman" w:cs="Times New Roman" w:eastAsia="Times New Roman" w:hAnsi="Times New Roman"/>
          <w:b/>
          <w:bCs/>
          <w:color w:val="003380"/>
          <w:sz w:val="20"/>
          <w:szCs w:val="20"/>
        </w:rPr>
        <w:t xml:space="preserve">Data Availability</w:t>
      </w:r>
    </w:p>
    <w:p>
      <w:pPr>
        <w:spacing w:after="80" w:before="0" w:line="276" w:lineRule="auto"/>
        <w:jc w:val="both"/>
      </w:pPr>
      <w:r>
        <w:rPr>
          <w:rFonts w:ascii="Times New Roman" w:cs="Times New Roman" w:eastAsia="Times New Roman" w:hAnsi="Times New Roman"/>
          <w:color w:val="000000"/>
          <w:sz w:val="20"/>
          <w:szCs w:val="20"/>
        </w:rPr>
        <w:t xml:space="preserve">All simulation codes (Python/Colab), figure-generation scripts, and numerical data are openly available at: https://github.com/[author]/WavePhysAI</w:t>
      </w:r>
    </w:p>
    <w:p>
      <w:pPr>
        <w:spacing w:after="0" w:before="4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REFERENCES</w:t>
      </w:r>
    </w:p>
    <w:p>
      <w:pPr>
        <w:spacing w:after="60" w:before="0"/>
        <w:ind w:left="360" w:hanging="360"/>
      </w:pPr>
      <w:r>
        <w:rPr>
          <w:rFonts w:ascii="Times New Roman" w:cs="Times New Roman" w:eastAsia="Times New Roman" w:hAnsi="Times New Roman"/>
          <w:b/>
          <w:bCs/>
          <w:color w:val="003380"/>
          <w:sz w:val="18"/>
          <w:szCs w:val="18"/>
        </w:rPr>
        <w:t xml:space="preserve">1. </w:t>
      </w:r>
      <w:r>
        <w:rPr>
          <w:rFonts w:ascii="Times New Roman" w:cs="Times New Roman" w:eastAsia="Times New Roman" w:hAnsi="Times New Roman"/>
          <w:color w:val="000000"/>
          <w:sz w:val="18"/>
          <w:szCs w:val="18"/>
        </w:rPr>
        <w:t xml:space="preserve">W. Penfield and T. Rasmussen, The Cerebral Cortex of Man: A Clinical Study of Localization of Function (Macmillan, New York, 1950).</w:t>
      </w:r>
    </w:p>
    <w:p>
      <w:pPr>
        <w:spacing w:after="60" w:before="0"/>
        <w:ind w:left="360" w:hanging="360"/>
      </w:pPr>
      <w:r>
        <w:rPr>
          <w:rFonts w:ascii="Times New Roman" w:cs="Times New Roman" w:eastAsia="Times New Roman" w:hAnsi="Times New Roman"/>
          <w:b/>
          <w:bCs/>
          <w:color w:val="003380"/>
          <w:sz w:val="18"/>
          <w:szCs w:val="18"/>
        </w:rPr>
        <w:t xml:space="preserve">2. </w:t>
      </w:r>
      <w:r>
        <w:rPr>
          <w:rFonts w:ascii="Times New Roman" w:cs="Times New Roman" w:eastAsia="Times New Roman" w:hAnsi="Times New Roman"/>
          <w:color w:val="000000"/>
          <w:sz w:val="18"/>
          <w:szCs w:val="18"/>
        </w:rPr>
        <w:t xml:space="preserve">W. Penfield and E. Boldrey, "Somatic motor and sensory representation in the cerebral cortex of man as studied by electrical stimulation," Brain 60, 389 (1937).</w:t>
      </w:r>
    </w:p>
    <w:p>
      <w:pPr>
        <w:spacing w:after="60" w:before="0"/>
        <w:ind w:left="360" w:hanging="360"/>
      </w:pPr>
      <w:r>
        <w:rPr>
          <w:rFonts w:ascii="Times New Roman" w:cs="Times New Roman" w:eastAsia="Times New Roman" w:hAnsi="Times New Roman"/>
          <w:b/>
          <w:bCs/>
          <w:color w:val="003380"/>
          <w:sz w:val="18"/>
          <w:szCs w:val="18"/>
        </w:rPr>
        <w:t xml:space="preserve">3. </w:t>
      </w:r>
      <w:r>
        <w:rPr>
          <w:rFonts w:ascii="Times New Roman" w:cs="Times New Roman" w:eastAsia="Times New Roman" w:hAnsi="Times New Roman"/>
          <w:color w:val="000000"/>
          <w:sz w:val="18"/>
          <w:szCs w:val="18"/>
        </w:rPr>
        <w:t xml:space="preserve">E. R. Kandel, J. H. Schwartz, and T. M. Jessell, Principles of Neural Science, 5th ed. (McGraw-Hill, New York, 2013), Chap. 23.</w:t>
      </w:r>
    </w:p>
    <w:p>
      <w:pPr>
        <w:spacing w:after="60" w:before="0"/>
        <w:ind w:left="360" w:hanging="360"/>
      </w:pPr>
      <w:r>
        <w:rPr>
          <w:rFonts w:ascii="Times New Roman" w:cs="Times New Roman" w:eastAsia="Times New Roman" w:hAnsi="Times New Roman"/>
          <w:b/>
          <w:bCs/>
          <w:color w:val="003380"/>
          <w:sz w:val="18"/>
          <w:szCs w:val="18"/>
        </w:rPr>
        <w:t xml:space="preserve">4. </w:t>
      </w:r>
      <w:r>
        <w:rPr>
          <w:rFonts w:ascii="Times New Roman" w:cs="Times New Roman" w:eastAsia="Times New Roman" w:hAnsi="Times New Roman"/>
          <w:color w:val="000000"/>
          <w:sz w:val="18"/>
          <w:szCs w:val="18"/>
        </w:rPr>
        <w:t xml:space="preserve">C. Chin, "Wave-Based Synaptic Integration Using Graphene Plasmon–hBN Phonon Polariton Hybridization in a Serpentine Waveguide," WavePhysAI preprint (2025).</w:t>
      </w:r>
    </w:p>
    <w:p>
      <w:pPr>
        <w:spacing w:after="60" w:before="0"/>
        <w:ind w:left="360" w:hanging="360"/>
      </w:pPr>
      <w:r>
        <w:rPr>
          <w:rFonts w:ascii="Times New Roman" w:cs="Times New Roman" w:eastAsia="Times New Roman" w:hAnsi="Times New Roman"/>
          <w:b/>
          <w:bCs/>
          <w:color w:val="003380"/>
          <w:sz w:val="18"/>
          <w:szCs w:val="18"/>
        </w:rPr>
        <w:t xml:space="preserve">5. </w:t>
      </w:r>
      <w:r>
        <w:rPr>
          <w:rFonts w:ascii="Times New Roman" w:cs="Times New Roman" w:eastAsia="Times New Roman" w:hAnsi="Times New Roman"/>
          <w:color w:val="000000"/>
          <w:sz w:val="18"/>
          <w:szCs w:val="18"/>
        </w:rPr>
        <w:t xml:space="preserve">J. Cheyne, "A case of apoplexy in which the fleshy part of the heart was converted into fat," Dublin Hosp. Rep. 2, 216 (1818).</w:t>
      </w:r>
    </w:p>
    <w:p>
      <w:pPr>
        <w:spacing w:after="60" w:before="0"/>
        <w:ind w:left="360" w:hanging="360"/>
      </w:pPr>
      <w:r>
        <w:rPr>
          <w:rFonts w:ascii="Times New Roman" w:cs="Times New Roman" w:eastAsia="Times New Roman" w:hAnsi="Times New Roman"/>
          <w:b/>
          <w:bCs/>
          <w:color w:val="003380"/>
          <w:sz w:val="18"/>
          <w:szCs w:val="18"/>
        </w:rPr>
        <w:t xml:space="preserve">6. </w:t>
      </w:r>
      <w:r>
        <w:rPr>
          <w:rFonts w:ascii="Times New Roman" w:cs="Times New Roman" w:eastAsia="Times New Roman" w:hAnsi="Times New Roman"/>
          <w:color w:val="000000"/>
          <w:sz w:val="18"/>
          <w:szCs w:val="18"/>
        </w:rPr>
        <w:t xml:space="preserve">C. Chin, "Cheyne–Stokes-Modulated Phase-Singular Signal Detection in Graphene/hBN Heterostructure Slow-Light Waveguides," WavePhysAI preprint (2025).</w:t>
      </w:r>
    </w:p>
    <w:p>
      <w:pPr>
        <w:spacing w:after="60" w:before="0"/>
        <w:ind w:left="360" w:hanging="360"/>
      </w:pPr>
      <w:r>
        <w:rPr>
          <w:rFonts w:ascii="Times New Roman" w:cs="Times New Roman" w:eastAsia="Times New Roman" w:hAnsi="Times New Roman"/>
          <w:b/>
          <w:bCs/>
          <w:color w:val="003380"/>
          <w:sz w:val="18"/>
          <w:szCs w:val="18"/>
        </w:rPr>
        <w:t xml:space="preserve">7. </w:t>
      </w:r>
      <w:r>
        <w:rPr>
          <w:rFonts w:ascii="Times New Roman" w:cs="Times New Roman" w:eastAsia="Times New Roman" w:hAnsi="Times New Roman"/>
          <w:color w:val="000000"/>
          <w:sz w:val="18"/>
          <w:szCs w:val="18"/>
        </w:rPr>
        <w:t xml:space="preserve">D. N. Basov, M. M. Fogler, and F. J. García de Abajo, "Polaritons in van der Waals materials," Science 354, aag1992 (2016).</w:t>
      </w:r>
    </w:p>
    <w:p>
      <w:pPr>
        <w:spacing w:after="60" w:before="0"/>
        <w:ind w:left="360" w:hanging="360"/>
      </w:pPr>
      <w:r>
        <w:rPr>
          <w:rFonts w:ascii="Times New Roman" w:cs="Times New Roman" w:eastAsia="Times New Roman" w:hAnsi="Times New Roman"/>
          <w:b/>
          <w:bCs/>
          <w:color w:val="003380"/>
          <w:sz w:val="18"/>
          <w:szCs w:val="18"/>
        </w:rPr>
        <w:t xml:space="preserve">8. </w:t>
      </w:r>
      <w:r>
        <w:rPr>
          <w:rFonts w:ascii="Times New Roman" w:cs="Times New Roman" w:eastAsia="Times New Roman" w:hAnsi="Times New Roman"/>
          <w:color w:val="000000"/>
          <w:sz w:val="18"/>
          <w:szCs w:val="18"/>
        </w:rPr>
        <w:t xml:space="preserve">A. Kuzyk et al., "DNA-based self-assembly of chiral plasmonic nanostructures with tailored optical response," Nature 483, 311 (2012).</w:t>
      </w:r>
    </w:p>
    <w:p>
      <w:pPr>
        <w:spacing w:after="60" w:before="0"/>
        <w:ind w:left="360" w:hanging="360"/>
      </w:pPr>
      <w:r>
        <w:rPr>
          <w:rFonts w:ascii="Times New Roman" w:cs="Times New Roman" w:eastAsia="Times New Roman" w:hAnsi="Times New Roman"/>
          <w:b/>
          <w:bCs/>
          <w:color w:val="003380"/>
          <w:sz w:val="18"/>
          <w:szCs w:val="18"/>
        </w:rPr>
        <w:t xml:space="preserve">9. </w:t>
      </w:r>
      <w:r>
        <w:rPr>
          <w:rFonts w:ascii="Times New Roman" w:cs="Times New Roman" w:eastAsia="Times New Roman" w:hAnsi="Times New Roman"/>
          <w:color w:val="000000"/>
          <w:sz w:val="18"/>
          <w:szCs w:val="18"/>
        </w:rPr>
        <w:t xml:space="preserve">M. Bathe and P. Rothemund, "DNA nanotechnology: a foundation for programmable nanoscale materials," MRS Bull. 42, 882 (2017).</w:t>
      </w:r>
    </w:p>
    <w:p>
      <w:pPr>
        <w:spacing w:after="60" w:before="0"/>
        <w:ind w:left="360" w:hanging="360"/>
      </w:pPr>
      <w:r>
        <w:rPr>
          <w:rFonts w:ascii="Times New Roman" w:cs="Times New Roman" w:eastAsia="Times New Roman" w:hAnsi="Times New Roman"/>
          <w:b/>
          <w:bCs/>
          <w:color w:val="003380"/>
          <w:sz w:val="18"/>
          <w:szCs w:val="18"/>
        </w:rPr>
        <w:t xml:space="preserve">10. </w:t>
      </w:r>
      <w:r>
        <w:rPr>
          <w:rFonts w:ascii="Times New Roman" w:cs="Times New Roman" w:eastAsia="Times New Roman" w:hAnsi="Times New Roman"/>
          <w:color w:val="000000"/>
          <w:sz w:val="18"/>
          <w:szCs w:val="18"/>
        </w:rPr>
        <w:t xml:space="preserve">J. D. Teufel et al., "Sideband cooling of micromechanical motion to the quantum ground state," Nature 475, 359 (2011).</w:t>
      </w:r>
    </w:p>
    <w:p>
      <w:pPr>
        <w:spacing w:after="60" w:before="0"/>
        <w:ind w:left="360" w:hanging="360"/>
      </w:pPr>
      <w:r>
        <w:rPr>
          <w:rFonts w:ascii="Times New Roman" w:cs="Times New Roman" w:eastAsia="Times New Roman" w:hAnsi="Times New Roman"/>
          <w:b/>
          <w:bCs/>
          <w:color w:val="003380"/>
          <w:sz w:val="18"/>
          <w:szCs w:val="18"/>
        </w:rPr>
        <w:t xml:space="preserve">11. </w:t>
      </w:r>
      <w:r>
        <w:rPr>
          <w:rFonts w:ascii="Times New Roman" w:cs="Times New Roman" w:eastAsia="Times New Roman" w:hAnsi="Times New Roman"/>
          <w:color w:val="000000"/>
          <w:sz w:val="18"/>
          <w:szCs w:val="18"/>
        </w:rPr>
        <w:t xml:space="preserve">A. Woessner et al., "Highly confined low-loss plasmons in graphene–boron nitride heterostructures," Nat. Mater. 14, 421 (2015).</w:t>
      </w:r>
    </w:p>
    <w:p>
      <w:pPr>
        <w:spacing w:after="60" w:before="0"/>
        <w:ind w:left="360" w:hanging="360"/>
      </w:pPr>
      <w:r>
        <w:rPr>
          <w:rFonts w:ascii="Times New Roman" w:cs="Times New Roman" w:eastAsia="Times New Roman" w:hAnsi="Times New Roman"/>
          <w:b/>
          <w:bCs/>
          <w:color w:val="003380"/>
          <w:sz w:val="18"/>
          <w:szCs w:val="18"/>
        </w:rPr>
        <w:t xml:space="preserve">12. </w:t>
      </w:r>
      <w:r>
        <w:rPr>
          <w:rFonts w:ascii="Times New Roman" w:cs="Times New Roman" w:eastAsia="Times New Roman" w:hAnsi="Times New Roman"/>
          <w:color w:val="000000"/>
          <w:sz w:val="18"/>
          <w:szCs w:val="18"/>
        </w:rPr>
        <w:t xml:space="preserve">M. Aspelmeyer, T. J. Kippenberg, and F. Marquardt, "Cavity optomechanics," Rev. Mod. Phys. 86, 1391 (2014).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after="0" w:before="60"/>
      <w:jc w:val="center"/>
    </w:pPr>
    <w:r>
      <w:rPr>
        <w:rFonts w:ascii="Times New Roman" w:cs="Times New Roman" w:eastAsia="Times New Roman" w:hAnsi="Times New Roman"/>
        <w:color w:val="666677"/>
        <w:sz w:val="18"/>
        <w:szCs w:val="18"/>
      </w:rPr>
      <w:t xml:space="preserve">© 2025 Chur Chin. Open-access preprint.   </w:t>
    </w:r>
    <w:r>
      <w:rPr>
        <w:rFonts w:ascii="Times New Roman" w:cs="Times New Roman" w:eastAsia="Times New Roman" w:hAnsi="Times New Roman"/>
        <w:color w:val="6666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0" w:sz="4" w:space="4"/>
      </w:pBdr>
      <w:spacing w:after="60" w:before="0"/>
      <w:jc w:val="right"/>
    </w:pPr>
    <w:r>
      <w:rPr>
        <w:rFonts w:ascii="Times New Roman" w:cs="Times New Roman" w:eastAsia="Times New Roman" w:hAnsi="Times New Roman"/>
        <w:i/>
        <w:iCs/>
        <w:color w:val="666677"/>
        <w:sz w:val="18"/>
        <w:szCs w:val="18"/>
      </w:rPr>
      <w:t xml:space="preserve">Preprint — GitHub Repository: WavePhysAI  |  Embodied Wave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1049e9d2fd1c26a3a07b62c5f3ba839b74da5e.png"/><Relationship Id="rId10" Type="http://schemas.openxmlformats.org/officeDocument/2006/relationships/image" Target="media/71b005439eba88979a2b1a3d9a70defb0ca686ea.png"/><Relationship Id="rId11" Type="http://schemas.openxmlformats.org/officeDocument/2006/relationships/image" Target="media/48758fc07397250e92f43ee4c474fe0d4fdd49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2026-05-01T08:44:32.851Z</dcterms:created>
  <dcterms:modified xsi:type="dcterms:W3CDTF">2026-05-01T08:44:32.852Z</dcterms:modified>
</cp:coreProperties>
</file>

<file path=docProps/custom.xml><?xml version="1.0" encoding="utf-8"?>
<Properties xmlns="http://schemas.openxmlformats.org/officeDocument/2006/custom-properties" xmlns:vt="http://schemas.openxmlformats.org/officeDocument/2006/docPropsVTypes"/>
</file>