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A</w:t>
      </w:r>
      <w:r>
        <w:t xml:space="preserve"> </w:t>
      </w:r>
      <w:r>
        <w:t xml:space="preserve">7</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A 7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A7 CoM has facilitated over 315 hours of activity for approximately 4791 people - an average of 26 hours per month. Activities coordinated by A7 CoM include:</w:t>
      </w:r>
    </w:p>
    <w:p>
      <w:pPr>
        <w:numPr>
          <w:ilvl w:val="0"/>
          <w:numId w:val="1001"/>
        </w:numPr>
      </w:pPr>
      <w:r>
        <w:t xml:space="preserve">Burnfoot Churches Together Messy Church: Palm Sunday</w:t>
      </w:r>
    </w:p>
    <w:p>
      <w:pPr>
        <w:numPr>
          <w:ilvl w:val="0"/>
          <w:numId w:val="1001"/>
        </w:numPr>
      </w:pPr>
      <w:r>
        <w:t xml:space="preserve">Burnfoot Easter Family Event</w:t>
      </w:r>
    </w:p>
    <w:p>
      <w:pPr>
        <w:numPr>
          <w:ilvl w:val="0"/>
          <w:numId w:val="1001"/>
        </w:numPr>
      </w:pPr>
      <w:r>
        <w:t xml:space="preserve">Burnfoot Hub Community Consultation Event</w:t>
      </w:r>
    </w:p>
    <w:p>
      <w:pPr>
        <w:numPr>
          <w:ilvl w:val="0"/>
          <w:numId w:val="1001"/>
        </w:numPr>
      </w:pPr>
      <w:r>
        <w:t xml:space="preserve">Burnfoot Churches Together: Carol Singing around the Burnfoot Estate</w:t>
      </w:r>
    </w:p>
    <w:p>
      <w:pPr>
        <w:numPr>
          <w:ilvl w:val="0"/>
          <w:numId w:val="1001"/>
        </w:numPr>
      </w:pPr>
      <w:r>
        <w:t xml:space="preserve">Burnfoot Hub Tattie Day</w:t>
      </w:r>
    </w:p>
    <w:p>
      <w:pPr>
        <w:numPr>
          <w:ilvl w:val="0"/>
          <w:numId w:val="1001"/>
        </w:numPr>
      </w:pPr>
      <w:r>
        <w:t xml:space="preserve">Burnfoot Churches Together: Harvest Celebration</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A7 CoM, including:</w:t>
      </w:r>
    </w:p>
    <w:p>
      <w:pPr>
        <w:numPr>
          <w:ilvl w:val="0"/>
          <w:numId w:val="1002"/>
        </w:numPr>
        <w:pStyle w:val="Compact"/>
      </w:pPr>
      <w:r>
        <w:t xml:space="preserve">There have been three requests to assist with the baptism of an infant.</w:t>
      </w:r>
    </w:p>
    <w:p>
      <w:pPr>
        <w:numPr>
          <w:ilvl w:val="0"/>
          <w:numId w:val="1002"/>
        </w:numPr>
        <w:pStyle w:val="Compact"/>
      </w:pPr>
      <w:r>
        <w:t xml:space="preserve">There has been one request for confirmation</w:t>
      </w:r>
    </w:p>
    <w:p>
      <w:pPr>
        <w:numPr>
          <w:ilvl w:val="0"/>
          <w:numId w:val="1002"/>
        </w:numPr>
        <w:pStyle w:val="Compact"/>
      </w:pPr>
      <w:r>
        <w:t xml:space="preserve">There have been two requests to assist with a funeral</w:t>
      </w:r>
    </w:p>
    <w:p>
      <w:pPr>
        <w:numPr>
          <w:ilvl w:val="0"/>
          <w:numId w:val="1002"/>
        </w:numPr>
        <w:pStyle w:val="Compact"/>
      </w:pPr>
      <w:r>
        <w:t xml:space="preserve">There are at least 69 people growing in faith</w:t>
      </w:r>
    </w:p>
    <w:p>
      <w:pPr>
        <w:numPr>
          <w:ilvl w:val="0"/>
          <w:numId w:val="1002"/>
        </w:numPr>
        <w:pStyle w:val="Compact"/>
      </w:pPr>
      <w:r>
        <w:t xml:space="preserve">There are at least 20 people actively exploring faith</w:t>
      </w:r>
    </w:p>
    <w:bookmarkStart w:id="23" w:name="food-provision"/>
    <w:p>
      <w:pPr>
        <w:pStyle w:val="Heading3"/>
      </w:pPr>
      <w:r>
        <w:t xml:space="preserve">Food provision</w:t>
      </w:r>
    </w:p>
    <w:p>
      <w:pPr>
        <w:pStyle w:val="FirstParagraph"/>
      </w:pPr>
      <w:r>
        <w:t xml:space="preserve">A7 CoM have provided 50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362"/>
        <w:gridCol w:w="884"/>
        <w:gridCol w:w="5672"/>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Burnfoot Food Share on Christmas Eve</w:t>
            </w:r>
          </w:p>
        </w:tc>
        <w:tc>
          <w:tcPr/>
          <w:p>
            <w:pPr>
              <w:pStyle w:val="Compact"/>
              <w:jc w:val="left"/>
            </w:pPr>
            <w:r>
              <w:t xml:space="preserve">50</w:t>
            </w:r>
          </w:p>
        </w:tc>
        <w:tc>
          <w:tcPr/>
          <w:p>
            <w:pPr>
              <w:pStyle w:val="Compact"/>
              <w:jc w:val="left"/>
            </w:pPr>
            <w:r>
              <w:t xml:space="preserve">Food donated by local supermarkets, bagged up and distributed for collection from the Hub. Each food bag contained the ingredients for a Christmas dinner</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381"/>
        <w:gridCol w:w="535"/>
        <w:gridCol w:w="5002"/>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ASDA donated £15,000 of surplus stock, brand new School Uniforms Free of Charge</w:t>
            </w:r>
          </w:p>
        </w:tc>
        <w:tc>
          <w:tcPr/>
          <w:p>
            <w:pPr>
              <w:pStyle w:val="Compact"/>
              <w:jc w:val="left"/>
            </w:pPr>
            <w:r>
              <w:t xml:space="preserve">400</w:t>
            </w:r>
          </w:p>
        </w:tc>
        <w:tc>
          <w:tcPr/>
          <w:p>
            <w:pPr>
              <w:pStyle w:val="Compact"/>
              <w:jc w:val="left"/>
            </w:pPr>
            <w:r>
              <w:t xml:space="preserve">Sorted and passed on to four schools in Hawick. A range of shirts, blouses, T-shirts, skirts, trousers, sports-wear, swimwear, coats, shoes, etc. etc. for each school.</w:t>
            </w:r>
          </w:p>
        </w:tc>
      </w:tr>
    </w:tbl>
    <w:bookmarkEnd w:id="24"/>
    <w:bookmarkStart w:id="25" w:name="volunteers"/>
    <w:p>
      <w:pPr>
        <w:pStyle w:val="Heading3"/>
      </w:pPr>
      <w:r>
        <w:t xml:space="preserve">Volunteers</w:t>
      </w:r>
    </w:p>
    <w:p>
      <w:pPr>
        <w:pStyle w:val="FirstParagraph"/>
      </w:pPr>
      <w:r>
        <w:t xml:space="preserve">There are 31 volunteers at A7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52%</w:t>
            </w:r>
          </w:p>
        </w:tc>
      </w:tr>
      <w:tr>
        <w:tc>
          <w:tcPr/>
          <w:p>
            <w:pPr>
              <w:pStyle w:val="Compact"/>
              <w:jc w:val="left"/>
            </w:pPr>
            <w:r>
              <w:t xml:space="preserve">Occasional church-goer</w:t>
            </w:r>
          </w:p>
        </w:tc>
        <w:tc>
          <w:tcPr/>
          <w:p>
            <w:pPr>
              <w:pStyle w:val="Compact"/>
              <w:jc w:val="left"/>
            </w:pPr>
            <w:r>
              <w:t xml:space="preserve">3%</w:t>
            </w:r>
          </w:p>
        </w:tc>
      </w:tr>
      <w:tr>
        <w:tc>
          <w:tcPr/>
          <w:p>
            <w:pPr>
              <w:pStyle w:val="Compact"/>
              <w:jc w:val="left"/>
            </w:pPr>
            <w:r>
              <w:t xml:space="preserve">Historical church-goer</w:t>
            </w:r>
          </w:p>
        </w:tc>
        <w:tc>
          <w:tcPr/>
          <w:p>
            <w:pPr>
              <w:pStyle w:val="Compact"/>
              <w:jc w:val="left"/>
            </w:pPr>
            <w:r>
              <w:t xml:space="preserve">3%</w:t>
            </w:r>
          </w:p>
        </w:tc>
      </w:tr>
      <w:tr>
        <w:tc>
          <w:tcPr/>
          <w:p>
            <w:pPr>
              <w:pStyle w:val="Compact"/>
              <w:jc w:val="left"/>
            </w:pPr>
            <w:r>
              <w:t xml:space="preserve">Never church-goer</w:t>
            </w:r>
          </w:p>
        </w:tc>
        <w:tc>
          <w:tcPr/>
          <w:p>
            <w:pPr>
              <w:pStyle w:val="Compact"/>
              <w:jc w:val="left"/>
            </w:pPr>
            <w:r>
              <w:t xml:space="preserve">42%</w:t>
            </w:r>
          </w:p>
        </w:tc>
      </w:tr>
    </w:tbl>
    <w:p>
      <w:r>
        <w:br w:type="page"/>
      </w:r>
    </w:p>
    <w:bookmarkEnd w:id="25"/>
    <w:bookmarkEnd w:id="26"/>
    <w:bookmarkStart w:id="46"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within the Centre of Mission’s area of operations is older than that of the wider diocese; one third of people local to the CoM are aged 60 years and older, compared to one quarter of people within the diocese. There are considerably fewer people between the ages of 20 and 44 local to the CoM than there are nationally or within the diocese.</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0-9 years old</w:t>
            </w:r>
          </w:p>
        </w:tc>
        <w:tc>
          <w:tcPr/>
          <w:p>
            <w:pPr>
              <w:pStyle w:val="Compact"/>
              <w:jc w:val="left"/>
            </w:pPr>
            <w:r>
              <w:t xml:space="preserve">9%</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10-19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16%</w:t>
            </w:r>
          </w:p>
        </w:tc>
        <w:tc>
          <w:tcPr/>
          <w:p>
            <w:pPr>
              <w:pStyle w:val="Compact"/>
              <w:jc w:val="left"/>
            </w:pPr>
            <w:r>
              <w:t xml:space="preserve">20%</w:t>
            </w:r>
          </w:p>
        </w:tc>
        <w:tc>
          <w:tcPr/>
          <w:p>
            <w:pPr>
              <w:pStyle w:val="Compact"/>
              <w:jc w:val="left"/>
            </w:pPr>
            <w:r>
              <w:t xml:space="preserve">19%</w:t>
            </w:r>
          </w:p>
        </w:tc>
      </w:tr>
      <w:tr>
        <w:tc>
          <w:tcPr/>
          <w:p>
            <w:pPr>
              <w:pStyle w:val="Compact"/>
              <w:jc w:val="left"/>
            </w:pPr>
            <w:r>
              <w:t xml:space="preserve">45-59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21%</w:t>
            </w:r>
          </w:p>
        </w:tc>
      </w:tr>
      <w:tr>
        <w:tc>
          <w:tcPr/>
          <w:p>
            <w:pPr>
              <w:pStyle w:val="Compact"/>
              <w:jc w:val="left"/>
            </w:pPr>
            <w:r>
              <w:t xml:space="preserve">60-69 years old</w:t>
            </w:r>
          </w:p>
        </w:tc>
        <w:tc>
          <w:tcPr/>
          <w:p>
            <w:pPr>
              <w:pStyle w:val="Compact"/>
              <w:jc w:val="left"/>
            </w:pPr>
            <w:r>
              <w:t xml:space="preserve">15%</w:t>
            </w:r>
          </w:p>
        </w:tc>
        <w:tc>
          <w:tcPr/>
          <w:p>
            <w:pPr>
              <w:pStyle w:val="Compact"/>
              <w:jc w:val="left"/>
            </w:pPr>
            <w:r>
              <w:t xml:space="preserve">12%</w:t>
            </w:r>
          </w:p>
        </w:tc>
        <w:tc>
          <w:tcPr/>
          <w:p>
            <w:pPr>
              <w:pStyle w:val="Compact"/>
              <w:jc w:val="left"/>
            </w:pPr>
            <w:r>
              <w:t xml:space="preserve">13%</w:t>
            </w:r>
          </w:p>
        </w:tc>
      </w:tr>
      <w:tr>
        <w:tc>
          <w:tcPr/>
          <w:p>
            <w:pPr>
              <w:pStyle w:val="Compact"/>
              <w:jc w:val="left"/>
            </w:pPr>
            <w:r>
              <w:t xml:space="preserve">70+ years old</w:t>
            </w:r>
          </w:p>
        </w:tc>
        <w:tc>
          <w:tcPr/>
          <w:p>
            <w:pPr>
              <w:pStyle w:val="Compact"/>
              <w:jc w:val="left"/>
            </w:pPr>
            <w:r>
              <w:t xml:space="preserve">18%</w:t>
            </w:r>
          </w:p>
        </w:tc>
        <w:tc>
          <w:tcPr/>
          <w:p>
            <w:pPr>
              <w:pStyle w:val="Compact"/>
              <w:jc w:val="left"/>
            </w:pPr>
            <w:r>
              <w:t xml:space="preserve">13%</w:t>
            </w:r>
          </w:p>
        </w:tc>
        <w:tc>
          <w:tcPr/>
          <w:p>
            <w:pPr>
              <w:pStyle w:val="Compact"/>
              <w:jc w:val="left"/>
            </w:pPr>
            <w:r>
              <w:t xml:space="preserve">14%</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CoM’s area of operations is home to a population who are 98% white. This is 9 percentage points higher than the diocese, in which the representation of different ethnic groups more closely resembles that of the whole of Scotland.</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White</w:t>
            </w:r>
          </w:p>
        </w:tc>
        <w:tc>
          <w:tcPr/>
          <w:p>
            <w:pPr>
              <w:pStyle w:val="Compact"/>
              <w:jc w:val="left"/>
            </w:pPr>
            <w:r>
              <w:t xml:space="preserve">98%</w:t>
            </w:r>
          </w:p>
        </w:tc>
        <w:tc>
          <w:tcPr/>
          <w:p>
            <w:pPr>
              <w:pStyle w:val="Compact"/>
              <w:jc w:val="left"/>
            </w:pPr>
            <w:r>
              <w:t xml:space="preserve">91%</w:t>
            </w:r>
          </w:p>
        </w:tc>
        <w:tc>
          <w:tcPr/>
          <w:p>
            <w:pPr>
              <w:pStyle w:val="Compact"/>
              <w:jc w:val="left"/>
            </w:pPr>
            <w:r>
              <w:t xml:space="preserve">93%</w:t>
            </w:r>
          </w:p>
        </w:tc>
      </w:tr>
      <w:tr>
        <w:tc>
          <w:tcPr/>
          <w:p>
            <w:pPr>
              <w:pStyle w:val="Compact"/>
              <w:jc w:val="left"/>
            </w:pPr>
            <w:r>
              <w:t xml:space="preserve">Asian</w:t>
            </w:r>
          </w:p>
        </w:tc>
        <w:tc>
          <w:tcPr/>
          <w:p>
            <w:pPr>
              <w:pStyle w:val="Compact"/>
              <w:jc w:val="left"/>
            </w:pPr>
            <w:r>
              <w:t xml:space="preserve">1%</w:t>
            </w:r>
          </w:p>
        </w:tc>
        <w:tc>
          <w:tcPr/>
          <w:p>
            <w:pPr>
              <w:pStyle w:val="Compact"/>
              <w:jc w:val="left"/>
            </w:pPr>
            <w:r>
              <w:t xml:space="preserve">5%</w:t>
            </w:r>
          </w:p>
        </w:tc>
        <w:tc>
          <w:tcPr/>
          <w:p>
            <w:pPr>
              <w:pStyle w:val="Compact"/>
              <w:jc w:val="left"/>
            </w:pPr>
            <w:r>
              <w:t xml:space="preserve">4%</w:t>
            </w:r>
          </w:p>
        </w:tc>
      </w:tr>
      <w:tr>
        <w:tc>
          <w:tcPr/>
          <w:p>
            <w:pPr>
              <w:pStyle w:val="Compact"/>
              <w:jc w:val="left"/>
            </w:pPr>
            <w:r>
              <w:t xml:space="preserve">Mixed/multiple</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African</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About half of Scotland’s population profess to have no religion. Within the CoM’s area of operations, this figure rises to 58%. Roman Catholics account for only 6% of the population local to the CoM, making them approximately half as prevalent here than they are nationally.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Scotland</w:t>
            </w:r>
          </w:p>
        </w:tc>
      </w:tr>
      <w:tr>
        <w:tc>
          <w:tcPr/>
          <w:p>
            <w:pPr>
              <w:pStyle w:val="Compact"/>
              <w:jc w:val="left"/>
            </w:pPr>
            <w:r>
              <w:t xml:space="preserve">No religion</w:t>
            </w:r>
          </w:p>
        </w:tc>
        <w:tc>
          <w:tcPr/>
          <w:p>
            <w:pPr>
              <w:pStyle w:val="Compact"/>
              <w:jc w:val="left"/>
            </w:pPr>
            <w:r>
              <w:t xml:space="preserve">58%</w:t>
            </w:r>
          </w:p>
        </w:tc>
        <w:tc>
          <w:tcPr/>
          <w:p>
            <w:pPr>
              <w:pStyle w:val="Compact"/>
              <w:jc w:val="left"/>
            </w:pPr>
            <w:r>
              <w:t xml:space="preserve">56%</w:t>
            </w:r>
          </w:p>
        </w:tc>
        <w:tc>
          <w:tcPr/>
          <w:p>
            <w:pPr>
              <w:pStyle w:val="Compact"/>
              <w:jc w:val="left"/>
            </w:pPr>
            <w:r>
              <w:t xml:space="preserve">51%</w:t>
            </w:r>
          </w:p>
        </w:tc>
      </w:tr>
      <w:tr>
        <w:tc>
          <w:tcPr/>
          <w:p>
            <w:pPr>
              <w:pStyle w:val="Compact"/>
              <w:jc w:val="left"/>
            </w:pPr>
            <w:r>
              <w:t xml:space="preserve">Church of scotland</w:t>
            </w:r>
          </w:p>
        </w:tc>
        <w:tc>
          <w:tcPr/>
          <w:p>
            <w:pPr>
              <w:pStyle w:val="Compact"/>
              <w:jc w:val="left"/>
            </w:pPr>
            <w:r>
              <w:t xml:space="preserve">23%</w:t>
            </w:r>
          </w:p>
        </w:tc>
        <w:tc>
          <w:tcPr/>
          <w:p>
            <w:pPr>
              <w:pStyle w:val="Compact"/>
              <w:jc w:val="left"/>
            </w:pPr>
            <w:r>
              <w:t xml:space="preserve">18%</w:t>
            </w:r>
          </w:p>
        </w:tc>
        <w:tc>
          <w:tcPr/>
          <w:p>
            <w:pPr>
              <w:pStyle w:val="Compact"/>
              <w:jc w:val="left"/>
            </w:pPr>
            <w:r>
              <w:t xml:space="preserve">20%</w:t>
            </w:r>
          </w:p>
        </w:tc>
      </w:tr>
      <w:tr>
        <w:tc>
          <w:tcPr/>
          <w:p>
            <w:pPr>
              <w:pStyle w:val="Compact"/>
              <w:jc w:val="left"/>
            </w:pPr>
            <w:r>
              <w:t xml:space="preserve">Religion not stated</w:t>
            </w:r>
          </w:p>
        </w:tc>
        <w:tc>
          <w:tcPr/>
          <w:p>
            <w:pPr>
              <w:pStyle w:val="Compact"/>
              <w:jc w:val="left"/>
            </w:pPr>
            <w:r>
              <w:t xml:space="preserve">7%</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Roman catholic</w:t>
            </w:r>
          </w:p>
        </w:tc>
        <w:tc>
          <w:tcPr/>
          <w:p>
            <w:pPr>
              <w:pStyle w:val="Compact"/>
              <w:jc w:val="left"/>
            </w:pPr>
            <w:r>
              <w:t xml:space="preserve">6%</w:t>
            </w:r>
          </w:p>
        </w:tc>
        <w:tc>
          <w:tcPr/>
          <w:p>
            <w:pPr>
              <w:pStyle w:val="Compact"/>
              <w:jc w:val="left"/>
            </w:pPr>
            <w:r>
              <w:t xml:space="preserve">10%</w:t>
            </w:r>
          </w:p>
        </w:tc>
        <w:tc>
          <w:tcPr/>
          <w:p>
            <w:pPr>
              <w:pStyle w:val="Compact"/>
              <w:jc w:val="left"/>
            </w:pPr>
            <w:r>
              <w:t xml:space="preserve">13%</w:t>
            </w:r>
          </w:p>
        </w:tc>
      </w:tr>
      <w:tr>
        <w:tc>
          <w:tcPr/>
          <w:p>
            <w:pPr>
              <w:pStyle w:val="Compact"/>
              <w:jc w:val="left"/>
            </w:pPr>
            <w:r>
              <w:t xml:space="preserve">Other christian</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4%</w:t>
            </w:r>
          </w:p>
        </w:tc>
        <w:tc>
          <w:tcPr/>
          <w:p>
            <w:pPr>
              <w:pStyle w:val="Compact"/>
              <w:jc w:val="left"/>
            </w:pPr>
            <w:r>
              <w:t xml:space="preserve">4%</w:t>
            </w:r>
          </w:p>
        </w:tc>
      </w:tr>
    </w:tbl>
    <w:bookmarkEnd w:id="44"/>
    <w:p>
      <w:r>
        <w:br w:type="page"/>
      </w:r>
    </w:p>
    <w:bookmarkEnd w:id="45"/>
    <w:bookmarkEnd w:id="46"/>
    <w:bookmarkStart w:id="52" w:name="local-deprivation"/>
    <w:p>
      <w:pPr>
        <w:pStyle w:val="Heading2"/>
      </w:pPr>
      <w:r>
        <w:t xml:space="preserve">Local Deprivation</w:t>
      </w:r>
    </w:p>
    <w:p>
      <w:pPr>
        <w:pStyle w:val="FirstParagraph"/>
      </w:pPr>
      <w:hyperlink w:anchor="fig-deprivation-map">
        <w:r>
          <w:rPr>
            <w:rStyle w:val="Hyperlink"/>
          </w:rPr>
          <w:t xml:space="preserve">Figure 4</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2020 Scottish Index of Multiple Deprivation (SIMD). If you would like to know more about SIMD, you can find out about it</w:t>
      </w:r>
      <w:r>
        <w:t xml:space="preserve"> </w:t>
      </w:r>
      <w:hyperlink r:id="rId47">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51" w:name="fig-deprivation-map"/>
          <w:p>
            <w:pPr>
              <w:jc w:val="center"/>
            </w:pPr>
            <w:r>
              <w:drawing>
                <wp:inline>
                  <wp:extent cx="4160520" cy="4155659"/>
                  <wp:effectExtent b="0" l="0" r="0" t="0"/>
                  <wp:docPr descr="" title="" id="49" name="Picture"/>
                  <a:graphic>
                    <a:graphicData uri="http://schemas.openxmlformats.org/drawingml/2006/picture">
                      <pic:pic>
                        <pic:nvPicPr>
                          <pic:cNvPr descr="imd-images/a7.png" id="50" name="Picture"/>
                          <pic:cNvPicPr>
                            <a:picLocks noChangeArrowheads="1" noChangeAspect="1"/>
                          </pic:cNvPicPr>
                        </pic:nvPicPr>
                        <pic:blipFill>
                          <a:blip r:embed="rId48"/>
                          <a:stretch>
                            <a:fillRect/>
                          </a:stretch>
                        </pic:blipFill>
                        <pic:spPr bwMode="auto">
                          <a:xfrm>
                            <a:off x="0" y="0"/>
                            <a:ext cx="4160520" cy="41556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Map of local deprivation (SIMD2020)</w:t>
            </w:r>
          </w:p>
          <w:bookmarkEnd w:id="51"/>
        </w:tc>
      </w:tr>
    </w:tbl>
    <w:bookmarkEnd w:id="52"/>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hyperlink" Id="rId47" Target="https://www.gov.scot/collections/scottish-index-of-multiple-deprivation-2020/" TargetMode="External" /></Relationships>
</file>

<file path=word/_rels/footnotes.xml.rels><?xml version="1.0" encoding="UTF-8"?><Relationships xmlns="http://schemas.openxmlformats.org/package/2006/relationships"><Relationship Type="http://schemas.openxmlformats.org/officeDocument/2006/relationships/hyperlink" Id="rId47" Target="https://www.gov.scot/collections/scottish-index-of-multiple-deprivation-2020/"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A 7 Centre of Mission</dc:title>
  <dc:creator>Church Army’s Research Team</dc:creator>
  <cp:keywords/>
  <dcterms:created xsi:type="dcterms:W3CDTF">2024-07-26T11:45:04Z</dcterms:created>
  <dcterms:modified xsi:type="dcterms:W3CDTF">2024-07-26T11:45:04Z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