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Central</w:t>
      </w:r>
      <w:r>
        <w:t xml:space="preserve"> </w:t>
      </w:r>
      <w:r>
        <w:t xml:space="preserve">Fife</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Central Fife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Central Fife CoM has facilitated over 820 hours of activity for approximately 212 people - an average of 164 hours per month. Activities coordinated by Central Fife CoM include:</w:t>
      </w:r>
    </w:p>
    <w:p>
      <w:pPr>
        <w:numPr>
          <w:ilvl w:val="0"/>
          <w:numId w:val="1001"/>
        </w:numPr>
      </w:pPr>
      <w:r>
        <w:t xml:space="preserve">12 midday Iona prayer every day</w:t>
      </w:r>
    </w:p>
    <w:p>
      <w:pPr>
        <w:numPr>
          <w:ilvl w:val="0"/>
          <w:numId w:val="1001"/>
        </w:numPr>
      </w:pPr>
      <w:r>
        <w:t xml:space="preserve">Bite and a blether pantry £2.50 selection</w:t>
      </w:r>
    </w:p>
    <w:p>
      <w:pPr>
        <w:numPr>
          <w:ilvl w:val="0"/>
          <w:numId w:val="1001"/>
        </w:numPr>
      </w:pPr>
      <w:r>
        <w:t xml:space="preserve">Bible reflection/ Alpha</w:t>
      </w:r>
    </w:p>
    <w:p>
      <w:pPr>
        <w:numPr>
          <w:ilvl w:val="0"/>
          <w:numId w:val="1001"/>
        </w:numPr>
      </w:pPr>
      <w:r>
        <w:t xml:space="preserve">Class support (Primary School)</w:t>
      </w:r>
    </w:p>
    <w:p>
      <w:pPr>
        <w:numPr>
          <w:ilvl w:val="0"/>
          <w:numId w:val="1001"/>
        </w:numPr>
      </w:pPr>
      <w:r>
        <w:t xml:space="preserve">Coffee morning (online)</w:t>
      </w:r>
    </w:p>
    <w:p>
      <w:pPr>
        <w:numPr>
          <w:ilvl w:val="0"/>
          <w:numId w:val="1001"/>
        </w:numPr>
      </w:pPr>
      <w:r>
        <w:t xml:space="preserve">Chaplaincy to Warout Primary School</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Central Fife CoM, including:</w:t>
      </w:r>
    </w:p>
    <w:p>
      <w:pPr>
        <w:numPr>
          <w:ilvl w:val="0"/>
          <w:numId w:val="1002"/>
        </w:numPr>
        <w:pStyle w:val="Compact"/>
      </w:pPr>
      <w:r>
        <w:t xml:space="preserve">There have been two requests to assist with the baptism of an infant.</w:t>
      </w:r>
    </w:p>
    <w:p>
      <w:pPr>
        <w:numPr>
          <w:ilvl w:val="0"/>
          <w:numId w:val="1002"/>
        </w:numPr>
        <w:pStyle w:val="Compact"/>
      </w:pPr>
      <w:r>
        <w:t xml:space="preserve">There have been four requests for confirmation</w:t>
      </w:r>
    </w:p>
    <w:p>
      <w:pPr>
        <w:numPr>
          <w:ilvl w:val="0"/>
          <w:numId w:val="1002"/>
        </w:numPr>
        <w:pStyle w:val="Compact"/>
      </w:pPr>
      <w:r>
        <w:t xml:space="preserve">There have been five requests to assist with a funeral</w:t>
      </w:r>
    </w:p>
    <w:p>
      <w:pPr>
        <w:numPr>
          <w:ilvl w:val="0"/>
          <w:numId w:val="1002"/>
        </w:numPr>
        <w:pStyle w:val="Compact"/>
      </w:pPr>
      <w:r>
        <w:t xml:space="preserve">There are at least five people growing in faith</w:t>
      </w:r>
    </w:p>
    <w:p>
      <w:pPr>
        <w:numPr>
          <w:ilvl w:val="0"/>
          <w:numId w:val="1002"/>
        </w:numPr>
        <w:pStyle w:val="Compact"/>
      </w:pPr>
      <w:r>
        <w:t xml:space="preserve">There are at least three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Central Fife CoM have provided 2750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819"/>
        <w:gridCol w:w="1092"/>
        <w:gridCol w:w="6008"/>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Community Kitchen</w:t>
            </w:r>
          </w:p>
        </w:tc>
        <w:tc>
          <w:tcPr/>
          <w:p>
            <w:pPr>
              <w:pStyle w:val="Compact"/>
              <w:jc w:val="left"/>
            </w:pPr>
            <w:r>
              <w:t xml:space="preserve">60</w:t>
            </w:r>
          </w:p>
        </w:tc>
        <w:tc>
          <w:tcPr/>
          <w:p>
            <w:pPr>
              <w:pStyle w:val="Compact"/>
              <w:jc w:val="left"/>
            </w:pPr>
            <w:r>
              <w:t xml:space="preserve">2 days a week</w:t>
            </w:r>
          </w:p>
        </w:tc>
      </w:tr>
      <w:tr>
        <w:tc>
          <w:tcPr/>
          <w:p>
            <w:pPr>
              <w:pStyle w:val="Compact"/>
              <w:jc w:val="left"/>
            </w:pPr>
            <w:r>
              <w:t xml:space="preserve">Community Meal</w:t>
            </w:r>
          </w:p>
        </w:tc>
        <w:tc>
          <w:tcPr/>
          <w:p>
            <w:pPr>
              <w:pStyle w:val="Compact"/>
              <w:jc w:val="left"/>
            </w:pPr>
            <w:r>
              <w:t xml:space="preserve">25</w:t>
            </w:r>
          </w:p>
        </w:tc>
        <w:tc>
          <w:tcPr/>
          <w:p>
            <w:pPr>
              <w:pStyle w:val="Compact"/>
              <w:jc w:val="left"/>
            </w:pPr>
            <w:r>
              <w:t xml:space="preserve">2 tables, one with young children from the school the other with adults. They take it in turns to create a quiz and provide prizes.</w:t>
            </w:r>
          </w:p>
        </w:tc>
      </w:tr>
      <w:tr>
        <w:tc>
          <w:tcPr/>
          <w:p>
            <w:pPr>
              <w:pStyle w:val="Compact"/>
              <w:jc w:val="left"/>
            </w:pPr>
            <w:r>
              <w:t xml:space="preserve">Community Pantry</w:t>
            </w:r>
          </w:p>
        </w:tc>
        <w:tc>
          <w:tcPr/>
          <w:p>
            <w:pPr>
              <w:pStyle w:val="Compact"/>
              <w:jc w:val="left"/>
            </w:pPr>
            <w:r>
              <w:t xml:space="preserve">2665</w:t>
            </w:r>
          </w:p>
        </w:tc>
        <w:tc>
          <w:tcPr/>
          <w:p>
            <w:pPr>
              <w:pStyle w:val="Compact"/>
              <w:jc w:val="left"/>
            </w:pPr>
            <w:r>
              <w:t xml:space="preserve">providing food for 36 regular families from the community and 4-6 emergency parcels weekly.</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184"/>
        <w:gridCol w:w="1638"/>
        <w:gridCol w:w="409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Community Shower</w:t>
            </w:r>
          </w:p>
        </w:tc>
        <w:tc>
          <w:tcPr/>
          <w:p>
            <w:pPr>
              <w:pStyle w:val="Compact"/>
              <w:jc w:val="left"/>
            </w:pPr>
            <w:r>
              <w:t xml:space="preserve">—</w:t>
            </w:r>
          </w:p>
        </w:tc>
        <w:tc>
          <w:tcPr/>
          <w:p>
            <w:pPr>
              <w:pStyle w:val="Compact"/>
              <w:jc w:val="left"/>
            </w:pPr>
            <w:r>
              <w:t xml:space="preserve">slowly getting risk assessments completed.</w:t>
            </w:r>
          </w:p>
        </w:tc>
      </w:tr>
      <w:tr>
        <w:tc>
          <w:tcPr/>
          <w:p>
            <w:pPr>
              <w:pStyle w:val="Compact"/>
              <w:jc w:val="left"/>
            </w:pPr>
            <w:r>
              <w:t xml:space="preserve">Community Pantry</w:t>
            </w:r>
          </w:p>
        </w:tc>
        <w:tc>
          <w:tcPr/>
          <w:p>
            <w:pPr>
              <w:pStyle w:val="Compact"/>
              <w:jc w:val="left"/>
            </w:pPr>
            <w:r>
              <w:t xml:space="preserve">—</w:t>
            </w:r>
          </w:p>
        </w:tc>
        <w:tc>
          <w:tcPr/>
          <w:p>
            <w:pPr>
              <w:pStyle w:val="Compact"/>
              <w:jc w:val="left"/>
            </w:pPr>
            <w:r>
              <w:t xml:space="preserve">personal hygeine</w:t>
            </w:r>
          </w:p>
        </w:tc>
      </w:tr>
      <w:tr>
        <w:tc>
          <w:tcPr/>
          <w:p>
            <w:pPr>
              <w:pStyle w:val="Compact"/>
              <w:jc w:val="left"/>
            </w:pPr>
            <w:r>
              <w:t xml:space="preserve">Disabled changing space</w:t>
            </w:r>
          </w:p>
        </w:tc>
        <w:tc>
          <w:tcPr/>
          <w:p>
            <w:pPr>
              <w:pStyle w:val="Compact"/>
              <w:jc w:val="left"/>
            </w:pPr>
            <w:r>
              <w:t xml:space="preserve">—</w:t>
            </w:r>
          </w:p>
        </w:tc>
        <w:tc>
          <w:tcPr/>
          <w:p>
            <w:pPr>
              <w:pStyle w:val="Compact"/>
              <w:jc w:val="left"/>
            </w:pPr>
            <w:r>
              <w:t xml:space="preserve">looking to fund a hoist in the disabled room</w:t>
            </w:r>
          </w:p>
        </w:tc>
      </w:tr>
    </w:tbl>
    <w:bookmarkEnd w:id="24"/>
    <w:bookmarkStart w:id="25" w:name="volunteers"/>
    <w:p>
      <w:pPr>
        <w:pStyle w:val="Heading3"/>
      </w:pPr>
      <w:r>
        <w:t xml:space="preserve">Volunteers</w:t>
      </w:r>
    </w:p>
    <w:p>
      <w:pPr>
        <w:pStyle w:val="FirstParagraph"/>
      </w:pPr>
      <w:r>
        <w:t xml:space="preserve">There are 12 volunteers at Central Fife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25%</w:t>
            </w:r>
          </w:p>
        </w:tc>
      </w:tr>
      <w:tr>
        <w:tc>
          <w:tcPr/>
          <w:p>
            <w:pPr>
              <w:pStyle w:val="Compact"/>
              <w:jc w:val="left"/>
            </w:pPr>
            <w:r>
              <w:t xml:space="preserve">Occasional church-goer</w:t>
            </w:r>
          </w:p>
        </w:tc>
        <w:tc>
          <w:tcPr/>
          <w:p>
            <w:pPr>
              <w:pStyle w:val="Compact"/>
              <w:jc w:val="left"/>
            </w:pPr>
            <w:r>
              <w:t xml:space="preserve">0%</w:t>
            </w:r>
          </w:p>
        </w:tc>
      </w:tr>
      <w:tr>
        <w:tc>
          <w:tcPr/>
          <w:p>
            <w:pPr>
              <w:pStyle w:val="Compact"/>
              <w:jc w:val="left"/>
            </w:pPr>
            <w:r>
              <w:t xml:space="preserve">Historical church-goer</w:t>
            </w:r>
          </w:p>
        </w:tc>
        <w:tc>
          <w:tcPr/>
          <w:p>
            <w:pPr>
              <w:pStyle w:val="Compact"/>
              <w:jc w:val="left"/>
            </w:pPr>
            <w:r>
              <w:t xml:space="preserve">50%</w:t>
            </w:r>
          </w:p>
        </w:tc>
      </w:tr>
      <w:tr>
        <w:tc>
          <w:tcPr/>
          <w:p>
            <w:pPr>
              <w:pStyle w:val="Compact"/>
              <w:jc w:val="left"/>
            </w:pPr>
            <w:r>
              <w:t xml:space="preserve">Never church-goer</w:t>
            </w:r>
          </w:p>
        </w:tc>
        <w:tc>
          <w:tcPr/>
          <w:p>
            <w:pPr>
              <w:pStyle w:val="Compact"/>
              <w:jc w:val="left"/>
            </w:pPr>
            <w:r>
              <w:t xml:space="preserve">25%</w:t>
            </w:r>
          </w:p>
        </w:tc>
      </w:tr>
    </w:tbl>
    <w:p>
      <w:r>
        <w:br w:type="page"/>
      </w:r>
    </w:p>
    <w:bookmarkEnd w:id="25"/>
    <w:bookmarkEnd w:id="26"/>
    <w:bookmarkStart w:id="46"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0-9 years old</w:t>
            </w:r>
          </w:p>
        </w:tc>
        <w:tc>
          <w:tcPr/>
          <w:p>
            <w:pPr>
              <w:pStyle w:val="Compact"/>
              <w:jc w:val="left"/>
            </w:pPr>
            <w:r>
              <w:t xml:space="preserve">10%</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10-19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18%</w:t>
            </w:r>
          </w:p>
        </w:tc>
        <w:tc>
          <w:tcPr/>
          <w:p>
            <w:pPr>
              <w:pStyle w:val="Compact"/>
              <w:jc w:val="left"/>
            </w:pPr>
            <w:r>
              <w:t xml:space="preserve">17%</w:t>
            </w:r>
          </w:p>
        </w:tc>
        <w:tc>
          <w:tcPr/>
          <w:p>
            <w:pPr>
              <w:pStyle w:val="Compact"/>
              <w:jc w:val="left"/>
            </w:pPr>
            <w:r>
              <w:t xml:space="preserve">19%</w:t>
            </w:r>
          </w:p>
        </w:tc>
      </w:tr>
      <w:tr>
        <w:tc>
          <w:tcPr/>
          <w:p>
            <w:pPr>
              <w:pStyle w:val="Compact"/>
              <w:jc w:val="left"/>
            </w:pPr>
            <w:r>
              <w:t xml:space="preserve">45-59 years old</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60-69 years old</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70+ years old</w:t>
            </w:r>
          </w:p>
        </w:tc>
        <w:tc>
          <w:tcPr/>
          <w:p>
            <w:pPr>
              <w:pStyle w:val="Compact"/>
              <w:jc w:val="left"/>
            </w:pPr>
            <w:r>
              <w:t xml:space="preserve">15%</w:t>
            </w:r>
          </w:p>
        </w:tc>
        <w:tc>
          <w:tcPr/>
          <w:p>
            <w:pPr>
              <w:pStyle w:val="Compact"/>
              <w:jc w:val="left"/>
            </w:pPr>
            <w:r>
              <w:t xml:space="preserve">16%</w:t>
            </w:r>
          </w:p>
        </w:tc>
        <w:tc>
          <w:tcPr/>
          <w:p>
            <w:pPr>
              <w:pStyle w:val="Compact"/>
              <w:jc w:val="left"/>
            </w:pPr>
            <w:r>
              <w:t xml:space="preserve">14%</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within the Centre of Missions area of operations is 97% white. Although this is 5 percentage points higher than the national average, it is very similar to the distribution of ethnicities within the diocese.</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White</w:t>
            </w:r>
          </w:p>
        </w:tc>
        <w:tc>
          <w:tcPr/>
          <w:p>
            <w:pPr>
              <w:pStyle w:val="Compact"/>
              <w:jc w:val="left"/>
            </w:pPr>
            <w:r>
              <w:t xml:space="preserve">97%</w:t>
            </w:r>
          </w:p>
        </w:tc>
        <w:tc>
          <w:tcPr/>
          <w:p>
            <w:pPr>
              <w:pStyle w:val="Compact"/>
              <w:jc w:val="left"/>
            </w:pPr>
            <w:r>
              <w:t xml:space="preserve">96%</w:t>
            </w:r>
          </w:p>
        </w:tc>
        <w:tc>
          <w:tcPr/>
          <w:p>
            <w:pPr>
              <w:pStyle w:val="Compact"/>
              <w:jc w:val="left"/>
            </w:pPr>
            <w:r>
              <w:t xml:space="preserve">93%</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r>
      <w:tr>
        <w:tc>
          <w:tcPr/>
          <w:p>
            <w:pPr>
              <w:pStyle w:val="Compact"/>
              <w:jc w:val="left"/>
            </w:pPr>
            <w:r>
              <w:t xml:space="preserve">Mixed/multiple</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African</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The population within the CoM’s area of operations are 64% irreligious, which is an increase of 7 percentage points compared to the population of the diocese, and 13 percentage points compared to the nation.</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No religion</w:t>
            </w:r>
          </w:p>
        </w:tc>
        <w:tc>
          <w:tcPr/>
          <w:p>
            <w:pPr>
              <w:pStyle w:val="Compact"/>
              <w:jc w:val="left"/>
            </w:pPr>
            <w:r>
              <w:t xml:space="preserve">64%</w:t>
            </w:r>
          </w:p>
        </w:tc>
        <w:tc>
          <w:tcPr/>
          <w:p>
            <w:pPr>
              <w:pStyle w:val="Compact"/>
              <w:jc w:val="left"/>
            </w:pPr>
            <w:r>
              <w:t xml:space="preserve">57%</w:t>
            </w:r>
          </w:p>
        </w:tc>
        <w:tc>
          <w:tcPr/>
          <w:p>
            <w:pPr>
              <w:pStyle w:val="Compact"/>
              <w:jc w:val="left"/>
            </w:pPr>
            <w:r>
              <w:t xml:space="preserve">51%</w:t>
            </w:r>
          </w:p>
        </w:tc>
      </w:tr>
      <w:tr>
        <w:tc>
          <w:tcPr/>
          <w:p>
            <w:pPr>
              <w:pStyle w:val="Compact"/>
              <w:jc w:val="left"/>
            </w:pPr>
            <w:r>
              <w:t xml:space="preserve">Church of scotland</w:t>
            </w:r>
          </w:p>
        </w:tc>
        <w:tc>
          <w:tcPr/>
          <w:p>
            <w:pPr>
              <w:pStyle w:val="Compact"/>
              <w:jc w:val="left"/>
            </w:pPr>
            <w:r>
              <w:t xml:space="preserve">18%</w:t>
            </w:r>
          </w:p>
        </w:tc>
        <w:tc>
          <w:tcPr/>
          <w:p>
            <w:pPr>
              <w:pStyle w:val="Compact"/>
              <w:jc w:val="left"/>
            </w:pPr>
            <w:r>
              <w:t xml:space="preserve">21%</w:t>
            </w:r>
          </w:p>
        </w:tc>
        <w:tc>
          <w:tcPr/>
          <w:p>
            <w:pPr>
              <w:pStyle w:val="Compact"/>
              <w:jc w:val="left"/>
            </w:pPr>
            <w:r>
              <w:t xml:space="preserve">20%</w:t>
            </w:r>
          </w:p>
        </w:tc>
      </w:tr>
      <w:tr>
        <w:tc>
          <w:tcPr/>
          <w:p>
            <w:pPr>
              <w:pStyle w:val="Compact"/>
              <w:jc w:val="left"/>
            </w:pPr>
            <w:r>
              <w:t xml:space="preserve">Roman catholic</w:t>
            </w:r>
          </w:p>
        </w:tc>
        <w:tc>
          <w:tcPr/>
          <w:p>
            <w:pPr>
              <w:pStyle w:val="Compact"/>
              <w:jc w:val="left"/>
            </w:pPr>
            <w:r>
              <w:t xml:space="preserve">7%</w:t>
            </w:r>
          </w:p>
        </w:tc>
        <w:tc>
          <w:tcPr/>
          <w:p>
            <w:pPr>
              <w:pStyle w:val="Compact"/>
              <w:jc w:val="left"/>
            </w:pPr>
            <w:r>
              <w:t xml:space="preserve">8%</w:t>
            </w:r>
          </w:p>
        </w:tc>
        <w:tc>
          <w:tcPr/>
          <w:p>
            <w:pPr>
              <w:pStyle w:val="Compact"/>
              <w:jc w:val="left"/>
            </w:pPr>
            <w:r>
              <w:t xml:space="preserve">13%</w:t>
            </w:r>
          </w:p>
        </w:tc>
      </w:tr>
      <w:tr>
        <w:tc>
          <w:tcPr/>
          <w:p>
            <w:pPr>
              <w:pStyle w:val="Compact"/>
              <w:jc w:val="left"/>
            </w:pPr>
            <w:r>
              <w:t xml:space="preserve">Religion not stated</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Other christian</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r>
    </w:tbl>
    <w:bookmarkEnd w:id="44"/>
    <w:p>
      <w:r>
        <w:br w:type="page"/>
      </w:r>
    </w:p>
    <w:bookmarkEnd w:id="45"/>
    <w:bookmarkEnd w:id="46"/>
    <w:bookmarkStart w:id="52" w:name="local-deprivation"/>
    <w:p>
      <w:pPr>
        <w:pStyle w:val="Heading2"/>
      </w:pPr>
      <w:r>
        <w:t xml:space="preserve">Local Deprivation</w:t>
      </w:r>
    </w:p>
    <w:p>
      <w:pPr>
        <w:pStyle w:val="FirstParagraph"/>
      </w:pPr>
      <w:hyperlink w:anchor="fig-deprivation-map">
        <w:r>
          <w:rPr>
            <w:rStyle w:val="Hyperlink"/>
          </w:rPr>
          <w:t xml:space="preserve">Figure 4</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2020 Scottish Index of Multiple Deprivation (SIMD). If you would like to know more about SIMD, you can find out about it</w:t>
      </w:r>
      <w:r>
        <w:t xml:space="preserve"> </w:t>
      </w:r>
      <w:hyperlink r:id="rId47">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51" w:name="fig-deprivation-map"/>
          <w:p>
            <w:pPr>
              <w:jc w:val="center"/>
            </w:pPr>
            <w:r>
              <w:drawing>
                <wp:inline>
                  <wp:extent cx="4160520" cy="3883152"/>
                  <wp:effectExtent b="0" l="0" r="0" t="0"/>
                  <wp:docPr descr="" title="" id="49" name="Picture"/>
                  <a:graphic>
                    <a:graphicData uri="http://schemas.openxmlformats.org/drawingml/2006/picture">
                      <pic:pic>
                        <pic:nvPicPr>
                          <pic:cNvPr descr="imd-images/central-fife.png" id="50" name="Picture"/>
                          <pic:cNvPicPr>
                            <a:picLocks noChangeArrowheads="1" noChangeAspect="1"/>
                          </pic:cNvPicPr>
                        </pic:nvPicPr>
                        <pic:blipFill>
                          <a:blip r:embed="rId48"/>
                          <a:stretch>
                            <a:fillRect/>
                          </a:stretch>
                        </pic:blipFill>
                        <pic:spPr bwMode="auto">
                          <a:xfrm>
                            <a:off x="0" y="0"/>
                            <a:ext cx="4160520" cy="38831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Map of local deprivation (SIMD2020)</w:t>
            </w:r>
          </w:p>
          <w:bookmarkEnd w:id="51"/>
        </w:tc>
      </w:tr>
    </w:tbl>
    <w:bookmarkEnd w:id="52"/>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47" Target="https://www.gov.scot/collections/scottish-index-of-multiple-deprivation-2020/" TargetMode="External" /></Relationships>
</file>

<file path=word/_rels/footnotes.xml.rels><?xml version="1.0" encoding="UTF-8"?><Relationships xmlns="http://schemas.openxmlformats.org/package/2006/relationships"><Relationship Type="http://schemas.openxmlformats.org/officeDocument/2006/relationships/hyperlink" Id="rId47" Target="https://www.gov.scot/collections/scottish-index-of-multiple-deprivation-2020/"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Central Fife Centre of Mission</dc:title>
  <dc:creator>Church Army’s Research Team</dc:creator>
  <cp:keywords/>
  <dcterms:created xsi:type="dcterms:W3CDTF">2024-07-26T11:45:09Z</dcterms:created>
  <dcterms:modified xsi:type="dcterms:W3CDTF">2024-07-26T11:45:09Z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