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46.png" ContentType="image/png"/>
  <Override PartName="/word/media/rId53.png" ContentType="image/png"/>
  <Override PartName="/word/media/rId40.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Ballina</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Ballina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Ballina CoM has facilitated over 1219 hours of activity for approximately 481 people - an average of 123 hours per month. Activities coordinated by Ballina CoM include:</w:t>
      </w:r>
    </w:p>
    <w:p>
      <w:pPr>
        <w:numPr>
          <w:ilvl w:val="0"/>
          <w:numId w:val="1001"/>
        </w:numPr>
      </w:pPr>
      <w:r>
        <w:t xml:space="preserve">Pastoral visits by Marian and Rosemonde (to a mix of elderly/medically vunerable/socially vunerable)</w:t>
      </w:r>
    </w:p>
    <w:p>
      <w:pPr>
        <w:numPr>
          <w:ilvl w:val="0"/>
          <w:numId w:val="1001"/>
        </w:numPr>
      </w:pPr>
      <w:r>
        <w:t xml:space="preserve">Pastoral Care to the elderly, single mums, Traveller women, Ukrainian refugees</w:t>
      </w:r>
    </w:p>
    <w:p>
      <w:pPr>
        <w:numPr>
          <w:ilvl w:val="0"/>
          <w:numId w:val="1001"/>
        </w:numPr>
      </w:pPr>
      <w:r>
        <w:t xml:space="preserve">St Vincent de Paul (volunteering shop/foodbank)</w:t>
      </w:r>
    </w:p>
    <w:p>
      <w:pPr>
        <w:numPr>
          <w:ilvl w:val="0"/>
          <w:numId w:val="1001"/>
        </w:numPr>
      </w:pPr>
      <w:r>
        <w:t xml:space="preserve">The Gathering (Tuesdays)</w:t>
      </w:r>
    </w:p>
    <w:p>
      <w:pPr>
        <w:numPr>
          <w:ilvl w:val="0"/>
          <w:numId w:val="1001"/>
        </w:numPr>
      </w:pPr>
      <w:r>
        <w:t xml:space="preserve">Prayer walking</w:t>
      </w:r>
    </w:p>
    <w:p>
      <w:pPr>
        <w:numPr>
          <w:ilvl w:val="0"/>
          <w:numId w:val="1001"/>
        </w:numPr>
      </w:pPr>
      <w:r>
        <w:t xml:space="preserve">Alpha course</w:t>
      </w:r>
    </w:p>
    <w:p>
      <w:r>
        <w:br w:type="page"/>
      </w:r>
    </w:p>
    <w:bookmarkEnd w:id="21"/>
    <w:bookmarkEnd w:id="22"/>
    <w:bookmarkStart w:id="26" w:name="growing-faith"/>
    <w:p>
      <w:pPr>
        <w:pStyle w:val="Heading2"/>
      </w:pPr>
      <w:r>
        <w:t xml:space="preserve">Growing faith</w:t>
      </w:r>
    </w:p>
    <w:p>
      <w:pPr>
        <w:pStyle w:val="FirstParagraph"/>
      </w:pPr>
      <w:r>
        <w:t xml:space="preserve">Growing faith can’t always be seen and is tricky to measure, but there have been some encouraging developments at Ballina CoM, including:</w:t>
      </w:r>
    </w:p>
    <w:p>
      <w:pPr>
        <w:numPr>
          <w:ilvl w:val="0"/>
          <w:numId w:val="1002"/>
        </w:numPr>
        <w:pStyle w:val="Compact"/>
      </w:pPr>
      <w:r>
        <w:t xml:space="preserve">There are at least 20 people growing in faith</w:t>
      </w:r>
    </w:p>
    <w:p>
      <w:pPr>
        <w:numPr>
          <w:ilvl w:val="0"/>
          <w:numId w:val="1002"/>
        </w:numPr>
        <w:pStyle w:val="Compact"/>
      </w:pPr>
      <w:r>
        <w:t xml:space="preserve">There are at least 15 people actively exploring faith</w:t>
      </w:r>
    </w:p>
    <w:p>
      <w:pPr>
        <w:numPr>
          <w:ilvl w:val="0"/>
          <w:numId w:val="1002"/>
        </w:numPr>
        <w:pStyle w:val="Compact"/>
      </w:pPr>
      <w:r>
        <w:t xml:space="preserve">One person has made a recommitment of faith</w:t>
      </w:r>
    </w:p>
    <w:bookmarkStart w:id="23" w:name="food-provision"/>
    <w:p>
      <w:pPr>
        <w:pStyle w:val="Heading3"/>
      </w:pPr>
      <w:r>
        <w:t xml:space="preserve">Food provision</w:t>
      </w:r>
    </w:p>
    <w:p>
      <w:pPr>
        <w:pStyle w:val="FirstParagraph"/>
      </w:pPr>
      <w:r>
        <w:t xml:space="preserve">Ballina CoM have provided 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1683"/>
        <w:gridCol w:w="1496"/>
        <w:gridCol w:w="4739"/>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Through St Vincent de Paul</w:t>
            </w:r>
          </w:p>
        </w:tc>
        <w:tc>
          <w:tcPr/>
          <w:p>
            <w:pPr>
              <w:pStyle w:val="Compact"/>
              <w:jc w:val="left"/>
            </w:pPr>
            <w:r>
              <w:t xml:space="preserve">—</w:t>
            </w:r>
          </w:p>
        </w:tc>
        <w:tc>
          <w:tcPr/>
          <w:p>
            <w:pPr>
              <w:pStyle w:val="Compact"/>
              <w:jc w:val="left"/>
            </w:pPr>
            <w:r>
              <w:t xml:space="preserve">Volunteeering in the Charity Shop and weekly home visits to ascertain need.</w:t>
            </w:r>
          </w:p>
        </w:tc>
      </w:tr>
      <w:tr>
        <w:tc>
          <w:tcPr/>
          <w:p>
            <w:pPr>
              <w:pStyle w:val="Compact"/>
              <w:jc w:val="left"/>
            </w:pPr>
            <w:r>
              <w:t xml:space="preserve">Individual need</w:t>
            </w:r>
          </w:p>
        </w:tc>
        <w:tc>
          <w:tcPr/>
          <w:p>
            <w:pPr>
              <w:pStyle w:val="Compact"/>
              <w:jc w:val="left"/>
            </w:pPr>
            <w:r>
              <w:t xml:space="preserve">—</w:t>
            </w:r>
          </w:p>
        </w:tc>
        <w:tc>
          <w:tcPr/>
          <w:p>
            <w:pPr>
              <w:pStyle w:val="Compact"/>
              <w:jc w:val="left"/>
            </w:pPr>
            <w:r>
              <w:t xml:space="preserve">If a need is seen we respond</w:t>
            </w:r>
          </w:p>
        </w:tc>
      </w:tr>
    </w:tbl>
    <w:bookmarkEnd w:id="23"/>
    <w:bookmarkStart w:id="24"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3006"/>
        <w:gridCol w:w="660"/>
        <w:gridCol w:w="4253"/>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Activity bags/gift bags (monthly)</w:t>
            </w:r>
          </w:p>
        </w:tc>
        <w:tc>
          <w:tcPr/>
          <w:p>
            <w:pPr>
              <w:pStyle w:val="Compact"/>
              <w:jc w:val="left"/>
            </w:pPr>
            <w:r>
              <w:t xml:space="preserve">300</w:t>
            </w:r>
          </w:p>
        </w:tc>
        <w:tc>
          <w:tcPr/>
          <w:p>
            <w:pPr>
              <w:pStyle w:val="Compact"/>
              <w:jc w:val="left"/>
            </w:pPr>
            <w:r>
              <w:t xml:space="preserve">Marian delivers seasonal material to families on Greenhills, Millview and St Patricks estates and some individuals.</w:t>
            </w:r>
          </w:p>
        </w:tc>
      </w:tr>
      <w:tr>
        <w:tc>
          <w:tcPr/>
          <w:p>
            <w:pPr>
              <w:pStyle w:val="Compact"/>
              <w:jc w:val="left"/>
            </w:pPr>
            <w:r>
              <w:t xml:space="preserve">Always have faith books/leaflets to hand out during pastoral encounters on street</w:t>
            </w:r>
          </w:p>
        </w:tc>
        <w:tc>
          <w:tcPr/>
          <w:p>
            <w:pPr>
              <w:pStyle w:val="Compact"/>
              <w:jc w:val="left"/>
            </w:pPr>
            <w:r>
              <w:t xml:space="preserve">—</w:t>
            </w:r>
          </w:p>
        </w:tc>
        <w:tc>
          <w:tcPr/>
          <w:p>
            <w:pPr>
              <w:pStyle w:val="Compact"/>
              <w:jc w:val="left"/>
            </w:pPr>
            <w:r>
              <w:t xml:space="preserve">Give out something twice a week</w:t>
            </w:r>
          </w:p>
        </w:tc>
      </w:tr>
      <w:tr>
        <w:tc>
          <w:tcPr/>
          <w:p>
            <w:pPr>
              <w:pStyle w:val="Compact"/>
              <w:jc w:val="left"/>
            </w:pPr>
            <w:r>
              <w:t xml:space="preserve">Gift bags delivered to families</w:t>
            </w:r>
          </w:p>
        </w:tc>
        <w:tc>
          <w:tcPr/>
          <w:p>
            <w:pPr>
              <w:pStyle w:val="Compact"/>
              <w:jc w:val="left"/>
            </w:pPr>
            <w:r>
              <w:t xml:space="preserve">240</w:t>
            </w:r>
          </w:p>
        </w:tc>
        <w:tc>
          <w:tcPr/>
          <w:p>
            <w:pPr>
              <w:pStyle w:val="Compact"/>
              <w:jc w:val="left"/>
            </w:pPr>
            <w:r>
              <w:t xml:space="preserve">6 deliveries to over 40 households</w:t>
            </w:r>
          </w:p>
        </w:tc>
      </w:tr>
    </w:tbl>
    <w:bookmarkEnd w:id="24"/>
    <w:bookmarkStart w:id="25" w:name="volunteers"/>
    <w:p>
      <w:pPr>
        <w:pStyle w:val="Heading3"/>
      </w:pPr>
      <w:r>
        <w:t xml:space="preserve">Volunteers</w:t>
      </w:r>
    </w:p>
    <w:p>
      <w:pPr>
        <w:pStyle w:val="FirstParagraph"/>
      </w:pPr>
      <w:r>
        <w:t xml:space="preserve">There are 11 volunteers at Ballina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50%</w:t>
            </w:r>
          </w:p>
        </w:tc>
      </w:tr>
      <w:tr>
        <w:tc>
          <w:tcPr/>
          <w:p>
            <w:pPr>
              <w:pStyle w:val="Compact"/>
              <w:jc w:val="left"/>
            </w:pPr>
            <w:r>
              <w:t xml:space="preserve">Occasional church-goer</w:t>
            </w:r>
          </w:p>
        </w:tc>
        <w:tc>
          <w:tcPr/>
          <w:p>
            <w:pPr>
              <w:pStyle w:val="Compact"/>
              <w:jc w:val="left"/>
            </w:pPr>
            <w:r>
              <w:t xml:space="preserve">20%</w:t>
            </w:r>
          </w:p>
        </w:tc>
      </w:tr>
      <w:tr>
        <w:tc>
          <w:tcPr/>
          <w:p>
            <w:pPr>
              <w:pStyle w:val="Compact"/>
              <w:jc w:val="left"/>
            </w:pPr>
            <w:r>
              <w:t xml:space="preserve">Historical church-goer</w:t>
            </w:r>
          </w:p>
        </w:tc>
        <w:tc>
          <w:tcPr/>
          <w:p>
            <w:pPr>
              <w:pStyle w:val="Compact"/>
              <w:jc w:val="left"/>
            </w:pPr>
            <w:r>
              <w:t xml:space="preserve">20%</w:t>
            </w:r>
          </w:p>
        </w:tc>
      </w:tr>
      <w:tr>
        <w:tc>
          <w:tcPr/>
          <w:p>
            <w:pPr>
              <w:pStyle w:val="Compact"/>
              <w:jc w:val="left"/>
            </w:pPr>
            <w:r>
              <w:t xml:space="preserve">Never church-goer</w:t>
            </w:r>
          </w:p>
        </w:tc>
        <w:tc>
          <w:tcPr/>
          <w:p>
            <w:pPr>
              <w:pStyle w:val="Compact"/>
              <w:jc w:val="left"/>
            </w:pPr>
            <w:r>
              <w:t xml:space="preserve">10%</w:t>
            </w:r>
          </w:p>
        </w:tc>
      </w:tr>
    </w:tbl>
    <w:p>
      <w:r>
        <w:br w:type="page"/>
      </w:r>
    </w:p>
    <w:bookmarkEnd w:id="25"/>
    <w:bookmarkEnd w:id="26"/>
    <w:bookmarkStart w:id="65"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7"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7"/>
    <w:bookmarkStart w:id="33"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tbl>
      <w:tblPr>
        <w:tblStyle w:val="Table"/>
        <w:tblW w:type="pct" w:w="5000"/>
        <w:tblLook w:firstRow="0" w:lastRow="0" w:firstColumn="0" w:lastColumn="0" w:noHBand="0" w:noVBand="0" w:val="0000"/>
        <w:jc w:val="start"/>
      </w:tblPr>
      <w:tblGrid>
        <w:gridCol w:w="7920"/>
      </w:tblGrid>
      <w:tr>
        <w:tc>
          <w:tcPr/>
          <w:bookmarkStart w:id="31" w:name="fig-age"/>
          <w:p>
            <w:pPr>
              <w:jc w:val="center"/>
            </w:pPr>
            <w:r>
              <w:drawing>
                <wp:inline>
                  <wp:extent cx="5943600" cy="3396342"/>
                  <wp:effectExtent b="0" l="0" r="0" t="0"/>
                  <wp:docPr descr="" title="" id="29" name="Picture"/>
                  <a:graphic>
                    <a:graphicData uri="http://schemas.openxmlformats.org/drawingml/2006/picture">
                      <pic:pic>
                        <pic:nvPicPr>
                          <pic:cNvPr descr="com-report-template_files/figure-docx/fig-age-1.png" id="3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1"/>
        </w:tc>
      </w:tr>
    </w:tbl>
    <w:p>
      <w:pPr>
        <w:pStyle w:val="BodyText"/>
      </w:pPr>
      <w:r>
        <w:t xml:space="preserve"> </w:t>
      </w:r>
    </w:p>
    <w:bookmarkStart w:id="32"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14%</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12%</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11%</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21%</w:t>
            </w:r>
          </w:p>
        </w:tc>
        <w:tc>
          <w:tcPr/>
          <w:p>
            <w:pPr>
              <w:pStyle w:val="Compact"/>
              <w:jc w:val="left"/>
            </w:pPr>
            <w:r>
              <w:t xml:space="preserve">20%</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11%</w:t>
            </w:r>
          </w:p>
        </w:tc>
        <w:tc>
          <w:tcPr/>
          <w:p>
            <w:pPr>
              <w:pStyle w:val="Compact"/>
              <w:jc w:val="left"/>
            </w:pPr>
            <w:r>
              <w:t xml:space="preserve">11%</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13%</w:t>
            </w:r>
          </w:p>
        </w:tc>
        <w:tc>
          <w:tcPr/>
          <w:p>
            <w:pPr>
              <w:pStyle w:val="Compact"/>
              <w:jc w:val="left"/>
            </w:pPr>
            <w:r>
              <w:t xml:space="preserve">12%</w:t>
            </w:r>
          </w:p>
        </w:tc>
        <w:tc>
          <w:tcPr/>
          <w:p>
            <w:pPr>
              <w:pStyle w:val="Compact"/>
              <w:jc w:val="left"/>
            </w:pPr>
            <w:r>
              <w:t xml:space="preserve">10%</w:t>
            </w:r>
          </w:p>
        </w:tc>
      </w:tr>
    </w:tbl>
    <w:bookmarkEnd w:id="32"/>
    <w:p>
      <w:r>
        <w:br w:type="page"/>
      </w:r>
    </w:p>
    <w:bookmarkEnd w:id="33"/>
    <w:bookmarkStart w:id="39"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tbl>
      <w:tblPr>
        <w:tblStyle w:val="Table"/>
        <w:tblW w:type="pct" w:w="5000"/>
        <w:tblLook w:firstRow="0" w:lastRow="0" w:firstColumn="0" w:lastColumn="0" w:noHBand="0" w:noVBand="0" w:val="0000"/>
        <w:jc w:val="start"/>
      </w:tblPr>
      <w:tblGrid>
        <w:gridCol w:w="7920"/>
      </w:tblGrid>
      <w:tr>
        <w:tc>
          <w:tcPr/>
          <w:bookmarkStart w:id="37" w:name="fig-ethnicity"/>
          <w:p>
            <w:pPr>
              <w:jc w:val="center"/>
            </w:pPr>
            <w:r>
              <w:drawing>
                <wp:inline>
                  <wp:extent cx="5943600" cy="3396342"/>
                  <wp:effectExtent b="0" l="0" r="0" t="0"/>
                  <wp:docPr descr="" title="" id="35" name="Picture"/>
                  <a:graphic>
                    <a:graphicData uri="http://schemas.openxmlformats.org/drawingml/2006/picture">
                      <pic:pic>
                        <pic:nvPicPr>
                          <pic:cNvPr descr="com-report-template_files/figure-docx/fig-ethnicity-1.png" id="36"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7"/>
        </w:tc>
      </w:tr>
    </w:tbl>
    <w:p>
      <w:pPr>
        <w:pStyle w:val="BodyText"/>
      </w:pPr>
      <w:r>
        <w:t xml:space="preserve"> </w:t>
      </w:r>
    </w:p>
    <w:bookmarkStart w:id="38"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80%</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9%</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White (Irish traveller)</w:t>
            </w:r>
          </w:p>
        </w:tc>
        <w:tc>
          <w:tcPr/>
          <w:p>
            <w:pPr>
              <w:pStyle w:val="Compact"/>
              <w:jc w:val="left"/>
            </w:pPr>
            <w:r>
              <w:t xml:space="preserve">5%</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Asian</w:t>
            </w:r>
          </w:p>
        </w:tc>
        <w:tc>
          <w:tcPr/>
          <w:p>
            <w:pPr>
              <w:pStyle w:val="Compact"/>
              <w:jc w:val="left"/>
            </w:pPr>
            <w:r>
              <w:t xml:space="preserve">2%</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Other</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r>
    </w:tbl>
    <w:bookmarkEnd w:id="38"/>
    <w:p>
      <w:r>
        <w:br w:type="page"/>
      </w:r>
    </w:p>
    <w:bookmarkEnd w:id="39"/>
    <w:bookmarkStart w:id="45"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tbl>
      <w:tblPr>
        <w:tblStyle w:val="Table"/>
        <w:tblW w:type="pct" w:w="5000"/>
        <w:tblLook w:firstRow="0" w:lastRow="0" w:firstColumn="0" w:lastColumn="0" w:noHBand="0" w:noVBand="0" w:val="0000"/>
        <w:jc w:val="start"/>
      </w:tblPr>
      <w:tblGrid>
        <w:gridCol w:w="7920"/>
      </w:tblGrid>
      <w:tr>
        <w:tc>
          <w:tcPr/>
          <w:bookmarkStart w:id="43" w:name="fig-religion"/>
          <w:p>
            <w:pPr>
              <w:jc w:val="center"/>
            </w:pPr>
            <w:r>
              <w:drawing>
                <wp:inline>
                  <wp:extent cx="5943600" cy="3396342"/>
                  <wp:effectExtent b="0" l="0" r="0" t="0"/>
                  <wp:docPr descr="" title="" id="41" name="Picture"/>
                  <a:graphic>
                    <a:graphicData uri="http://schemas.openxmlformats.org/drawingml/2006/picture">
                      <pic:pic>
                        <pic:nvPicPr>
                          <pic:cNvPr descr="com-report-template_files/figure-docx/fig-religion-1.png" id="42" name="Picture"/>
                          <pic:cNvPicPr>
                            <a:picLocks noChangeArrowheads="1" noChangeAspect="1"/>
                          </pic:cNvPicPr>
                        </pic:nvPicPr>
                        <pic:blipFill>
                          <a:blip r:embed="rId40"/>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3"/>
        </w:tc>
      </w:tr>
    </w:tbl>
    <w:p>
      <w:pPr>
        <w:pStyle w:val="BodyText"/>
      </w:pPr>
      <w:r>
        <w:t xml:space="preserve"> </w:t>
      </w:r>
    </w:p>
    <w:bookmarkStart w:id="44"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82%</w:t>
            </w:r>
          </w:p>
        </w:tc>
        <w:tc>
          <w:tcPr/>
          <w:p>
            <w:pPr>
              <w:pStyle w:val="Compact"/>
              <w:jc w:val="left"/>
            </w:pPr>
            <w:r>
              <w:t xml:space="preserve">74%</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9%</w:t>
            </w:r>
          </w:p>
        </w:tc>
        <w:tc>
          <w:tcPr/>
          <w:p>
            <w:pPr>
              <w:pStyle w:val="Compact"/>
              <w:jc w:val="left"/>
            </w:pPr>
            <w:r>
              <w:t xml:space="preserve">12%</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6%</w:t>
            </w:r>
          </w:p>
        </w:tc>
        <w:tc>
          <w:tcPr/>
          <w:p>
            <w:pPr>
              <w:pStyle w:val="Compact"/>
              <w:jc w:val="left"/>
            </w:pPr>
            <w:r>
              <w:t xml:space="preserve">7%</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7%</w:t>
            </w:r>
          </w:p>
        </w:tc>
        <w:tc>
          <w:tcPr/>
          <w:p>
            <w:pPr>
              <w:pStyle w:val="Compact"/>
              <w:jc w:val="left"/>
            </w:pPr>
            <w:r>
              <w:t xml:space="preserve">7%</w:t>
            </w:r>
          </w:p>
        </w:tc>
      </w:tr>
    </w:tbl>
    <w:bookmarkEnd w:id="44"/>
    <w:p>
      <w:r>
        <w:br w:type="page"/>
      </w:r>
    </w:p>
    <w:bookmarkEnd w:id="45"/>
    <w:bookmarkStart w:id="51"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tbl>
      <w:tblPr>
        <w:tblStyle w:val="Table"/>
        <w:tblW w:type="pct" w:w="5000"/>
        <w:tblLook w:firstRow="0" w:lastRow="0" w:firstColumn="0" w:lastColumn="0" w:noHBand="0" w:noVBand="0" w:val="0000"/>
        <w:jc w:val="start"/>
      </w:tblPr>
      <w:tblGrid>
        <w:gridCol w:w="7920"/>
      </w:tblGrid>
      <w:tr>
        <w:tc>
          <w:tcPr/>
          <w:bookmarkStart w:id="49" w:name="fig-general-health"/>
          <w:p>
            <w:pPr>
              <w:jc w:val="center"/>
            </w:pPr>
            <w:r>
              <w:drawing>
                <wp:inline>
                  <wp:extent cx="5943600" cy="3396342"/>
                  <wp:effectExtent b="0" l="0" r="0" t="0"/>
                  <wp:docPr descr="" title="" id="47" name="Picture"/>
                  <a:graphic>
                    <a:graphicData uri="http://schemas.openxmlformats.org/drawingml/2006/picture">
                      <pic:pic>
                        <pic:nvPicPr>
                          <pic:cNvPr descr="com-report-template_files/figure-docx/fig-general-health-1.png" id="48" name="Picture"/>
                          <pic:cNvPicPr>
                            <a:picLocks noChangeArrowheads="1" noChangeAspect="1"/>
                          </pic:cNvPicPr>
                        </pic:nvPicPr>
                        <pic:blipFill>
                          <a:blip r:embed="rId46"/>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9"/>
        </w:tc>
      </w:tr>
    </w:tbl>
    <w:p>
      <w:pPr>
        <w:pStyle w:val="BodyText"/>
      </w:pPr>
      <w:r>
        <w:t xml:space="preserve"> </w:t>
      </w:r>
    </w:p>
    <w:bookmarkStart w:id="50"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12%</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34%</w:t>
            </w:r>
          </w:p>
        </w:tc>
        <w:tc>
          <w:tcPr/>
          <w:p>
            <w:pPr>
              <w:pStyle w:val="Compact"/>
              <w:jc w:val="left"/>
            </w:pPr>
            <w:r>
              <w:t xml:space="preserve">33%</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51%</w:t>
            </w:r>
          </w:p>
        </w:tc>
        <w:tc>
          <w:tcPr/>
          <w:p>
            <w:pPr>
              <w:pStyle w:val="Compact"/>
              <w:jc w:val="left"/>
            </w:pPr>
            <w:r>
              <w:t xml:space="preserve">55%</w:t>
            </w:r>
          </w:p>
        </w:tc>
        <w:tc>
          <w:tcPr/>
          <w:p>
            <w:pPr>
              <w:pStyle w:val="Compact"/>
              <w:jc w:val="left"/>
            </w:pPr>
            <w:r>
              <w:t xml:space="preserve">57%</w:t>
            </w:r>
          </w:p>
        </w:tc>
      </w:tr>
    </w:tbl>
    <w:bookmarkEnd w:id="50"/>
    <w:p>
      <w:r>
        <w:br w:type="page"/>
      </w:r>
    </w:p>
    <w:bookmarkEnd w:id="51"/>
    <w:bookmarkStart w:id="52" w:name="household-composition"/>
    <w:p>
      <w:pPr>
        <w:pStyle w:val="Heading3"/>
      </w:pPr>
      <w:r>
        <w:t xml:space="preserve">Household composition</w:t>
      </w:r>
    </w:p>
    <w:p>
      <w:pPr>
        <w:pStyle w:val="FirstParagraph"/>
      </w:pPr>
      <w:r>
        <w:t xml:space="preserve">Household composition can be summarised in a variety of ways. This report gives a high-level overview of households before considering several sub-sections of all households in more detail.</w:t>
      </w:r>
    </w:p>
    <w:bookmarkEnd w:id="52"/>
    <w:bookmarkStart w:id="58" w:name="overview-of-household-composition"/>
    <w:p>
      <w:pPr>
        <w:pStyle w:val="Heading3"/>
      </w:pPr>
      <w:r>
        <w:t xml:space="preserve">Overview of household composition</w:t>
      </w:r>
    </w:p>
    <w:p>
      <w:pPr>
        <w:pStyle w:val="FirstParagraph"/>
      </w:pPr>
      <w:hyperlink w:anchor="fig-household-composition-grouped">
        <w:r>
          <w:rPr>
            <w:rStyle w:val="Hyperlink"/>
          </w:rPr>
          <w:t xml:space="preserve">Figure 5</w:t>
        </w:r>
      </w:hyperlink>
      <w:r>
        <w:t xml:space="preserve"> </w:t>
      </w:r>
      <w:r>
        <w:t xml:space="preserve">and</w:t>
      </w:r>
      <w:r>
        <w:t xml:space="preserve"> </w:t>
      </w:r>
      <w:r>
        <w:rPr>
          <w:bCs/>
          <w:b/>
        </w:rPr>
        <w:t xml:space="preserve">?@tbl-household-composition-grouped</w:t>
      </w:r>
      <w:r>
        <w:t xml:space="preserve"> </w:t>
      </w:r>
      <w:r>
        <w:t xml:space="preserve">give a summary of the prevalence of different kinds of household across all geographies. These are: Households comprised of a single occupant, households with dependent children and all other households.</w:t>
      </w:r>
    </w:p>
    <w:tbl>
      <w:tblPr>
        <w:tblStyle w:val="Table"/>
        <w:tblW w:type="pct" w:w="5000"/>
        <w:tblLook w:firstRow="0" w:lastRow="0" w:firstColumn="0" w:lastColumn="0" w:noHBand="0" w:noVBand="0" w:val="0000"/>
        <w:jc w:val="start"/>
      </w:tblPr>
      <w:tblGrid>
        <w:gridCol w:w="7920"/>
      </w:tblGrid>
      <w:tr>
        <w:tc>
          <w:tcPr/>
          <w:bookmarkStart w:id="56" w:name="fig-household-composition-grouped"/>
          <w:p>
            <w:pPr>
              <w:jc w:val="center"/>
            </w:pPr>
            <w:r>
              <w:drawing>
                <wp:inline>
                  <wp:extent cx="5943600" cy="3396342"/>
                  <wp:effectExtent b="0" l="0" r="0" t="0"/>
                  <wp:docPr descr="" title="" id="54" name="Picture"/>
                  <a:graphic>
                    <a:graphicData uri="http://schemas.openxmlformats.org/drawingml/2006/picture">
                      <pic:pic>
                        <pic:nvPicPr>
                          <pic:cNvPr descr="com-report-template_files/figure-docx/fig-household-composition-grouped-1.png" id="55" name="Picture"/>
                          <pic:cNvPicPr>
                            <a:picLocks noChangeArrowheads="1" noChangeAspect="1"/>
                          </pic:cNvPicPr>
                        </pic:nvPicPr>
                        <pic:blipFill>
                          <a:blip r:embed="rId5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6"/>
        </w:tc>
      </w:tr>
    </w:tbl>
    <w:bookmarkStart w:id="57" w:name="tbl-household-composition-grouped"/>
    <w:p>
      <w:pPr>
        <w:pStyle w:val="BodyText"/>
      </w:pPr>
      <w:r>
        <w:rPr>
          <w:bCs/>
          <w:b/>
        </w:rPr>
        <w:t xml:space="preserve">?(caption)</w:t>
      </w:r>
    </w:p>
    <w:bookmarkEnd w:id="57"/>
    <w:p>
      <w:r>
        <w:br w:type="page"/>
      </w:r>
    </w:p>
    <w:bookmarkEnd w:id="58"/>
    <w:bookmarkStart w:id="60" w:name="couples"/>
    <w:p>
      <w:pPr>
        <w:pStyle w:val="Heading3"/>
      </w:pPr>
      <w:r>
        <w:t xml:space="preserve">Couples</w:t>
      </w:r>
    </w:p>
    <w:p>
      <w:pPr>
        <w:pStyle w:val="FirstParagraph"/>
      </w:pPr>
      <w:r>
        <w:rPr>
          <w:bCs/>
          <w:b/>
        </w:rPr>
        <w:t xml:space="preserve">?@fig-household-composition-couples</w:t>
      </w:r>
      <w:r>
        <w:t xml:space="preserve"> </w:t>
      </w:r>
      <w:r>
        <w:t xml:space="preserve">and</w:t>
      </w:r>
      <w:r>
        <w:t xml:space="preserve"> </w:t>
      </w:r>
      <w:r>
        <w:rPr>
          <w:bCs/>
          <w:b/>
        </w:rPr>
        <w:t xml:space="preserve">?@tbl-household-composition-couples</w:t>
      </w:r>
      <w:r>
        <w:t xml:space="preserve"> </w:t>
      </w:r>
      <w:r>
        <w:t xml:space="preserve">show the distribution of households comprised of a couple, with or without children. These couples may be cohabiting, married, or living in a civil partnership. These households may also include one member in addition to the couple and their children, such as a lodger or a grandparent. Couple-households in which all members are over the age of 65 are considered separately to these households.</w:t>
      </w:r>
    </w:p>
    <w:p>
      <w:pPr>
        <w:pStyle w:val="SourceCode"/>
      </w:pPr>
      <w:r>
        <w:rPr>
          <w:rStyle w:val="VerbatimChar"/>
        </w:rPr>
        <w:t xml:space="preserve">NULL</w:t>
      </w:r>
    </w:p>
    <w:bookmarkStart w:id="59" w:name="tbl-household-composition-couples"/>
    <w:p>
      <w:pPr>
        <w:pStyle w:val="FirstParagraph"/>
      </w:pPr>
      <w:r>
        <w:rPr>
          <w:bCs/>
          <w:b/>
        </w:rPr>
        <w:t xml:space="preserve">?(caption)</w:t>
      </w:r>
    </w:p>
    <w:bookmarkEnd w:id="59"/>
    <w:p>
      <w:r>
        <w:br w:type="page"/>
      </w:r>
    </w:p>
    <w:bookmarkEnd w:id="60"/>
    <w:bookmarkStart w:id="62" w:name="lone-occupants-and-single-parents"/>
    <w:p>
      <w:pPr>
        <w:pStyle w:val="Heading3"/>
      </w:pPr>
      <w:r>
        <w:t xml:space="preserve">Lone occupants and single parents</w:t>
      </w:r>
    </w:p>
    <w:p>
      <w:pPr>
        <w:pStyle w:val="FirstParagraph"/>
      </w:pPr>
      <w:r>
        <w:rPr>
          <w:bCs/>
          <w:b/>
        </w:rPr>
        <w:t xml:space="preserve">?@fig-household-composition-lone</w:t>
      </w:r>
      <w:r>
        <w:t xml:space="preserve"> </w:t>
      </w:r>
      <w:r>
        <w:t xml:space="preserve">and</w:t>
      </w:r>
      <w:r>
        <w:t xml:space="preserve"> </w:t>
      </w:r>
      <w:r>
        <w:rPr>
          <w:bCs/>
          <w:b/>
        </w:rPr>
        <w:t xml:space="preserve">?@tbl-household-composition-lone</w:t>
      </w:r>
      <w:r>
        <w:t xml:space="preserve"> </w:t>
      </w:r>
      <w:r>
        <w:t xml:space="preserve">show the distribution of households comprised of either a single occupant or a single parent living with their children (who may or may not be dependent children). Lone occupants over the age of 65 are considered separately to other lone occupants.</w:t>
      </w:r>
    </w:p>
    <w:p>
      <w:pPr>
        <w:pStyle w:val="SourceCode"/>
      </w:pPr>
      <w:r>
        <w:rPr>
          <w:rStyle w:val="VerbatimChar"/>
        </w:rPr>
        <w:t xml:space="preserve">NULL</w:t>
      </w:r>
    </w:p>
    <w:bookmarkStart w:id="61" w:name="tbl-household-composition-lone"/>
    <w:p>
      <w:pPr>
        <w:pStyle w:val="FirstParagraph"/>
      </w:pPr>
      <w:r>
        <w:rPr>
          <w:bCs/>
          <w:b/>
        </w:rPr>
        <w:t xml:space="preserve">?(caption)</w:t>
      </w:r>
    </w:p>
    <w:bookmarkEnd w:id="61"/>
    <w:p>
      <w:r>
        <w:br w:type="page"/>
      </w:r>
    </w:p>
    <w:bookmarkEnd w:id="62"/>
    <w:bookmarkStart w:id="64" w:name="other"/>
    <w:p>
      <w:pPr>
        <w:pStyle w:val="Heading3"/>
      </w:pPr>
      <w:r>
        <w:t xml:space="preserve">Other</w:t>
      </w:r>
    </w:p>
    <w:p>
      <w:pPr>
        <w:pStyle w:val="FirstParagraph"/>
      </w:pPr>
      <w:r>
        <w:rPr>
          <w:bCs/>
          <w:b/>
        </w:rPr>
        <w:t xml:space="preserve">?@fig-household-composition-other</w:t>
      </w:r>
      <w:r>
        <w:t xml:space="preserve"> </w:t>
      </w:r>
      <w:r>
        <w:t xml:space="preserve">and</w:t>
      </w:r>
      <w:r>
        <w:t xml:space="preserve"> </w:t>
      </w:r>
      <w:r>
        <w:rPr>
          <w:bCs/>
          <w:b/>
        </w:rPr>
        <w:t xml:space="preserve">?@tbl-household-composition-other</w:t>
      </w:r>
      <w:r>
        <w:t xml:space="preserve"> </w:t>
      </w:r>
      <w:r>
        <w:t xml:space="preserve">show the distribution of households not described in previous subsections. These include households comprised of:</w:t>
      </w:r>
    </w:p>
    <w:p>
      <w:pPr>
        <w:pStyle w:val="BodyText"/>
      </w:pPr>
      <w:r>
        <w:t xml:space="preserve">NA</w:t>
      </w:r>
    </w:p>
    <w:p>
      <w:pPr>
        <w:pStyle w:val="SourceCode"/>
      </w:pPr>
      <w:r>
        <w:rPr>
          <w:rStyle w:val="VerbatimChar"/>
        </w:rPr>
        <w:t xml:space="preserve">NULL</w:t>
      </w:r>
    </w:p>
    <w:bookmarkStart w:id="63" w:name="tbl-household-composition-other"/>
    <w:p>
      <w:pPr>
        <w:pStyle w:val="FirstParagraph"/>
      </w:pPr>
      <w:r>
        <w:rPr>
          <w:bCs/>
          <w:b/>
        </w:rPr>
        <w:t xml:space="preserve">?(caption)</w:t>
      </w:r>
    </w:p>
    <w:bookmarkEnd w:id="63"/>
    <w:p>
      <w:r>
        <w:br w:type="page"/>
      </w:r>
    </w:p>
    <w:bookmarkEnd w:id="64"/>
    <w:bookmarkEnd w:id="65"/>
    <w:bookmarkStart w:id="71"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66">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70" w:name="fig-deprivation-map"/>
          <w:p>
            <w:pPr>
              <w:jc w:val="center"/>
            </w:pPr>
            <w:r>
              <w:drawing>
                <wp:inline>
                  <wp:extent cx="4160520" cy="4092632"/>
                  <wp:effectExtent b="0" l="0" r="0" t="0"/>
                  <wp:docPr descr="" title="" id="68" name="Picture"/>
                  <a:graphic>
                    <a:graphicData uri="http://schemas.openxmlformats.org/drawingml/2006/picture">
                      <pic:pic>
                        <pic:nvPicPr>
                          <pic:cNvPr descr="imd-images/ballina.png" id="69" name="Picture"/>
                          <pic:cNvPicPr>
                            <a:picLocks noChangeArrowheads="1" noChangeAspect="1"/>
                          </pic:cNvPicPr>
                        </pic:nvPicPr>
                        <pic:blipFill>
                          <a:blip r:embed="rId67"/>
                          <a:stretch>
                            <a:fillRect/>
                          </a:stretch>
                        </pic:blipFill>
                        <pic:spPr bwMode="auto">
                          <a:xfrm>
                            <a:off x="0" y="0"/>
                            <a:ext cx="4160520" cy="40926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70"/>
        </w:tc>
      </w:tr>
    </w:tbl>
    <w:bookmarkEnd w:id="71"/>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67" Target="media/rId67.png" /><Relationship Type="http://schemas.openxmlformats.org/officeDocument/2006/relationships/hyperlink" Id="rId66"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66"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Ballina Centre of Mission</dc:title>
  <dc:creator>Church Army’s Research Team</dc:creator>
  <cp:keywords/>
  <dcterms:created xsi:type="dcterms:W3CDTF">2023-12-20T12:09:24Z</dcterms:created>
  <dcterms:modified xsi:type="dcterms:W3CDTF">2023-12-20T12:09:24Z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