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Override PartName="/word/media/rId45.png" ContentType="image/png"/>
  <Override PartName="/word/media/rId52.png" ContentType="image/png"/>
  <Override PartName="/word/media/rId39.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Cork</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Cork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p>
      <w:pPr>
        <w:pStyle w:val="FirstParagraph"/>
      </w:pPr>
      <w:r>
        <w:t xml:space="preserve">The data in this section of the report summarise the Centre of Mission’s activity between November 2022 and March 2023.</w:t>
      </w:r>
    </w:p>
    <w:bookmarkStart w:id="21" w:name="com-activities"/>
    <w:p>
      <w:pPr>
        <w:pStyle w:val="Heading3"/>
      </w:pPr>
      <w:r>
        <w:t xml:space="preserve">CoM Activities</w:t>
      </w:r>
    </w:p>
    <w:p>
      <w:pPr>
        <w:pStyle w:val="FirstParagraph"/>
      </w:pPr>
      <w:r>
        <w:t xml:space="preserve">This year Cork CoM has facilitated over 156 hours of activity for approximately 443 people - an average of 26 hours per month. Activities coordinated by Cork CoM include:</w:t>
      </w:r>
    </w:p>
    <w:p>
      <w:pPr>
        <w:numPr>
          <w:ilvl w:val="0"/>
          <w:numId w:val="1001"/>
        </w:numPr>
      </w:pPr>
      <w:r>
        <w:t xml:space="preserve">Parent/Toddler group</w:t>
      </w:r>
    </w:p>
    <w:p>
      <w:pPr>
        <w:numPr>
          <w:ilvl w:val="0"/>
          <w:numId w:val="1001"/>
        </w:numPr>
      </w:pPr>
      <w:r>
        <w:t xml:space="preserve">Sunday AM - Fresh Expression of Church</w:t>
      </w:r>
    </w:p>
    <w:p>
      <w:pPr>
        <w:numPr>
          <w:ilvl w:val="0"/>
          <w:numId w:val="1001"/>
        </w:numPr>
      </w:pPr>
      <w:r>
        <w:t xml:space="preserve">Men’s prayer group</w:t>
      </w:r>
    </w:p>
    <w:p>
      <w:pPr>
        <w:numPr>
          <w:ilvl w:val="0"/>
          <w:numId w:val="1001"/>
        </w:numPr>
      </w:pPr>
      <w:r>
        <w:t xml:space="preserve">Children’ group (Glow 10-12 y.o’s)</w:t>
      </w:r>
    </w:p>
    <w:p>
      <w:pPr>
        <w:numPr>
          <w:ilvl w:val="0"/>
          <w:numId w:val="1001"/>
        </w:numPr>
      </w:pPr>
      <w:r>
        <w:t xml:space="preserve">Teen Bible study</w:t>
      </w:r>
    </w:p>
    <w:p>
      <w:pPr>
        <w:numPr>
          <w:ilvl w:val="0"/>
          <w:numId w:val="1001"/>
        </w:numPr>
      </w:pPr>
      <w:r>
        <w:t xml:space="preserve">Youth group (Glow MAX - Teens)</w:t>
      </w:r>
    </w:p>
    <w:p>
      <w:r>
        <w:br w:type="page"/>
      </w:r>
    </w:p>
    <w:bookmarkEnd w:id="21"/>
    <w:bookmarkEnd w:id="22"/>
    <w:bookmarkStart w:id="25" w:name="growing-faith"/>
    <w:p>
      <w:pPr>
        <w:pStyle w:val="Heading2"/>
      </w:pPr>
      <w:r>
        <w:t xml:space="preserve">Growing faith</w:t>
      </w:r>
    </w:p>
    <w:p>
      <w:pPr>
        <w:pStyle w:val="FirstParagraph"/>
      </w:pPr>
      <w:r>
        <w:t xml:space="preserve">Growing faith can’t always be seen and is tricky to measure, but there have been some encouraging developments at Cork CoM, including:</w:t>
      </w:r>
    </w:p>
    <w:p>
      <w:pPr>
        <w:numPr>
          <w:ilvl w:val="0"/>
          <w:numId w:val="1002"/>
        </w:numPr>
        <w:pStyle w:val="Compact"/>
      </w:pPr>
      <w:r>
        <w:t xml:space="preserve">There have been two requests for confirmation</w:t>
      </w:r>
    </w:p>
    <w:p>
      <w:pPr>
        <w:numPr>
          <w:ilvl w:val="0"/>
          <w:numId w:val="1002"/>
        </w:numPr>
        <w:pStyle w:val="Compact"/>
      </w:pPr>
      <w:r>
        <w:t xml:space="preserve">There are at least six people actively exploring faith</w:t>
      </w:r>
    </w:p>
    <w:p>
      <w:pPr>
        <w:numPr>
          <w:ilvl w:val="0"/>
          <w:numId w:val="1002"/>
        </w:numPr>
        <w:pStyle w:val="Compact"/>
      </w:pPr>
      <w:r>
        <w:t xml:space="preserve">One person has made a recommitment of faith</w:t>
      </w:r>
    </w:p>
    <w:bookmarkStart w:id="23" w:name="other-essentials"/>
    <w:p>
      <w:pPr>
        <w:pStyle w:val="Heading3"/>
      </w:pPr>
      <w:r>
        <w:t xml:space="preserve">Other essentials</w:t>
      </w:r>
    </w:p>
    <w:p>
      <w:pPr>
        <w:pStyle w:val="FirstParagraph"/>
      </w:pPr>
      <w:r>
        <w:t xml:space="preserve">As well as food, the CoM also provided the following essential items or services:</w:t>
      </w:r>
    </w:p>
    <w:tbl>
      <w:tblPr>
        <w:tblStyle w:val="Table"/>
        <w:tblW w:type="pct" w:w="5000"/>
        <w:tblLook w:firstRow="1" w:lastRow="0" w:firstColumn="0" w:lastColumn="0" w:noHBand="0" w:noVBand="0" w:val="0020"/>
        <w:jc w:val="start"/>
      </w:tblPr>
      <w:tblGrid>
        <w:gridCol w:w="2677"/>
        <w:gridCol w:w="1025"/>
        <w:gridCol w:w="4216"/>
      </w:tblGrid>
      <w:tr>
        <w:trPr>
          <w:tblHeader w:val="true"/>
        </w:trPr>
        <w:tc>
          <w:tcPr/>
          <w:p>
            <w:pPr>
              <w:pStyle w:val="Compact"/>
              <w:jc w:val="left"/>
            </w:pPr>
            <w:r>
              <w:t xml:space="preserve">Provision</w:t>
            </w:r>
          </w:p>
        </w:tc>
        <w:tc>
          <w:tcPr/>
          <w:p>
            <w:pPr>
              <w:pStyle w:val="Compact"/>
              <w:jc w:val="left"/>
            </w:pPr>
            <w:r>
              <w:t xml:space="preserve">No. Items/parcels</w:t>
            </w:r>
          </w:p>
        </w:tc>
        <w:tc>
          <w:tcPr/>
          <w:p>
            <w:pPr>
              <w:pStyle w:val="Compact"/>
              <w:jc w:val="left"/>
            </w:pPr>
            <w:r>
              <w:t xml:space="preserve">Details</w:t>
            </w:r>
          </w:p>
        </w:tc>
      </w:tr>
      <w:tr>
        <w:tc>
          <w:tcPr/>
          <w:p>
            <w:pPr>
              <w:pStyle w:val="Compact"/>
              <w:jc w:val="left"/>
            </w:pPr>
            <w:r>
              <w:t xml:space="preserve">Toy Library</w:t>
            </w:r>
          </w:p>
        </w:tc>
        <w:tc>
          <w:tcPr/>
          <w:p>
            <w:pPr>
              <w:pStyle w:val="Compact"/>
              <w:jc w:val="left"/>
            </w:pPr>
            <w:r>
              <w:t xml:space="preserve">40</w:t>
            </w:r>
          </w:p>
        </w:tc>
        <w:tc>
          <w:tcPr/>
          <w:p>
            <w:pPr>
              <w:pStyle w:val="Compact"/>
              <w:jc w:val="left"/>
            </w:pPr>
            <w:r>
              <w:t xml:space="preserve">Free monthly toy library to borrow toys for children 0-8yr old</w:t>
            </w:r>
          </w:p>
        </w:tc>
      </w:tr>
      <w:tr>
        <w:tc>
          <w:tcPr/>
          <w:p>
            <w:pPr>
              <w:pStyle w:val="Compact"/>
              <w:jc w:val="left"/>
            </w:pPr>
            <w:r>
              <w:t xml:space="preserve">Domestic support packs for Ukrainian refugees.</w:t>
            </w:r>
          </w:p>
        </w:tc>
        <w:tc>
          <w:tcPr/>
          <w:p>
            <w:pPr>
              <w:pStyle w:val="Compact"/>
              <w:jc w:val="left"/>
            </w:pPr>
            <w:r>
              <w:t xml:space="preserve">80</w:t>
            </w:r>
          </w:p>
        </w:tc>
        <w:tc>
          <w:tcPr/>
          <w:p>
            <w:pPr>
              <w:pStyle w:val="Compact"/>
              <w:jc w:val="left"/>
            </w:pPr>
            <w:r>
              <w:t xml:space="preserve">Sanitary and domestic backs for incoming women and children from Ukraine.</w:t>
            </w:r>
          </w:p>
        </w:tc>
      </w:tr>
    </w:tbl>
    <w:bookmarkEnd w:id="23"/>
    <w:bookmarkStart w:id="24" w:name="volunteers"/>
    <w:p>
      <w:pPr>
        <w:pStyle w:val="Heading3"/>
      </w:pPr>
      <w:r>
        <w:t xml:space="preserve">Volunteers</w:t>
      </w:r>
    </w:p>
    <w:p>
      <w:pPr>
        <w:pStyle w:val="FirstParagraph"/>
      </w:pPr>
      <w:r>
        <w:t xml:space="preserve">There are 29 volunteers at Cork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70%</w:t>
            </w:r>
          </w:p>
        </w:tc>
      </w:tr>
      <w:tr>
        <w:tc>
          <w:tcPr/>
          <w:p>
            <w:pPr>
              <w:pStyle w:val="Compact"/>
              <w:jc w:val="left"/>
            </w:pPr>
            <w:r>
              <w:t xml:space="preserve">Occasional church-goer</w:t>
            </w:r>
          </w:p>
        </w:tc>
        <w:tc>
          <w:tcPr/>
          <w:p>
            <w:pPr>
              <w:pStyle w:val="Compact"/>
              <w:jc w:val="left"/>
            </w:pPr>
            <w:r>
              <w:t xml:space="preserve">25%</w:t>
            </w:r>
          </w:p>
        </w:tc>
      </w:tr>
      <w:tr>
        <w:tc>
          <w:tcPr/>
          <w:p>
            <w:pPr>
              <w:pStyle w:val="Compact"/>
              <w:jc w:val="left"/>
            </w:pPr>
            <w:r>
              <w:t xml:space="preserve">Historical church-goer</w:t>
            </w:r>
          </w:p>
        </w:tc>
        <w:tc>
          <w:tcPr/>
          <w:p>
            <w:pPr>
              <w:pStyle w:val="Compact"/>
              <w:jc w:val="left"/>
            </w:pPr>
            <w:r>
              <w:t xml:space="preserve">5%</w:t>
            </w:r>
          </w:p>
        </w:tc>
      </w:tr>
      <w:tr>
        <w:tc>
          <w:tcPr/>
          <w:p>
            <w:pPr>
              <w:pStyle w:val="Compact"/>
              <w:jc w:val="left"/>
            </w:pPr>
            <w:r>
              <w:t xml:space="preserve">Never church-goer</w:t>
            </w:r>
          </w:p>
        </w:tc>
        <w:tc>
          <w:tcPr/>
          <w:p>
            <w:pPr>
              <w:pStyle w:val="Compact"/>
              <w:jc w:val="left"/>
            </w:pPr>
            <w:r>
              <w:t xml:space="preserve">0%</w:t>
            </w:r>
          </w:p>
        </w:tc>
      </w:tr>
    </w:tbl>
    <w:p>
      <w:r>
        <w:br w:type="page"/>
      </w:r>
    </w:p>
    <w:bookmarkEnd w:id="24"/>
    <w:bookmarkEnd w:id="25"/>
    <w:bookmarkStart w:id="58"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6"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6"/>
    <w:bookmarkStart w:id="32"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p>
      <w:pPr>
        <w:pStyle w:val="BodyText"/>
      </w:pPr>
      <w:r>
        <w:t xml:space="preserve">The population local to Cork CoM is slightly younger than the national population, and home to more 0-9 and 30-44 year olds.</w:t>
      </w:r>
    </w:p>
    <w:tbl>
      <w:tblPr>
        <w:tblStyle w:val="Table"/>
        <w:tblW w:type="pct" w:w="5000"/>
        <w:tblLook w:firstRow="0" w:lastRow="0" w:firstColumn="0" w:lastColumn="0" w:noHBand="0" w:noVBand="0" w:val="0000"/>
        <w:jc w:val="start"/>
      </w:tblPr>
      <w:tblGrid>
        <w:gridCol w:w="7920"/>
      </w:tblGrid>
      <w:tr>
        <w:tc>
          <w:tcPr/>
          <w:bookmarkStart w:id="30" w:name="fig-age"/>
          <w:p>
            <w:pPr>
              <w:jc w:val="center"/>
            </w:pPr>
            <w:r>
              <w:drawing>
                <wp:inline>
                  <wp:extent cx="5943600" cy="3396342"/>
                  <wp:effectExtent b="0" l="0" r="0" t="0"/>
                  <wp:docPr descr="" title="" id="28" name="Picture"/>
                  <a:graphic>
                    <a:graphicData uri="http://schemas.openxmlformats.org/drawingml/2006/picture">
                      <pic:pic>
                        <pic:nvPicPr>
                          <pic:cNvPr descr="com-report-template_files/figure-docx/fig-age-1.png" id="29"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0"/>
        </w:tc>
      </w:tr>
    </w:tbl>
    <w:p>
      <w:pPr>
        <w:pStyle w:val="BodyText"/>
      </w:pPr>
      <w:r>
        <w:t xml:space="preserve"> </w:t>
      </w:r>
    </w:p>
    <w:bookmarkStart w:id="31"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0-9 years old</w:t>
            </w:r>
          </w:p>
        </w:tc>
        <w:tc>
          <w:tcPr/>
          <w:p>
            <w:pPr>
              <w:pStyle w:val="Compact"/>
              <w:jc w:val="left"/>
            </w:pPr>
            <w:r>
              <w:t xml:space="preserve">14%</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10-19 years old</w:t>
            </w:r>
          </w:p>
        </w:tc>
        <w:tc>
          <w:tcPr/>
          <w:p>
            <w:pPr>
              <w:pStyle w:val="Compact"/>
              <w:jc w:val="left"/>
            </w:pPr>
            <w:r>
              <w:t xml:space="preserve">14%</w:t>
            </w:r>
          </w:p>
        </w:tc>
        <w:tc>
          <w:tcPr/>
          <w:p>
            <w:pPr>
              <w:pStyle w:val="Compact"/>
              <w:jc w:val="left"/>
            </w:pPr>
            <w:r>
              <w:t xml:space="preserve">14%</w:t>
            </w:r>
          </w:p>
        </w:tc>
        <w:tc>
          <w:tcPr/>
          <w:p>
            <w:pPr>
              <w:pStyle w:val="Compact"/>
              <w:jc w:val="left"/>
            </w:pPr>
            <w:r>
              <w:t xml:space="preserve">14%</w:t>
            </w:r>
          </w:p>
        </w:tc>
      </w:tr>
      <w:tr>
        <w:tc>
          <w:tcPr/>
          <w:p>
            <w:pPr>
              <w:pStyle w:val="Compact"/>
              <w:jc w:val="left"/>
            </w:pPr>
            <w:r>
              <w:t xml:space="preserve">20-29 years old</w:t>
            </w:r>
          </w:p>
        </w:tc>
        <w:tc>
          <w:tcPr/>
          <w:p>
            <w:pPr>
              <w:pStyle w:val="Compact"/>
              <w:jc w:val="left"/>
            </w:pPr>
            <w:r>
              <w:t xml:space="preserve">10%</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25%</w:t>
            </w:r>
          </w:p>
        </w:tc>
        <w:tc>
          <w:tcPr/>
          <w:p>
            <w:pPr>
              <w:pStyle w:val="Compact"/>
              <w:jc w:val="left"/>
            </w:pPr>
            <w:r>
              <w:t xml:space="preserve">21%</w:t>
            </w:r>
          </w:p>
        </w:tc>
        <w:tc>
          <w:tcPr/>
          <w:p>
            <w:pPr>
              <w:pStyle w:val="Compact"/>
              <w:jc w:val="left"/>
            </w:pPr>
            <w:r>
              <w:t xml:space="preserve">22%</w:t>
            </w:r>
          </w:p>
        </w:tc>
      </w:tr>
      <w:tr>
        <w:tc>
          <w:tcPr/>
          <w:p>
            <w:pPr>
              <w:pStyle w:val="Compact"/>
              <w:jc w:val="left"/>
            </w:pPr>
            <w:r>
              <w:t xml:space="preserve">45-59 years old</w:t>
            </w:r>
          </w:p>
        </w:tc>
        <w:tc>
          <w:tcPr/>
          <w:p>
            <w:pPr>
              <w:pStyle w:val="Compact"/>
              <w:jc w:val="left"/>
            </w:pPr>
            <w:r>
              <w:t xml:space="preserve">19%</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60-69 years old</w:t>
            </w:r>
          </w:p>
        </w:tc>
        <w:tc>
          <w:tcPr/>
          <w:p>
            <w:pPr>
              <w:pStyle w:val="Compact"/>
              <w:jc w:val="left"/>
            </w:pPr>
            <w:r>
              <w:t xml:space="preserve">10%</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70+ years old</w:t>
            </w:r>
          </w:p>
        </w:tc>
        <w:tc>
          <w:tcPr/>
          <w:p>
            <w:pPr>
              <w:pStyle w:val="Compact"/>
              <w:jc w:val="left"/>
            </w:pPr>
            <w:r>
              <w:t xml:space="preserve">9%</w:t>
            </w:r>
          </w:p>
        </w:tc>
        <w:tc>
          <w:tcPr/>
          <w:p>
            <w:pPr>
              <w:pStyle w:val="Compact"/>
              <w:jc w:val="left"/>
            </w:pPr>
            <w:r>
              <w:t xml:space="preserve">11%</w:t>
            </w:r>
          </w:p>
        </w:tc>
        <w:tc>
          <w:tcPr/>
          <w:p>
            <w:pPr>
              <w:pStyle w:val="Compact"/>
              <w:jc w:val="left"/>
            </w:pPr>
            <w:r>
              <w:t xml:space="preserve">10%</w:t>
            </w:r>
          </w:p>
        </w:tc>
      </w:tr>
    </w:tbl>
    <w:bookmarkEnd w:id="31"/>
    <w:p>
      <w:r>
        <w:br w:type="page"/>
      </w:r>
    </w:p>
    <w:bookmarkEnd w:id="32"/>
    <w:bookmarkStart w:id="38"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p>
      <w:pPr>
        <w:pStyle w:val="BodyText"/>
      </w:pPr>
      <w:r>
        <w:t xml:space="preserve">White people are equally prevalent between the local and the national population. Locally, 1 in 20 people are Asian.</w:t>
      </w:r>
    </w:p>
    <w:tbl>
      <w:tblPr>
        <w:tblStyle w:val="Table"/>
        <w:tblW w:type="pct" w:w="5000"/>
        <w:tblLook w:firstRow="0" w:lastRow="0" w:firstColumn="0" w:lastColumn="0" w:noHBand="0" w:noVBand="0" w:val="0000"/>
        <w:jc w:val="start"/>
      </w:tblPr>
      <w:tblGrid>
        <w:gridCol w:w="7920"/>
      </w:tblGrid>
      <w:tr>
        <w:tc>
          <w:tcPr/>
          <w:bookmarkStart w:id="36" w:name="fig-ethnicity"/>
          <w:p>
            <w:pPr>
              <w:jc w:val="center"/>
            </w:pPr>
            <w:r>
              <w:drawing>
                <wp:inline>
                  <wp:extent cx="5943600" cy="3396342"/>
                  <wp:effectExtent b="0" l="0" r="0" t="0"/>
                  <wp:docPr descr="" title="" id="34" name="Picture"/>
                  <a:graphic>
                    <a:graphicData uri="http://schemas.openxmlformats.org/drawingml/2006/picture">
                      <pic:pic>
                        <pic:nvPicPr>
                          <pic:cNvPr descr="com-report-template_files/figure-docx/fig-ethnicity-1.png" id="35"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6"/>
        </w:tc>
      </w:tr>
    </w:tbl>
    <w:p>
      <w:pPr>
        <w:pStyle w:val="BodyText"/>
      </w:pPr>
      <w:r>
        <w:t xml:space="preserve"> </w:t>
      </w:r>
    </w:p>
    <w:bookmarkStart w:id="37"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White (Irish)</w:t>
            </w:r>
          </w:p>
        </w:tc>
        <w:tc>
          <w:tcPr/>
          <w:p>
            <w:pPr>
              <w:pStyle w:val="Compact"/>
              <w:jc w:val="left"/>
            </w:pPr>
            <w:r>
              <w:t xml:space="preserve">77%</w:t>
            </w:r>
          </w:p>
        </w:tc>
        <w:tc>
          <w:tcPr/>
          <w:p>
            <w:pPr>
              <w:pStyle w:val="Compact"/>
              <w:jc w:val="left"/>
            </w:pPr>
            <w:r>
              <w:t xml:space="preserve">79%</w:t>
            </w:r>
          </w:p>
        </w:tc>
        <w:tc>
          <w:tcPr/>
          <w:p>
            <w:pPr>
              <w:pStyle w:val="Compact"/>
              <w:jc w:val="left"/>
            </w:pPr>
            <w:r>
              <w:t xml:space="preserve">77%</w:t>
            </w:r>
          </w:p>
        </w:tc>
      </w:tr>
      <w:tr>
        <w:tc>
          <w:tcPr/>
          <w:p>
            <w:pPr>
              <w:pStyle w:val="Compact"/>
              <w:jc w:val="left"/>
            </w:pPr>
            <w:r>
              <w:t xml:space="preserve">White (other)</w:t>
            </w:r>
          </w:p>
        </w:tc>
        <w:tc>
          <w:tcPr/>
          <w:p>
            <w:pPr>
              <w:pStyle w:val="Compact"/>
              <w:jc w:val="left"/>
            </w:pPr>
            <w:r>
              <w:t xml:space="preserve">11%</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Asian</w:t>
            </w:r>
          </w:p>
        </w:tc>
        <w:tc>
          <w:tcPr/>
          <w:p>
            <w:pPr>
              <w:pStyle w:val="Compact"/>
              <w:jc w:val="left"/>
            </w:pPr>
            <w:r>
              <w:t xml:space="preserve">5%</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Not stated</w:t>
            </w:r>
          </w:p>
        </w:tc>
        <w:tc>
          <w:tcPr/>
          <w:p>
            <w:pPr>
              <w:pStyle w:val="Compact"/>
              <w:jc w:val="left"/>
            </w:pPr>
            <w:r>
              <w:t xml:space="preserve">3%</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Other</w:t>
            </w:r>
          </w:p>
        </w:tc>
        <w:tc>
          <w:tcPr/>
          <w:p>
            <w:pPr>
              <w:pStyle w:val="Compact"/>
              <w:jc w:val="left"/>
            </w:pPr>
            <w:r>
              <w:t xml:space="preserve">4%</w:t>
            </w:r>
          </w:p>
        </w:tc>
        <w:tc>
          <w:tcPr/>
          <w:p>
            <w:pPr>
              <w:pStyle w:val="Compact"/>
              <w:jc w:val="left"/>
            </w:pPr>
            <w:r>
              <w:t xml:space="preserve">3%</w:t>
            </w:r>
          </w:p>
        </w:tc>
        <w:tc>
          <w:tcPr/>
          <w:p>
            <w:pPr>
              <w:pStyle w:val="Compact"/>
              <w:jc w:val="left"/>
            </w:pPr>
            <w:r>
              <w:t xml:space="preserve">4%</w:t>
            </w:r>
          </w:p>
        </w:tc>
      </w:tr>
    </w:tbl>
    <w:bookmarkEnd w:id="37"/>
    <w:p>
      <w:r>
        <w:br w:type="page"/>
      </w:r>
    </w:p>
    <w:bookmarkEnd w:id="38"/>
    <w:bookmarkStart w:id="44"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p>
      <w:pPr>
        <w:pStyle w:val="BodyText"/>
      </w:pPr>
      <w:r>
        <w:t xml:space="preserve">At the very high level of the CSO census variables, religious affiliation is very similar across the local, diocesan and national populations. 70% of the local population are Catholic.</w:t>
      </w:r>
    </w:p>
    <w:tbl>
      <w:tblPr>
        <w:tblStyle w:val="Table"/>
        <w:tblW w:type="pct" w:w="5000"/>
        <w:tblLook w:firstRow="0" w:lastRow="0" w:firstColumn="0" w:lastColumn="0" w:noHBand="0" w:noVBand="0" w:val="0000"/>
        <w:jc w:val="start"/>
      </w:tblPr>
      <w:tblGrid>
        <w:gridCol w:w="7920"/>
      </w:tblGrid>
      <w:tr>
        <w:tc>
          <w:tcPr/>
          <w:bookmarkStart w:id="42" w:name="fig-religion"/>
          <w:p>
            <w:pPr>
              <w:jc w:val="center"/>
            </w:pPr>
            <w:r>
              <w:drawing>
                <wp:inline>
                  <wp:extent cx="5943600" cy="3396342"/>
                  <wp:effectExtent b="0" l="0" r="0" t="0"/>
                  <wp:docPr descr="" title="" id="40" name="Picture"/>
                  <a:graphic>
                    <a:graphicData uri="http://schemas.openxmlformats.org/drawingml/2006/picture">
                      <pic:pic>
                        <pic:nvPicPr>
                          <pic:cNvPr descr="com-report-template_files/figure-docx/fig-religion-1.png" id="41"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2"/>
        </w:tc>
      </w:tr>
    </w:tbl>
    <w:p>
      <w:pPr>
        <w:pStyle w:val="BodyText"/>
      </w:pPr>
      <w:r>
        <w:t xml:space="preserve"> </w:t>
      </w:r>
    </w:p>
    <w:bookmarkStart w:id="43"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Catholic</w:t>
            </w:r>
          </w:p>
        </w:tc>
        <w:tc>
          <w:tcPr/>
          <w:p>
            <w:pPr>
              <w:pStyle w:val="Compact"/>
              <w:jc w:val="left"/>
            </w:pPr>
            <w:r>
              <w:t xml:space="preserve">71%</w:t>
            </w:r>
          </w:p>
        </w:tc>
        <w:tc>
          <w:tcPr/>
          <w:p>
            <w:pPr>
              <w:pStyle w:val="Compact"/>
              <w:jc w:val="left"/>
            </w:pPr>
            <w:r>
              <w:t xml:space="preserve">71%</w:t>
            </w:r>
          </w:p>
        </w:tc>
        <w:tc>
          <w:tcPr/>
          <w:p>
            <w:pPr>
              <w:pStyle w:val="Compact"/>
              <w:jc w:val="left"/>
            </w:pPr>
            <w:r>
              <w:t xml:space="preserve">69%</w:t>
            </w:r>
          </w:p>
        </w:tc>
      </w:tr>
      <w:tr>
        <w:tc>
          <w:tcPr/>
          <w:p>
            <w:pPr>
              <w:pStyle w:val="Compact"/>
              <w:jc w:val="left"/>
            </w:pPr>
            <w:r>
              <w:t xml:space="preserve">No religion</w:t>
            </w:r>
          </w:p>
        </w:tc>
        <w:tc>
          <w:tcPr/>
          <w:p>
            <w:pPr>
              <w:pStyle w:val="Compact"/>
              <w:jc w:val="left"/>
            </w:pPr>
            <w:r>
              <w:t xml:space="preserve">16%</w:t>
            </w:r>
          </w:p>
        </w:tc>
        <w:tc>
          <w:tcPr/>
          <w:p>
            <w:pPr>
              <w:pStyle w:val="Compact"/>
              <w:jc w:val="left"/>
            </w:pPr>
            <w:r>
              <w:t xml:space="preserve">16%</w:t>
            </w:r>
          </w:p>
        </w:tc>
        <w:tc>
          <w:tcPr/>
          <w:p>
            <w:pPr>
              <w:pStyle w:val="Compact"/>
              <w:jc w:val="left"/>
            </w:pPr>
            <w:r>
              <w:t xml:space="preserve">15%</w:t>
            </w:r>
          </w:p>
        </w:tc>
      </w:tr>
      <w:tr>
        <w:tc>
          <w:tcPr/>
          <w:p>
            <w:pPr>
              <w:pStyle w:val="Compact"/>
              <w:jc w:val="left"/>
            </w:pPr>
            <w:r>
              <w:t xml:space="preserve">Other religion</w:t>
            </w:r>
          </w:p>
        </w:tc>
        <w:tc>
          <w:tcPr/>
          <w:p>
            <w:pPr>
              <w:pStyle w:val="Compact"/>
              <w:jc w:val="left"/>
            </w:pPr>
            <w:r>
              <w:t xml:space="preserve">9%</w:t>
            </w:r>
          </w:p>
        </w:tc>
        <w:tc>
          <w:tcPr/>
          <w:p>
            <w:pPr>
              <w:pStyle w:val="Compact"/>
              <w:jc w:val="left"/>
            </w:pPr>
            <w:r>
              <w:t xml:space="preserve">8%</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4%</w:t>
            </w:r>
          </w:p>
        </w:tc>
        <w:tc>
          <w:tcPr/>
          <w:p>
            <w:pPr>
              <w:pStyle w:val="Compact"/>
              <w:jc w:val="left"/>
            </w:pPr>
            <w:r>
              <w:t xml:space="preserve">6%</w:t>
            </w:r>
          </w:p>
        </w:tc>
        <w:tc>
          <w:tcPr/>
          <w:p>
            <w:pPr>
              <w:pStyle w:val="Compact"/>
              <w:jc w:val="left"/>
            </w:pPr>
            <w:r>
              <w:t xml:space="preserve">7%</w:t>
            </w:r>
          </w:p>
        </w:tc>
      </w:tr>
    </w:tbl>
    <w:bookmarkEnd w:id="43"/>
    <w:p>
      <w:r>
        <w:br w:type="page"/>
      </w:r>
    </w:p>
    <w:bookmarkEnd w:id="44"/>
    <w:bookmarkStart w:id="50" w:name="general-health"/>
    <w:p>
      <w:pPr>
        <w:pStyle w:val="Heading3"/>
      </w:pPr>
      <w:r>
        <w:t xml:space="preserve">General health</w:t>
      </w:r>
    </w:p>
    <w:p>
      <w:pPr>
        <w:pStyle w:val="FirstParagraph"/>
      </w:pPr>
      <w:hyperlink w:anchor="fig-general-health">
        <w:r>
          <w:rPr>
            <w:rStyle w:val="Hyperlink"/>
          </w:rPr>
          <w:t xml:space="preserve">Figure 4</w:t>
        </w:r>
      </w:hyperlink>
      <w:r>
        <w:t xml:space="preserve"> </w:t>
      </w:r>
      <w:r>
        <w:t xml:space="preserve">and</w:t>
      </w:r>
      <w:r>
        <w:t xml:space="preserve"> </w:t>
      </w:r>
      <w:hyperlink w:anchor="tbl-general-health">
        <w:r>
          <w:rPr>
            <w:rStyle w:val="Hyperlink"/>
          </w:rPr>
          <w:t xml:space="preserve">Table 4</w:t>
        </w:r>
      </w:hyperlink>
      <w:r>
        <w:t xml:space="preserve"> </w:t>
      </w:r>
      <w:r>
        <w:t xml:space="preserve">show the self-reported general health of the population across each geography.</w:t>
      </w:r>
    </w:p>
    <w:p>
      <w:pPr>
        <w:pStyle w:val="BodyText"/>
      </w:pPr>
      <w:r>
        <w:t xml:space="preserve">Self repoprted general health outcomes are slightly better in the local area than in the diocese or the nation; 60% of local people rate their overall health as</w:t>
      </w:r>
      <w:r>
        <w:t xml:space="preserve"> </w:t>
      </w:r>
      <w:r>
        <w:t xml:space="preserve">‘</w:t>
      </w:r>
      <w:r>
        <w:t xml:space="preserve">very good</w:t>
      </w:r>
      <w:r>
        <w:t xml:space="preserve">’</w:t>
      </w:r>
      <w:r>
        <w:t xml:space="preserve">.</w:t>
      </w:r>
    </w:p>
    <w:tbl>
      <w:tblPr>
        <w:tblStyle w:val="Table"/>
        <w:tblW w:type="pct" w:w="5000"/>
        <w:tblLook w:firstRow="0" w:lastRow="0" w:firstColumn="0" w:lastColumn="0" w:noHBand="0" w:noVBand="0" w:val="0000"/>
        <w:jc w:val="start"/>
      </w:tblPr>
      <w:tblGrid>
        <w:gridCol w:w="7920"/>
      </w:tblGrid>
      <w:tr>
        <w:tc>
          <w:tcPr/>
          <w:bookmarkStart w:id="48" w:name="fig-general-health"/>
          <w:p>
            <w:pPr>
              <w:jc w:val="center"/>
            </w:pPr>
            <w:r>
              <w:drawing>
                <wp:inline>
                  <wp:extent cx="5943600" cy="3396342"/>
                  <wp:effectExtent b="0" l="0" r="0" t="0"/>
                  <wp:docPr descr="" title="" id="46" name="Picture"/>
                  <a:graphic>
                    <a:graphicData uri="http://schemas.openxmlformats.org/drawingml/2006/picture">
                      <pic:pic>
                        <pic:nvPicPr>
                          <pic:cNvPr descr="com-report-template_files/figure-docx/fig-general-health-1.png" id="47" name="Picture"/>
                          <pic:cNvPicPr>
                            <a:picLocks noChangeArrowheads="1" noChangeAspect="1"/>
                          </pic:cNvPicPr>
                        </pic:nvPicPr>
                        <pic:blipFill>
                          <a:blip r:embed="rId45"/>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Population self-reported general health</w:t>
            </w:r>
          </w:p>
          <w:bookmarkEnd w:id="48"/>
        </w:tc>
      </w:tr>
    </w:tbl>
    <w:p>
      <w:pPr>
        <w:pStyle w:val="BodyText"/>
      </w:pPr>
      <w:r>
        <w:t xml:space="preserve"> </w:t>
      </w:r>
    </w:p>
    <w:bookmarkStart w:id="49" w:name="tbl-general-health"/>
    <w:p>
      <w:pPr>
        <w:pStyle w:val="TableCaption"/>
      </w:pPr>
      <w:r>
        <w:t xml:space="preserve">Table 4: Population self-reported general health</w:t>
      </w:r>
    </w:p>
    <w:tbl>
      <w:tblPr>
        <w:tblStyle w:val="Table"/>
        <w:tblW w:type="auto" w:w="0"/>
        <w:tblLook w:firstRow="1" w:lastRow="0" w:firstColumn="0" w:lastColumn="0" w:noHBand="0" w:noVBand="0" w:val="0020"/>
        <w:jc w:val="start"/>
        <w:tblCaption w:val="Table 4: Population self-reported general health"/>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Very bad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Bad</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Fair</w:t>
            </w:r>
          </w:p>
        </w:tc>
        <w:tc>
          <w:tcPr/>
          <w:p>
            <w:pPr>
              <w:pStyle w:val="Compact"/>
              <w:jc w:val="left"/>
            </w:pPr>
            <w:r>
              <w:t xml:space="preserve">8%</w:t>
            </w:r>
          </w:p>
        </w:tc>
        <w:tc>
          <w:tcPr/>
          <w:p>
            <w:pPr>
              <w:pStyle w:val="Compact"/>
              <w:jc w:val="left"/>
            </w:pPr>
            <w:r>
              <w:t xml:space="preserve">9%</w:t>
            </w:r>
          </w:p>
        </w:tc>
        <w:tc>
          <w:tcPr/>
          <w:p>
            <w:pPr>
              <w:pStyle w:val="Compact"/>
              <w:jc w:val="left"/>
            </w:pPr>
            <w:r>
              <w:t xml:space="preserve">9%</w:t>
            </w:r>
          </w:p>
        </w:tc>
      </w:tr>
      <w:tr>
        <w:tc>
          <w:tcPr/>
          <w:p>
            <w:pPr>
              <w:pStyle w:val="Compact"/>
              <w:jc w:val="left"/>
            </w:pPr>
            <w:r>
              <w:t xml:space="preserve">Good</w:t>
            </w:r>
          </w:p>
        </w:tc>
        <w:tc>
          <w:tcPr/>
          <w:p>
            <w:pPr>
              <w:pStyle w:val="Compact"/>
              <w:jc w:val="left"/>
            </w:pPr>
            <w:r>
              <w:t xml:space="preserve">30%</w:t>
            </w:r>
          </w:p>
        </w:tc>
        <w:tc>
          <w:tcPr/>
          <w:p>
            <w:pPr>
              <w:pStyle w:val="Compact"/>
              <w:jc w:val="left"/>
            </w:pPr>
            <w:r>
              <w:t xml:space="preserve">31%</w:t>
            </w:r>
          </w:p>
        </w:tc>
        <w:tc>
          <w:tcPr/>
          <w:p>
            <w:pPr>
              <w:pStyle w:val="Compact"/>
              <w:jc w:val="left"/>
            </w:pPr>
            <w:r>
              <w:t xml:space="preserve">32%</w:t>
            </w:r>
          </w:p>
        </w:tc>
      </w:tr>
      <w:tr>
        <w:tc>
          <w:tcPr/>
          <w:p>
            <w:pPr>
              <w:pStyle w:val="Compact"/>
              <w:jc w:val="left"/>
            </w:pPr>
            <w:r>
              <w:t xml:space="preserve">Very good</w:t>
            </w:r>
          </w:p>
        </w:tc>
        <w:tc>
          <w:tcPr/>
          <w:p>
            <w:pPr>
              <w:pStyle w:val="Compact"/>
              <w:jc w:val="left"/>
            </w:pPr>
            <w:r>
              <w:t xml:space="preserve">60%</w:t>
            </w:r>
          </w:p>
        </w:tc>
        <w:tc>
          <w:tcPr/>
          <w:p>
            <w:pPr>
              <w:pStyle w:val="Compact"/>
              <w:jc w:val="left"/>
            </w:pPr>
            <w:r>
              <w:t xml:space="preserve">58%</w:t>
            </w:r>
          </w:p>
        </w:tc>
        <w:tc>
          <w:tcPr/>
          <w:p>
            <w:pPr>
              <w:pStyle w:val="Compact"/>
              <w:jc w:val="left"/>
            </w:pPr>
            <w:r>
              <w:t xml:space="preserve">57%</w:t>
            </w:r>
          </w:p>
        </w:tc>
      </w:tr>
    </w:tbl>
    <w:bookmarkEnd w:id="49"/>
    <w:p>
      <w:r>
        <w:br w:type="page"/>
      </w:r>
    </w:p>
    <w:bookmarkEnd w:id="50"/>
    <w:bookmarkStart w:id="51" w:name="household-composition"/>
    <w:p>
      <w:pPr>
        <w:pStyle w:val="Heading3"/>
      </w:pPr>
      <w:r>
        <w:t xml:space="preserve">Household composition</w:t>
      </w:r>
    </w:p>
    <w:p>
      <w:pPr>
        <w:pStyle w:val="FirstParagraph"/>
      </w:pPr>
      <w:r>
        <w:t xml:space="preserve">Household composition can be summarised in a variety of ways. This report gives a high-level overview of households before considering several sub-sections of all households in more detail.</w:t>
      </w:r>
    </w:p>
    <w:bookmarkEnd w:id="51"/>
    <w:bookmarkStart w:id="57" w:name="overview-of-household-composition"/>
    <w:p>
      <w:pPr>
        <w:pStyle w:val="Heading3"/>
      </w:pPr>
      <w:r>
        <w:t xml:space="preserve">Overview of household composition</w:t>
      </w:r>
    </w:p>
    <w:p>
      <w:pPr>
        <w:pStyle w:val="FirstParagraph"/>
      </w:pPr>
      <w:hyperlink w:anchor="fig-household-composition">
        <w:r>
          <w:rPr>
            <w:rStyle w:val="Hyperlink"/>
          </w:rPr>
          <w:t xml:space="preserve">Figure 5</w:t>
        </w:r>
      </w:hyperlink>
      <w:r>
        <w:t xml:space="preserve"> </w:t>
      </w:r>
      <w:r>
        <w:t xml:space="preserve">and</w:t>
      </w:r>
      <w:r>
        <w:t xml:space="preserve"> </w:t>
      </w:r>
      <w:hyperlink w:anchor="tbl-household-composition">
        <w:r>
          <w:rPr>
            <w:rStyle w:val="Hyperlink"/>
          </w:rPr>
          <w:t xml:space="preserve">Table 5</w:t>
        </w:r>
      </w:hyperlink>
      <w:r>
        <w:t xml:space="preserve"> </w:t>
      </w:r>
      <w:r>
        <w:t xml:space="preserve">give a summary of the prevalence of different kinds of household across all geographies. These are: Households comprised of a single occupant, households with dependent children and all other households.</w:t>
      </w:r>
    </w:p>
    <w:p>
      <w:pPr>
        <w:pStyle w:val="BodyText"/>
      </w:pPr>
      <w:r>
        <w:t xml:space="preserve">The composition of households in the local area is broadly similar to that of the whole of the Republic of Ireland, except that couples with children account for a slightly larger share of households, whereas one person households and non-family households account for a smaller share.</w:t>
      </w:r>
    </w:p>
    <w:tbl>
      <w:tblPr>
        <w:tblStyle w:val="Table"/>
        <w:tblW w:type="pct" w:w="5000"/>
        <w:tblLook w:firstRow="0" w:lastRow="0" w:firstColumn="0" w:lastColumn="0" w:noHBand="0" w:noVBand="0" w:val="0000"/>
        <w:jc w:val="start"/>
      </w:tblPr>
      <w:tblGrid>
        <w:gridCol w:w="7920"/>
      </w:tblGrid>
      <w:tr>
        <w:tc>
          <w:tcPr/>
          <w:bookmarkStart w:id="55" w:name="fig-household-composition"/>
          <w:p>
            <w:pPr>
              <w:jc w:val="center"/>
            </w:pPr>
            <w:r>
              <w:drawing>
                <wp:inline>
                  <wp:extent cx="5943600" cy="3396342"/>
                  <wp:effectExtent b="0" l="0" r="0" t="0"/>
                  <wp:docPr descr="" title="" id="53" name="Picture"/>
                  <a:graphic>
                    <a:graphicData uri="http://schemas.openxmlformats.org/drawingml/2006/picture">
                      <pic:pic>
                        <pic:nvPicPr>
                          <pic:cNvPr descr="com-report-template_files/figure-docx/fig-household-composition-1.png" id="54" name="Picture"/>
                          <pic:cNvPicPr>
                            <a:picLocks noChangeArrowheads="1" noChangeAspect="1"/>
                          </pic:cNvPicPr>
                        </pic:nvPicPr>
                        <pic:blipFill>
                          <a:blip r:embed="rId52"/>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household distribution overview</w:t>
            </w:r>
          </w:p>
          <w:bookmarkEnd w:id="55"/>
        </w:tc>
      </w:tr>
    </w:tbl>
    <w:p>
      <w:pPr>
        <w:pStyle w:val="BodyText"/>
      </w:pPr>
      <w:r>
        <w:t xml:space="preserve"> </w:t>
      </w:r>
    </w:p>
    <w:bookmarkStart w:id="56" w:name="tbl-household-composition"/>
    <w:p>
      <w:pPr>
        <w:pStyle w:val="TableCaption"/>
      </w:pPr>
      <w:r>
        <w:t xml:space="preserve">Table 5: Population household distribution overview</w:t>
      </w:r>
    </w:p>
    <w:tbl>
      <w:tblPr>
        <w:tblStyle w:val="Table"/>
        <w:tblW w:type="auto" w:w="0"/>
        <w:tblLook w:firstRow="1" w:lastRow="0" w:firstColumn="0" w:lastColumn="0" w:noHBand="0" w:noVBand="0" w:val="0020"/>
        <w:jc w:val="start"/>
        <w:tblCaption w:val="Table 5: Population household distribution overview"/>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Couple w/ children</w:t>
            </w:r>
          </w:p>
        </w:tc>
        <w:tc>
          <w:tcPr/>
          <w:p>
            <w:pPr>
              <w:pStyle w:val="Compact"/>
              <w:jc w:val="left"/>
            </w:pPr>
            <w:r>
              <w:t xml:space="preserve">41%</w:t>
            </w:r>
          </w:p>
        </w:tc>
        <w:tc>
          <w:tcPr/>
          <w:p>
            <w:pPr>
              <w:pStyle w:val="Compact"/>
              <w:jc w:val="left"/>
            </w:pPr>
            <w:r>
              <w:t xml:space="preserve">36%</w:t>
            </w:r>
          </w:p>
        </w:tc>
        <w:tc>
          <w:tcPr/>
          <w:p>
            <w:pPr>
              <w:pStyle w:val="Compact"/>
              <w:jc w:val="left"/>
            </w:pPr>
            <w:r>
              <w:t xml:space="preserve">36%</w:t>
            </w:r>
          </w:p>
        </w:tc>
      </w:tr>
      <w:tr>
        <w:tc>
          <w:tcPr/>
          <w:p>
            <w:pPr>
              <w:pStyle w:val="Compact"/>
              <w:jc w:val="left"/>
            </w:pPr>
            <w:r>
              <w:t xml:space="preserve">Couple (no children)</w:t>
            </w:r>
          </w:p>
        </w:tc>
        <w:tc>
          <w:tcPr/>
          <w:p>
            <w:pPr>
              <w:pStyle w:val="Compact"/>
              <w:jc w:val="left"/>
            </w:pPr>
            <w:r>
              <w:t xml:space="preserve">21%</w:t>
            </w:r>
          </w:p>
        </w:tc>
        <w:tc>
          <w:tcPr/>
          <w:p>
            <w:pPr>
              <w:pStyle w:val="Compact"/>
              <w:jc w:val="left"/>
            </w:pPr>
            <w:r>
              <w:t xml:space="preserve">21%</w:t>
            </w:r>
          </w:p>
        </w:tc>
        <w:tc>
          <w:tcPr/>
          <w:p>
            <w:pPr>
              <w:pStyle w:val="Compact"/>
              <w:jc w:val="left"/>
            </w:pPr>
            <w:r>
              <w:t xml:space="preserve">21%</w:t>
            </w:r>
          </w:p>
        </w:tc>
      </w:tr>
      <w:tr>
        <w:tc>
          <w:tcPr/>
          <w:p>
            <w:pPr>
              <w:pStyle w:val="Compact"/>
              <w:jc w:val="left"/>
            </w:pPr>
            <w:r>
              <w:t xml:space="preserve">One person</w:t>
            </w:r>
          </w:p>
        </w:tc>
        <w:tc>
          <w:tcPr/>
          <w:p>
            <w:pPr>
              <w:pStyle w:val="Compact"/>
              <w:jc w:val="left"/>
            </w:pPr>
            <w:r>
              <w:t xml:space="preserve">20%</w:t>
            </w:r>
          </w:p>
        </w:tc>
        <w:tc>
          <w:tcPr/>
          <w:p>
            <w:pPr>
              <w:pStyle w:val="Compact"/>
              <w:jc w:val="left"/>
            </w:pPr>
            <w:r>
              <w:t xml:space="preserve">24%</w:t>
            </w:r>
          </w:p>
        </w:tc>
        <w:tc>
          <w:tcPr/>
          <w:p>
            <w:pPr>
              <w:pStyle w:val="Compact"/>
              <w:jc w:val="left"/>
            </w:pPr>
            <w:r>
              <w:t xml:space="preserve">23%</w:t>
            </w:r>
          </w:p>
        </w:tc>
      </w:tr>
      <w:tr>
        <w:tc>
          <w:tcPr/>
          <w:p>
            <w:pPr>
              <w:pStyle w:val="Compact"/>
              <w:jc w:val="left"/>
            </w:pPr>
            <w:r>
              <w:t xml:space="preserve">One parent family</w:t>
            </w:r>
          </w:p>
        </w:tc>
        <w:tc>
          <w:tcPr/>
          <w:p>
            <w:pPr>
              <w:pStyle w:val="Compact"/>
              <w:jc w:val="left"/>
            </w:pPr>
            <w:r>
              <w:t xml:space="preserve">12%</w:t>
            </w:r>
          </w:p>
        </w:tc>
        <w:tc>
          <w:tcPr/>
          <w:p>
            <w:pPr>
              <w:pStyle w:val="Compact"/>
              <w:jc w:val="left"/>
            </w:pPr>
            <w:r>
              <w:t xml:space="preserve">11%</w:t>
            </w:r>
          </w:p>
        </w:tc>
        <w:tc>
          <w:tcPr/>
          <w:p>
            <w:pPr>
              <w:pStyle w:val="Compact"/>
              <w:jc w:val="left"/>
            </w:pPr>
            <w:r>
              <w:t xml:space="preserve">11%</w:t>
            </w:r>
          </w:p>
        </w:tc>
      </w:tr>
      <w:tr>
        <w:tc>
          <w:tcPr/>
          <w:p>
            <w:pPr>
              <w:pStyle w:val="Compact"/>
              <w:jc w:val="left"/>
            </w:pPr>
            <w:r>
              <w:t xml:space="preserve">Non-family households</w:t>
            </w:r>
          </w:p>
        </w:tc>
        <w:tc>
          <w:tcPr/>
          <w:p>
            <w:pPr>
              <w:pStyle w:val="Compact"/>
              <w:jc w:val="left"/>
            </w:pPr>
            <w:r>
              <w:t xml:space="preserve">6%</w:t>
            </w:r>
          </w:p>
        </w:tc>
        <w:tc>
          <w:tcPr/>
          <w:p>
            <w:pPr>
              <w:pStyle w:val="Compact"/>
              <w:jc w:val="left"/>
            </w:pPr>
            <w:r>
              <w:t xml:space="preserve">8%</w:t>
            </w:r>
          </w:p>
        </w:tc>
        <w:tc>
          <w:tcPr/>
          <w:p>
            <w:pPr>
              <w:pStyle w:val="Compact"/>
              <w:jc w:val="left"/>
            </w:pPr>
            <w:r>
              <w:t xml:space="preserve">8%</w:t>
            </w:r>
          </w:p>
        </w:tc>
      </w:tr>
      <w:tr>
        <w:tc>
          <w:tcPr/>
          <w:p>
            <w:pPr>
              <w:pStyle w:val="Compact"/>
              <w:jc w:val="left"/>
            </w:pPr>
            <w:r>
              <w:t xml:space="preserve">Multiple families</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End w:id="56"/>
    <w:p>
      <w:r>
        <w:br w:type="page"/>
      </w:r>
    </w:p>
    <w:bookmarkEnd w:id="57"/>
    <w:bookmarkEnd w:id="58"/>
    <w:bookmarkStart w:id="64" w:name="local-deprivation"/>
    <w:p>
      <w:pPr>
        <w:pStyle w:val="Heading2"/>
      </w:pPr>
      <w:r>
        <w:t xml:space="preserve">Local Deprivation</w:t>
      </w:r>
    </w:p>
    <w:p>
      <w:pPr>
        <w:pStyle w:val="FirstParagraph"/>
      </w:pPr>
      <w:hyperlink w:anchor="fig-deprivation-map">
        <w:r>
          <w:rPr>
            <w:rStyle w:val="Hyperlink"/>
          </w:rPr>
          <w:t xml:space="preserve">Figure 6</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2017 Northern Ireland Multiple Deprivation Measures (NIMD). If you would like to know more about NIMD, you can find out about it</w:t>
      </w:r>
      <w:r>
        <w:t xml:space="preserve"> </w:t>
      </w:r>
      <w:hyperlink r:id="rId59">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63" w:name="fig-deprivation-map"/>
          <w:p>
            <w:pPr>
              <w:jc w:val="center"/>
            </w:pPr>
            <w:r>
              <w:drawing>
                <wp:inline>
                  <wp:extent cx="4160520" cy="2590962"/>
                  <wp:effectExtent b="0" l="0" r="0" t="0"/>
                  <wp:docPr descr="" title="" id="61" name="Picture"/>
                  <a:graphic>
                    <a:graphicData uri="http://schemas.openxmlformats.org/drawingml/2006/picture">
                      <pic:pic>
                        <pic:nvPicPr>
                          <pic:cNvPr descr="imd-images/cork.png" id="62" name="Picture"/>
                          <pic:cNvPicPr>
                            <a:picLocks noChangeArrowheads="1" noChangeAspect="1"/>
                          </pic:cNvPicPr>
                        </pic:nvPicPr>
                        <pic:blipFill>
                          <a:blip r:embed="rId60"/>
                          <a:stretch>
                            <a:fillRect/>
                          </a:stretch>
                        </pic:blipFill>
                        <pic:spPr bwMode="auto">
                          <a:xfrm>
                            <a:off x="0" y="0"/>
                            <a:ext cx="4160520" cy="25909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fig-cap: Map of local deprivation (NIMD2017)</w:t>
            </w:r>
          </w:p>
          <w:bookmarkEnd w:id="63"/>
        </w:tc>
      </w:tr>
    </w:tbl>
    <w:bookmarkEnd w:id="64"/>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60" Target="media/rId60.png" /><Relationship Type="http://schemas.openxmlformats.org/officeDocument/2006/relationships/hyperlink" Id="rId59" Target="https://www.nisra.gov.uk/sites/nisra.gov.uk/files/publications/NIMDM17-%20with%20ns.pdf" TargetMode="External" /></Relationships>
</file>

<file path=word/_rels/footnotes.xml.rels><?xml version="1.0" encoding="UTF-8"?><Relationships xmlns="http://schemas.openxmlformats.org/package/2006/relationships"><Relationship Type="http://schemas.openxmlformats.org/officeDocument/2006/relationships/hyperlink" Id="rId59" Target="https://www.nisra.gov.uk/sites/nisra.gov.uk/files/publications/NIMDM17-%20with%20ns.pdf"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Cork Centre of Mission</dc:title>
  <dc:creator>Church Army’s Research Team</dc:creator>
  <cp:keywords/>
  <dcterms:created xsi:type="dcterms:W3CDTF">2024-01-02T16:12:51Z</dcterms:created>
  <dcterms:modified xsi:type="dcterms:W3CDTF">2024-01-02T16:12:51Z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