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3.png" ContentType="image/png"/>
  <Override PartName="/word/media/rId45.png" ContentType="image/png"/>
  <Override PartName="/word/media/rId52.png" ContentType="image/png"/>
  <Override PartName="/word/media/rId39.png" ContentType="image/png"/>
  <Override PartName="/word/media/rId6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Impact</w:t>
      </w:r>
      <w:r>
        <w:t xml:space="preserve"> </w:t>
      </w:r>
      <w:r>
        <w:t xml:space="preserve">and</w:t>
      </w:r>
      <w:r>
        <w:t xml:space="preserve"> </w:t>
      </w:r>
      <w:r>
        <w:t xml:space="preserve">Context</w:t>
      </w:r>
      <w:r>
        <w:t xml:space="preserve"> </w:t>
      </w:r>
      <w:r>
        <w:t xml:space="preserve">Report:</w:t>
      </w:r>
      <w:r>
        <w:t xml:space="preserve"> </w:t>
      </w:r>
      <w:r>
        <w:t xml:space="preserve">Cork</w:t>
      </w:r>
      <w:r>
        <w:t xml:space="preserve"> </w:t>
      </w:r>
      <w:r>
        <w:t xml:space="preserve">Centre</w:t>
      </w:r>
      <w:r>
        <w:t xml:space="preserve"> </w:t>
      </w:r>
      <w:r>
        <w:t xml:space="preserve">of</w:t>
      </w:r>
      <w:r>
        <w:t xml:space="preserve"> </w:t>
      </w:r>
      <w:r>
        <w:t xml:space="preserve">Mission</w:t>
      </w:r>
    </w:p>
    <w:p>
      <w:pPr>
        <w:pStyle w:val="Author"/>
      </w:pPr>
      <w:r>
        <w:t xml:space="preserve">Church</w:t>
      </w:r>
      <w:r>
        <w:t xml:space="preserve"> </w:t>
      </w:r>
      <w:r>
        <w:t xml:space="preserve">Army’s</w:t>
      </w:r>
      <w:r>
        <w:t xml:space="preserve"> </w:t>
      </w:r>
      <w:r>
        <w:t xml:space="preserve">Research</w:t>
      </w:r>
      <w:r>
        <w:t xml:space="preserve"> </w:t>
      </w:r>
      <w:r>
        <w:t xml:space="preserve">Team</w:t>
      </w:r>
    </w:p>
    <w:bookmarkStart w:id="20" w:name="introduction"/>
    <w:p>
      <w:pPr>
        <w:pStyle w:val="Heading2"/>
      </w:pPr>
      <w:r>
        <w:t xml:space="preserve">Introduction</w:t>
      </w:r>
    </w:p>
    <w:p>
      <w:pPr>
        <w:pStyle w:val="FirstParagraph"/>
      </w:pPr>
      <w:r>
        <w:t xml:space="preserve">This short report provides an overview of the work that’s been taking place at Cork Centre of Mission (CoM) throughout the financial year 2022-2023, then situates that work within its local context using national census data.</w:t>
      </w:r>
    </w:p>
    <w:p>
      <w:pPr>
        <w:pStyle w:val="BodyText"/>
      </w:pPr>
      <w:r>
        <w:t xml:space="preserve">The first section of this report summarises data provided by Church Army evangelists in order to describe the activities undertaken by the CoM, as well as the CoM’s social impact and the ways in which people are exploring and developing faith through the work of the CoM.</w:t>
      </w:r>
    </w:p>
    <w:p>
      <w:pPr>
        <w:pStyle w:val="BodyText"/>
      </w:pPr>
      <w:r>
        <w:t xml:space="preserve">The second section of the report uses data from the</w:t>
      </w:r>
      <w:r>
        <w:t xml:space="preserve"> </w:t>
      </w:r>
      <w:r>
        <w:rPr>
          <w:iCs/>
          <w:i/>
        </w:rPr>
        <w:t xml:space="preserve">Central Statistics Office’s</w:t>
      </w:r>
      <w:r>
        <w:t xml:space="preserve"> </w:t>
      </w:r>
      <w:r>
        <w:t xml:space="preserve">2022 census of the Republic of Ireland to describe the population who live within the area local to the CoM.</w:t>
      </w:r>
    </w:p>
    <w:bookmarkEnd w:id="20"/>
    <w:bookmarkStart w:id="22" w:name="section-1-activities-and-impact"/>
    <w:p>
      <w:pPr>
        <w:pStyle w:val="Heading2"/>
      </w:pPr>
      <w:r>
        <w:t xml:space="preserve">Section 1: Activities and impact</w:t>
      </w:r>
    </w:p>
    <w:p>
      <w:pPr>
        <w:pStyle w:val="FirstParagraph"/>
      </w:pPr>
      <w:r>
        <w:t xml:space="preserve">The data in this section of the report summarise the Centre of Mission’s activity between November 2022 and March 2023.</w:t>
      </w:r>
    </w:p>
    <w:bookmarkStart w:id="21" w:name="com-activities"/>
    <w:p>
      <w:pPr>
        <w:pStyle w:val="Heading3"/>
      </w:pPr>
      <w:r>
        <w:t xml:space="preserve">CoM Activities</w:t>
      </w:r>
    </w:p>
    <w:p>
      <w:pPr>
        <w:pStyle w:val="FirstParagraph"/>
      </w:pPr>
      <w:r>
        <w:t xml:space="preserve">This year Cork CoM has facilitated over 156 hours of activity for approximately 443 people - an average of 26 hours per month. Activities coordinated by Cork CoM include:</w:t>
      </w:r>
    </w:p>
    <w:p>
      <w:pPr>
        <w:numPr>
          <w:ilvl w:val="0"/>
          <w:numId w:val="1001"/>
        </w:numPr>
      </w:pPr>
      <w:r>
        <w:t xml:space="preserve">Parent/Toddler group</w:t>
      </w:r>
    </w:p>
    <w:p>
      <w:pPr>
        <w:numPr>
          <w:ilvl w:val="0"/>
          <w:numId w:val="1001"/>
        </w:numPr>
      </w:pPr>
      <w:r>
        <w:t xml:space="preserve">Sunday AM - Fresh Expression of Church</w:t>
      </w:r>
    </w:p>
    <w:p>
      <w:pPr>
        <w:numPr>
          <w:ilvl w:val="0"/>
          <w:numId w:val="1001"/>
        </w:numPr>
      </w:pPr>
      <w:r>
        <w:t xml:space="preserve">Men’s prayer group</w:t>
      </w:r>
    </w:p>
    <w:p>
      <w:pPr>
        <w:numPr>
          <w:ilvl w:val="0"/>
          <w:numId w:val="1001"/>
        </w:numPr>
      </w:pPr>
      <w:r>
        <w:t xml:space="preserve">Children’ group (Glow 10-12 y.o’s)</w:t>
      </w:r>
    </w:p>
    <w:p>
      <w:pPr>
        <w:numPr>
          <w:ilvl w:val="0"/>
          <w:numId w:val="1001"/>
        </w:numPr>
      </w:pPr>
      <w:r>
        <w:t xml:space="preserve">Teen Bible study</w:t>
      </w:r>
    </w:p>
    <w:p>
      <w:pPr>
        <w:numPr>
          <w:ilvl w:val="0"/>
          <w:numId w:val="1001"/>
        </w:numPr>
      </w:pPr>
      <w:r>
        <w:t xml:space="preserve">Youth group (Glow MAX - Teens)</w:t>
      </w:r>
    </w:p>
    <w:p>
      <w:r>
        <w:br w:type="page"/>
      </w:r>
    </w:p>
    <w:bookmarkEnd w:id="21"/>
    <w:bookmarkEnd w:id="22"/>
    <w:bookmarkStart w:id="25" w:name="growing-faith"/>
    <w:p>
      <w:pPr>
        <w:pStyle w:val="Heading2"/>
      </w:pPr>
      <w:r>
        <w:t xml:space="preserve">Growing faith</w:t>
      </w:r>
    </w:p>
    <w:p>
      <w:pPr>
        <w:pStyle w:val="FirstParagraph"/>
      </w:pPr>
      <w:r>
        <w:t xml:space="preserve">Growing faith can’t always be seen and is tricky to measure, but there have been some encouraging developments at Cork CoM, including:</w:t>
      </w:r>
    </w:p>
    <w:p>
      <w:pPr>
        <w:numPr>
          <w:ilvl w:val="0"/>
          <w:numId w:val="1002"/>
        </w:numPr>
        <w:pStyle w:val="Compact"/>
      </w:pPr>
      <w:r>
        <w:t xml:space="preserve">There have been two requests for confirmation</w:t>
      </w:r>
    </w:p>
    <w:p>
      <w:pPr>
        <w:numPr>
          <w:ilvl w:val="0"/>
          <w:numId w:val="1002"/>
        </w:numPr>
        <w:pStyle w:val="Compact"/>
      </w:pPr>
      <w:r>
        <w:t xml:space="preserve">There are at least six people actively exploring faith</w:t>
      </w:r>
    </w:p>
    <w:p>
      <w:pPr>
        <w:numPr>
          <w:ilvl w:val="0"/>
          <w:numId w:val="1002"/>
        </w:numPr>
        <w:pStyle w:val="Compact"/>
      </w:pPr>
      <w:r>
        <w:t xml:space="preserve">One person has made a recommitment of faith</w:t>
      </w:r>
    </w:p>
    <w:bookmarkStart w:id="23" w:name="other-essentials"/>
    <w:p>
      <w:pPr>
        <w:pStyle w:val="Heading3"/>
      </w:pPr>
      <w:r>
        <w:t xml:space="preserve">Other essentials</w:t>
      </w:r>
    </w:p>
    <w:p>
      <w:pPr>
        <w:pStyle w:val="FirstParagraph"/>
      </w:pPr>
      <w:r>
        <w:t xml:space="preserve">As well as food, the CoM also provided the following essential items or services:</w:t>
      </w:r>
    </w:p>
    <w:tbl>
      <w:tblPr>
        <w:tblStyle w:val="Table"/>
        <w:tblW w:type="pct" w:w="5000"/>
        <w:tblLook w:firstRow="1" w:lastRow="0" w:firstColumn="0" w:lastColumn="0" w:noHBand="0" w:noVBand="0" w:val="0020"/>
        <w:jc w:val="start"/>
      </w:tblPr>
      <w:tblGrid>
        <w:gridCol w:w="2677"/>
        <w:gridCol w:w="1025"/>
        <w:gridCol w:w="4216"/>
      </w:tblGrid>
      <w:tr>
        <w:trPr>
          <w:tblHeader w:val="true"/>
        </w:trPr>
        <w:tc>
          <w:tcPr/>
          <w:p>
            <w:pPr>
              <w:pStyle w:val="Compact"/>
              <w:jc w:val="left"/>
            </w:pPr>
            <w:r>
              <w:t xml:space="preserve">Provision</w:t>
            </w:r>
          </w:p>
        </w:tc>
        <w:tc>
          <w:tcPr/>
          <w:p>
            <w:pPr>
              <w:pStyle w:val="Compact"/>
              <w:jc w:val="left"/>
            </w:pPr>
            <w:r>
              <w:t xml:space="preserve">No. Items/parcels</w:t>
            </w:r>
          </w:p>
        </w:tc>
        <w:tc>
          <w:tcPr/>
          <w:p>
            <w:pPr>
              <w:pStyle w:val="Compact"/>
              <w:jc w:val="left"/>
            </w:pPr>
            <w:r>
              <w:t xml:space="preserve">Details</w:t>
            </w:r>
          </w:p>
        </w:tc>
      </w:tr>
      <w:tr>
        <w:tc>
          <w:tcPr/>
          <w:p>
            <w:pPr>
              <w:pStyle w:val="Compact"/>
              <w:jc w:val="left"/>
            </w:pPr>
            <w:r>
              <w:t xml:space="preserve">Toy Library</w:t>
            </w:r>
          </w:p>
        </w:tc>
        <w:tc>
          <w:tcPr/>
          <w:p>
            <w:pPr>
              <w:pStyle w:val="Compact"/>
              <w:jc w:val="left"/>
            </w:pPr>
            <w:r>
              <w:t xml:space="preserve">40</w:t>
            </w:r>
          </w:p>
        </w:tc>
        <w:tc>
          <w:tcPr/>
          <w:p>
            <w:pPr>
              <w:pStyle w:val="Compact"/>
              <w:jc w:val="left"/>
            </w:pPr>
            <w:r>
              <w:t xml:space="preserve">Free monthly toy library to borrow toys for children 0-8yr old</w:t>
            </w:r>
          </w:p>
        </w:tc>
      </w:tr>
      <w:tr>
        <w:tc>
          <w:tcPr/>
          <w:p>
            <w:pPr>
              <w:pStyle w:val="Compact"/>
              <w:jc w:val="left"/>
            </w:pPr>
            <w:r>
              <w:t xml:space="preserve">Domestic support packs for Ukrainian refugees.</w:t>
            </w:r>
          </w:p>
        </w:tc>
        <w:tc>
          <w:tcPr/>
          <w:p>
            <w:pPr>
              <w:pStyle w:val="Compact"/>
              <w:jc w:val="left"/>
            </w:pPr>
            <w:r>
              <w:t xml:space="preserve">80</w:t>
            </w:r>
          </w:p>
        </w:tc>
        <w:tc>
          <w:tcPr/>
          <w:p>
            <w:pPr>
              <w:pStyle w:val="Compact"/>
              <w:jc w:val="left"/>
            </w:pPr>
            <w:r>
              <w:t xml:space="preserve">Sanitary and domestic backs for incoming women and children from Ukraine.</w:t>
            </w:r>
          </w:p>
        </w:tc>
      </w:tr>
    </w:tbl>
    <w:bookmarkEnd w:id="23"/>
    <w:bookmarkStart w:id="24" w:name="volunteers"/>
    <w:p>
      <w:pPr>
        <w:pStyle w:val="Heading3"/>
      </w:pPr>
      <w:r>
        <w:t xml:space="preserve">Volunteers</w:t>
      </w:r>
    </w:p>
    <w:p>
      <w:pPr>
        <w:pStyle w:val="FirstParagraph"/>
      </w:pPr>
      <w:r>
        <w:t xml:space="preserve">There are 29 volunteers at Cork CoM. The church backgrounds of these volunteers are shown in the table below:</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Church background</w:t>
            </w:r>
          </w:p>
        </w:tc>
        <w:tc>
          <w:tcPr/>
          <w:p>
            <w:pPr>
              <w:pStyle w:val="Compact"/>
              <w:jc w:val="left"/>
            </w:pPr>
            <w:r>
              <w:t xml:space="preserve">%</w:t>
            </w:r>
          </w:p>
        </w:tc>
      </w:tr>
      <w:tr>
        <w:tc>
          <w:tcPr/>
          <w:p>
            <w:pPr>
              <w:pStyle w:val="Compact"/>
              <w:jc w:val="left"/>
            </w:pPr>
            <w:r>
              <w:t xml:space="preserve">Regular church-goer</w:t>
            </w:r>
          </w:p>
        </w:tc>
        <w:tc>
          <w:tcPr/>
          <w:p>
            <w:pPr>
              <w:pStyle w:val="Compact"/>
              <w:jc w:val="left"/>
            </w:pPr>
            <w:r>
              <w:t xml:space="preserve">70%</w:t>
            </w:r>
          </w:p>
        </w:tc>
      </w:tr>
      <w:tr>
        <w:tc>
          <w:tcPr/>
          <w:p>
            <w:pPr>
              <w:pStyle w:val="Compact"/>
              <w:jc w:val="left"/>
            </w:pPr>
            <w:r>
              <w:t xml:space="preserve">Occasional church-goer</w:t>
            </w:r>
          </w:p>
        </w:tc>
        <w:tc>
          <w:tcPr/>
          <w:p>
            <w:pPr>
              <w:pStyle w:val="Compact"/>
              <w:jc w:val="left"/>
            </w:pPr>
            <w:r>
              <w:t xml:space="preserve">25%</w:t>
            </w:r>
          </w:p>
        </w:tc>
      </w:tr>
      <w:tr>
        <w:tc>
          <w:tcPr/>
          <w:p>
            <w:pPr>
              <w:pStyle w:val="Compact"/>
              <w:jc w:val="left"/>
            </w:pPr>
            <w:r>
              <w:t xml:space="preserve">Historical church-goer</w:t>
            </w:r>
          </w:p>
        </w:tc>
        <w:tc>
          <w:tcPr/>
          <w:p>
            <w:pPr>
              <w:pStyle w:val="Compact"/>
              <w:jc w:val="left"/>
            </w:pPr>
            <w:r>
              <w:t xml:space="preserve">5%</w:t>
            </w:r>
          </w:p>
        </w:tc>
      </w:tr>
      <w:tr>
        <w:tc>
          <w:tcPr/>
          <w:p>
            <w:pPr>
              <w:pStyle w:val="Compact"/>
              <w:jc w:val="left"/>
            </w:pPr>
            <w:r>
              <w:t xml:space="preserve">Never church-goer</w:t>
            </w:r>
          </w:p>
        </w:tc>
        <w:tc>
          <w:tcPr/>
          <w:p>
            <w:pPr>
              <w:pStyle w:val="Compact"/>
              <w:jc w:val="left"/>
            </w:pPr>
            <w:r>
              <w:t xml:space="preserve">0%</w:t>
            </w:r>
          </w:p>
        </w:tc>
      </w:tr>
    </w:tbl>
    <w:p>
      <w:r>
        <w:br w:type="page"/>
      </w:r>
    </w:p>
    <w:bookmarkEnd w:id="24"/>
    <w:bookmarkEnd w:id="25"/>
    <w:bookmarkStart w:id="58" w:name="section-2-local-context"/>
    <w:p>
      <w:pPr>
        <w:pStyle w:val="Heading2"/>
      </w:pPr>
      <w:r>
        <w:t xml:space="preserve">Section 2: Local context</w:t>
      </w:r>
    </w:p>
    <w:p>
      <w:pPr>
        <w:pStyle w:val="FirstParagraph"/>
      </w:pPr>
      <w:r>
        <w:t xml:space="preserve">This section of the report describes, at a high level, the characteristics of the area in which the CoM operates. Since many Centres of Mission are set up via a partnership between Church Army and a host diocese, each CoM’s area of operation is compared to the population profiles of the local diocese as well as the nation as a whole.</w:t>
      </w:r>
    </w:p>
    <w:p>
      <w:pPr>
        <w:pStyle w:val="BodyText"/>
      </w:pPr>
      <w:r>
        <w:t xml:space="preserve">The tables and figures in this section describe the CoM’s area of operation in terms of:</w:t>
      </w:r>
    </w:p>
    <w:p>
      <w:pPr>
        <w:numPr>
          <w:ilvl w:val="0"/>
          <w:numId w:val="1003"/>
        </w:numPr>
      </w:pPr>
      <w:r>
        <w:t xml:space="preserve">Age</w:t>
      </w:r>
    </w:p>
    <w:p>
      <w:pPr>
        <w:numPr>
          <w:ilvl w:val="0"/>
          <w:numId w:val="1003"/>
        </w:numPr>
      </w:pPr>
      <w:r>
        <w:t xml:space="preserve">Ethnicity</w:t>
      </w:r>
    </w:p>
    <w:p>
      <w:pPr>
        <w:numPr>
          <w:ilvl w:val="0"/>
          <w:numId w:val="1003"/>
        </w:numPr>
      </w:pPr>
      <w:r>
        <w:t xml:space="preserve">Religion</w:t>
      </w:r>
    </w:p>
    <w:p>
      <w:pPr>
        <w:numPr>
          <w:ilvl w:val="0"/>
          <w:numId w:val="1003"/>
        </w:numPr>
      </w:pPr>
      <w:r>
        <w:t xml:space="preserve">Self-reported general health</w:t>
      </w:r>
    </w:p>
    <w:p>
      <w:pPr>
        <w:numPr>
          <w:ilvl w:val="0"/>
          <w:numId w:val="1003"/>
        </w:numPr>
      </w:pPr>
      <w:r>
        <w:t xml:space="preserve">Household composition</w:t>
      </w:r>
    </w:p>
    <w:p>
      <w:pPr>
        <w:pStyle w:val="FirstParagraph"/>
      </w:pPr>
      <w:r>
        <w:t xml:space="preserve">All the data in this section of the report were collected in the</w:t>
      </w:r>
      <w:r>
        <w:t xml:space="preserve"> </w:t>
      </w:r>
      <w:r>
        <w:rPr>
          <w:iCs/>
          <w:i/>
        </w:rPr>
        <w:t xml:space="preserve">Central Statistics Office’</w:t>
      </w:r>
      <w:r>
        <w:t xml:space="preserve">s 2022 census of the Republic of Ireland.</w:t>
      </w:r>
    </w:p>
    <w:bookmarkStart w:id="26" w:name="methodology"/>
    <w:p>
      <w:pPr>
        <w:pStyle w:val="Heading3"/>
      </w:pPr>
      <w:r>
        <w:t xml:space="preserve">Methodology</w:t>
      </w:r>
    </w:p>
    <w:p>
      <w:pPr>
        <w:pStyle w:val="FirstParagraph"/>
      </w:pPr>
      <w:r>
        <w:t xml:space="preserve">Researchers consulted the lead evangelist at each CoM in order to determine the specific geographical areas in which the CoM operates. These might include, for example, the specific estate on which a CoM runs its activities, or a particular area of housing inhabited by regular attendees of the CoM’s activities. The population characteristics of these areas were approximated via a weighted summation of the populations of the small areas of statistical geography (i.e. output areas) that intersected the area described by the lead evangelist. The weights for this summation were the respective relative intersections of each small area with the area under consideration.</w:t>
      </w:r>
    </w:p>
    <w:p>
      <w:r>
        <w:br w:type="page"/>
      </w:r>
    </w:p>
    <w:bookmarkEnd w:id="26"/>
    <w:bookmarkStart w:id="32" w:name="age"/>
    <w:p>
      <w:pPr>
        <w:pStyle w:val="Heading3"/>
      </w:pPr>
      <w:r>
        <w:t xml:space="preserve">Age</w:t>
      </w:r>
    </w:p>
    <w:p>
      <w:pPr>
        <w:pStyle w:val="FirstParagraph"/>
      </w:pPr>
      <w:hyperlink w:anchor="fig-age">
        <w:r>
          <w:rPr>
            <w:rStyle w:val="Hyperlink"/>
          </w:rPr>
          <w:t xml:space="preserve">Figure 1</w:t>
        </w:r>
      </w:hyperlink>
      <w:r>
        <w:t xml:space="preserve"> </w:t>
      </w:r>
      <w:r>
        <w:t xml:space="preserve">and</w:t>
      </w:r>
      <w:r>
        <w:t xml:space="preserve"> </w:t>
      </w:r>
      <w:hyperlink w:anchor="tbl-age">
        <w:r>
          <w:rPr>
            <w:rStyle w:val="Hyperlink"/>
          </w:rPr>
          <w:t xml:space="preserve">Table 1</w:t>
        </w:r>
      </w:hyperlink>
      <w:r>
        <w:t xml:space="preserve"> </w:t>
      </w:r>
      <w:r>
        <w:t xml:space="preserve">respectively show the ages of the population at the local, diocesan and national level.</w:t>
      </w:r>
    </w:p>
    <w:tbl>
      <w:tblPr>
        <w:tblStyle w:val="Table"/>
        <w:tblW w:type="pct" w:w="5000"/>
        <w:tblLook w:firstRow="0" w:lastRow="0" w:firstColumn="0" w:lastColumn="0" w:noHBand="0" w:noVBand="0" w:val="0000"/>
        <w:jc w:val="start"/>
      </w:tblPr>
      <w:tblGrid>
        <w:gridCol w:w="7920"/>
      </w:tblGrid>
      <w:tr>
        <w:tc>
          <w:tcPr/>
          <w:bookmarkStart w:id="30" w:name="fig-age"/>
          <w:p>
            <w:pPr>
              <w:jc w:val="center"/>
            </w:pPr>
            <w:r>
              <w:drawing>
                <wp:inline>
                  <wp:extent cx="5943600" cy="3396342"/>
                  <wp:effectExtent b="0" l="0" r="0" t="0"/>
                  <wp:docPr descr="" title="" id="28" name="Picture"/>
                  <a:graphic>
                    <a:graphicData uri="http://schemas.openxmlformats.org/drawingml/2006/picture">
                      <pic:pic>
                        <pic:nvPicPr>
                          <pic:cNvPr descr="com-report-template_files/figure-docx/fig-age-1.png" id="29" name="Picture"/>
                          <pic:cNvPicPr>
                            <a:picLocks noChangeArrowheads="1" noChangeAspect="1"/>
                          </pic:cNvPicPr>
                        </pic:nvPicPr>
                        <pic:blipFill>
                          <a:blip r:embed="rId27"/>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Population ages in 10 year bands</w:t>
            </w:r>
          </w:p>
          <w:bookmarkEnd w:id="30"/>
        </w:tc>
      </w:tr>
    </w:tbl>
    <w:p>
      <w:pPr>
        <w:pStyle w:val="BodyText"/>
      </w:pPr>
      <w:r>
        <w:t xml:space="preserve"> </w:t>
      </w:r>
    </w:p>
    <w:bookmarkStart w:id="31" w:name="tbl-age"/>
    <w:p>
      <w:pPr>
        <w:pStyle w:val="TableCaption"/>
      </w:pPr>
      <w:r>
        <w:t xml:space="preserve">Table 1: Population ages in 10 year bands</w:t>
      </w:r>
    </w:p>
    <w:tbl>
      <w:tblPr>
        <w:tblStyle w:val="Table"/>
        <w:tblW w:type="auto" w:w="0"/>
        <w:tblLook w:firstRow="1" w:lastRow="0" w:firstColumn="0" w:lastColumn="0" w:noHBand="0" w:noVBand="0" w:val="0020"/>
        <w:jc w:val="start"/>
        <w:tblCaption w:val="Table 1: Population ages in 10 year band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0-9 years old</w:t>
            </w:r>
          </w:p>
        </w:tc>
        <w:tc>
          <w:tcPr/>
          <w:p>
            <w:pPr>
              <w:pStyle w:val="Compact"/>
              <w:jc w:val="left"/>
            </w:pPr>
            <w:r>
              <w:t xml:space="preserve">14%</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10-19 years old</w:t>
            </w:r>
          </w:p>
        </w:tc>
        <w:tc>
          <w:tcPr/>
          <w:p>
            <w:pPr>
              <w:pStyle w:val="Compact"/>
              <w:jc w:val="left"/>
            </w:pPr>
            <w:r>
              <w:t xml:space="preserve">14%</w:t>
            </w:r>
          </w:p>
        </w:tc>
        <w:tc>
          <w:tcPr/>
          <w:p>
            <w:pPr>
              <w:pStyle w:val="Compact"/>
              <w:jc w:val="left"/>
            </w:pPr>
            <w:r>
              <w:t xml:space="preserve">14%</w:t>
            </w:r>
          </w:p>
        </w:tc>
        <w:tc>
          <w:tcPr/>
          <w:p>
            <w:pPr>
              <w:pStyle w:val="Compact"/>
              <w:jc w:val="left"/>
            </w:pPr>
            <w:r>
              <w:t xml:space="preserve">14%</w:t>
            </w:r>
          </w:p>
        </w:tc>
      </w:tr>
      <w:tr>
        <w:tc>
          <w:tcPr/>
          <w:p>
            <w:pPr>
              <w:pStyle w:val="Compact"/>
              <w:jc w:val="left"/>
            </w:pPr>
            <w:r>
              <w:t xml:space="preserve">20-29 years old</w:t>
            </w:r>
          </w:p>
        </w:tc>
        <w:tc>
          <w:tcPr/>
          <w:p>
            <w:pPr>
              <w:pStyle w:val="Compact"/>
              <w:jc w:val="left"/>
            </w:pPr>
            <w:r>
              <w:t xml:space="preserve">10%</w:t>
            </w:r>
          </w:p>
        </w:tc>
        <w:tc>
          <w:tcPr/>
          <w:p>
            <w:pPr>
              <w:pStyle w:val="Compact"/>
              <w:jc w:val="left"/>
            </w:pPr>
            <w:r>
              <w:t xml:space="preserve">12%</w:t>
            </w:r>
          </w:p>
        </w:tc>
        <w:tc>
          <w:tcPr/>
          <w:p>
            <w:pPr>
              <w:pStyle w:val="Compact"/>
              <w:jc w:val="left"/>
            </w:pPr>
            <w:r>
              <w:t xml:space="preserve">12%</w:t>
            </w:r>
          </w:p>
        </w:tc>
      </w:tr>
      <w:tr>
        <w:tc>
          <w:tcPr/>
          <w:p>
            <w:pPr>
              <w:pStyle w:val="Compact"/>
              <w:jc w:val="left"/>
            </w:pPr>
            <w:r>
              <w:t xml:space="preserve">30-44 years old</w:t>
            </w:r>
          </w:p>
        </w:tc>
        <w:tc>
          <w:tcPr/>
          <w:p>
            <w:pPr>
              <w:pStyle w:val="Compact"/>
              <w:jc w:val="left"/>
            </w:pPr>
            <w:r>
              <w:t xml:space="preserve">25%</w:t>
            </w:r>
          </w:p>
        </w:tc>
        <w:tc>
          <w:tcPr/>
          <w:p>
            <w:pPr>
              <w:pStyle w:val="Compact"/>
              <w:jc w:val="left"/>
            </w:pPr>
            <w:r>
              <w:t xml:space="preserve">21%</w:t>
            </w:r>
          </w:p>
        </w:tc>
        <w:tc>
          <w:tcPr/>
          <w:p>
            <w:pPr>
              <w:pStyle w:val="Compact"/>
              <w:jc w:val="left"/>
            </w:pPr>
            <w:r>
              <w:t xml:space="preserve">22%</w:t>
            </w:r>
          </w:p>
        </w:tc>
      </w:tr>
      <w:tr>
        <w:tc>
          <w:tcPr/>
          <w:p>
            <w:pPr>
              <w:pStyle w:val="Compact"/>
              <w:jc w:val="left"/>
            </w:pPr>
            <w:r>
              <w:t xml:space="preserve">45-59 years old</w:t>
            </w:r>
          </w:p>
        </w:tc>
        <w:tc>
          <w:tcPr/>
          <w:p>
            <w:pPr>
              <w:pStyle w:val="Compact"/>
              <w:jc w:val="left"/>
            </w:pPr>
            <w:r>
              <w:t xml:space="preserve">19%</w:t>
            </w:r>
          </w:p>
        </w:tc>
        <w:tc>
          <w:tcPr/>
          <w:p>
            <w:pPr>
              <w:pStyle w:val="Compact"/>
              <w:jc w:val="left"/>
            </w:pPr>
            <w:r>
              <w:t xml:space="preserve">20%</w:t>
            </w:r>
          </w:p>
        </w:tc>
        <w:tc>
          <w:tcPr/>
          <w:p>
            <w:pPr>
              <w:pStyle w:val="Compact"/>
              <w:jc w:val="left"/>
            </w:pPr>
            <w:r>
              <w:t xml:space="preserve">20%</w:t>
            </w:r>
          </w:p>
        </w:tc>
      </w:tr>
      <w:tr>
        <w:tc>
          <w:tcPr/>
          <w:p>
            <w:pPr>
              <w:pStyle w:val="Compact"/>
              <w:jc w:val="left"/>
            </w:pPr>
            <w:r>
              <w:t xml:space="preserve">60-69 years old</w:t>
            </w:r>
          </w:p>
        </w:tc>
        <w:tc>
          <w:tcPr/>
          <w:p>
            <w:pPr>
              <w:pStyle w:val="Compact"/>
              <w:jc w:val="left"/>
            </w:pPr>
            <w:r>
              <w:t xml:space="preserve">10%</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70+ years old</w:t>
            </w:r>
          </w:p>
        </w:tc>
        <w:tc>
          <w:tcPr/>
          <w:p>
            <w:pPr>
              <w:pStyle w:val="Compact"/>
              <w:jc w:val="left"/>
            </w:pPr>
            <w:r>
              <w:t xml:space="preserve">9%</w:t>
            </w:r>
          </w:p>
        </w:tc>
        <w:tc>
          <w:tcPr/>
          <w:p>
            <w:pPr>
              <w:pStyle w:val="Compact"/>
              <w:jc w:val="left"/>
            </w:pPr>
            <w:r>
              <w:t xml:space="preserve">11%</w:t>
            </w:r>
          </w:p>
        </w:tc>
        <w:tc>
          <w:tcPr/>
          <w:p>
            <w:pPr>
              <w:pStyle w:val="Compact"/>
              <w:jc w:val="left"/>
            </w:pPr>
            <w:r>
              <w:t xml:space="preserve">10%</w:t>
            </w:r>
          </w:p>
        </w:tc>
      </w:tr>
    </w:tbl>
    <w:bookmarkEnd w:id="31"/>
    <w:p>
      <w:r>
        <w:br w:type="page"/>
      </w:r>
    </w:p>
    <w:bookmarkEnd w:id="32"/>
    <w:bookmarkStart w:id="38" w:name="ethnicity"/>
    <w:p>
      <w:pPr>
        <w:pStyle w:val="Heading3"/>
      </w:pPr>
      <w:r>
        <w:t xml:space="preserve">Ethnicity</w:t>
      </w:r>
    </w:p>
    <w:p>
      <w:pPr>
        <w:pStyle w:val="FirstParagraph"/>
      </w:pPr>
      <w:hyperlink w:anchor="fig-ethnicity">
        <w:r>
          <w:rPr>
            <w:rStyle w:val="Hyperlink"/>
          </w:rPr>
          <w:t xml:space="preserve">Figure 2</w:t>
        </w:r>
      </w:hyperlink>
      <w:r>
        <w:t xml:space="preserve"> </w:t>
      </w:r>
      <w:r>
        <w:t xml:space="preserve">and</w:t>
      </w:r>
      <w:r>
        <w:t xml:space="preserve"> </w:t>
      </w:r>
      <w:hyperlink w:anchor="tbl-ethnicity">
        <w:r>
          <w:rPr>
            <w:rStyle w:val="Hyperlink"/>
          </w:rPr>
          <w:t xml:space="preserve">Table 2</w:t>
        </w:r>
      </w:hyperlink>
      <w:r>
        <w:t xml:space="preserve"> </w:t>
      </w:r>
      <w:r>
        <w:t xml:space="preserve">show, at a very high level, the self-reported ethnicity of the population across each geography.</w:t>
      </w:r>
    </w:p>
    <w:tbl>
      <w:tblPr>
        <w:tblStyle w:val="Table"/>
        <w:tblW w:type="pct" w:w="5000"/>
        <w:tblLook w:firstRow="0" w:lastRow="0" w:firstColumn="0" w:lastColumn="0" w:noHBand="0" w:noVBand="0" w:val="0000"/>
        <w:jc w:val="start"/>
      </w:tblPr>
      <w:tblGrid>
        <w:gridCol w:w="7920"/>
      </w:tblGrid>
      <w:tr>
        <w:tc>
          <w:tcPr/>
          <w:bookmarkStart w:id="36" w:name="fig-ethnicity"/>
          <w:p>
            <w:pPr>
              <w:jc w:val="center"/>
            </w:pPr>
            <w:r>
              <w:drawing>
                <wp:inline>
                  <wp:extent cx="5943600" cy="3396342"/>
                  <wp:effectExtent b="0" l="0" r="0" t="0"/>
                  <wp:docPr descr="" title="" id="34" name="Picture"/>
                  <a:graphic>
                    <a:graphicData uri="http://schemas.openxmlformats.org/drawingml/2006/picture">
                      <pic:pic>
                        <pic:nvPicPr>
                          <pic:cNvPr descr="com-report-template_files/figure-docx/fig-ethnicity-1.png" id="35" name="Picture"/>
                          <pic:cNvPicPr>
                            <a:picLocks noChangeArrowheads="1" noChangeAspect="1"/>
                          </pic:cNvPicPr>
                        </pic:nvPicPr>
                        <pic:blipFill>
                          <a:blip r:embed="rId33"/>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Population ethnicities</w:t>
            </w:r>
          </w:p>
          <w:bookmarkEnd w:id="36"/>
        </w:tc>
      </w:tr>
    </w:tbl>
    <w:p>
      <w:pPr>
        <w:pStyle w:val="BodyText"/>
      </w:pPr>
      <w:r>
        <w:t xml:space="preserve"> </w:t>
      </w:r>
    </w:p>
    <w:bookmarkStart w:id="37" w:name="tbl-ethnicity"/>
    <w:p>
      <w:pPr>
        <w:pStyle w:val="TableCaption"/>
      </w:pPr>
      <w:r>
        <w:t xml:space="preserve">Table 2: Population ethnicities</w:t>
      </w:r>
    </w:p>
    <w:tbl>
      <w:tblPr>
        <w:tblStyle w:val="Table"/>
        <w:tblW w:type="auto" w:w="0"/>
        <w:tblLook w:firstRow="1" w:lastRow="0" w:firstColumn="0" w:lastColumn="0" w:noHBand="0" w:noVBand="0" w:val="0020"/>
        <w:jc w:val="start"/>
        <w:tblCaption w:val="Table 2: Population ethnicitie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White (Irish)</w:t>
            </w:r>
          </w:p>
        </w:tc>
        <w:tc>
          <w:tcPr/>
          <w:p>
            <w:pPr>
              <w:pStyle w:val="Compact"/>
              <w:jc w:val="left"/>
            </w:pPr>
            <w:r>
              <w:t xml:space="preserve">77%</w:t>
            </w:r>
          </w:p>
        </w:tc>
        <w:tc>
          <w:tcPr/>
          <w:p>
            <w:pPr>
              <w:pStyle w:val="Compact"/>
              <w:jc w:val="left"/>
            </w:pPr>
            <w:r>
              <w:t xml:space="preserve">79%</w:t>
            </w:r>
          </w:p>
        </w:tc>
        <w:tc>
          <w:tcPr/>
          <w:p>
            <w:pPr>
              <w:pStyle w:val="Compact"/>
              <w:jc w:val="left"/>
            </w:pPr>
            <w:r>
              <w:t xml:space="preserve">77%</w:t>
            </w:r>
          </w:p>
        </w:tc>
      </w:tr>
      <w:tr>
        <w:tc>
          <w:tcPr/>
          <w:p>
            <w:pPr>
              <w:pStyle w:val="Compact"/>
              <w:jc w:val="left"/>
            </w:pPr>
            <w:r>
              <w:t xml:space="preserve">White (other)</w:t>
            </w:r>
          </w:p>
        </w:tc>
        <w:tc>
          <w:tcPr/>
          <w:p>
            <w:pPr>
              <w:pStyle w:val="Compact"/>
              <w:jc w:val="left"/>
            </w:pPr>
            <w:r>
              <w:t xml:space="preserve">11%</w:t>
            </w:r>
          </w:p>
        </w:tc>
        <w:tc>
          <w:tcPr/>
          <w:p>
            <w:pPr>
              <w:pStyle w:val="Compact"/>
              <w:jc w:val="left"/>
            </w:pPr>
            <w:r>
              <w:t xml:space="preserve">10%</w:t>
            </w:r>
          </w:p>
        </w:tc>
        <w:tc>
          <w:tcPr/>
          <w:p>
            <w:pPr>
              <w:pStyle w:val="Compact"/>
              <w:jc w:val="left"/>
            </w:pPr>
            <w:r>
              <w:t xml:space="preserve">10%</w:t>
            </w:r>
          </w:p>
        </w:tc>
      </w:tr>
      <w:tr>
        <w:tc>
          <w:tcPr/>
          <w:p>
            <w:pPr>
              <w:pStyle w:val="Compact"/>
              <w:jc w:val="left"/>
            </w:pPr>
            <w:r>
              <w:t xml:space="preserve">Asian</w:t>
            </w:r>
          </w:p>
        </w:tc>
        <w:tc>
          <w:tcPr/>
          <w:p>
            <w:pPr>
              <w:pStyle w:val="Compact"/>
              <w:jc w:val="left"/>
            </w:pPr>
            <w:r>
              <w:t xml:space="preserve">5%</w:t>
            </w:r>
          </w:p>
        </w:tc>
        <w:tc>
          <w:tcPr/>
          <w:p>
            <w:pPr>
              <w:pStyle w:val="Compact"/>
              <w:jc w:val="left"/>
            </w:pPr>
            <w:r>
              <w:t xml:space="preserve">2%</w:t>
            </w:r>
          </w:p>
        </w:tc>
        <w:tc>
          <w:tcPr/>
          <w:p>
            <w:pPr>
              <w:pStyle w:val="Compact"/>
              <w:jc w:val="left"/>
            </w:pPr>
            <w:r>
              <w:t xml:space="preserve">3%</w:t>
            </w:r>
          </w:p>
        </w:tc>
      </w:tr>
      <w:tr>
        <w:tc>
          <w:tcPr/>
          <w:p>
            <w:pPr>
              <w:pStyle w:val="Compact"/>
              <w:jc w:val="left"/>
            </w:pPr>
            <w:r>
              <w:t xml:space="preserve">Not stated</w:t>
            </w:r>
          </w:p>
        </w:tc>
        <w:tc>
          <w:tcPr/>
          <w:p>
            <w:pPr>
              <w:pStyle w:val="Compact"/>
              <w:jc w:val="left"/>
            </w:pPr>
            <w:r>
              <w:t xml:space="preserve">3%</w:t>
            </w:r>
          </w:p>
        </w:tc>
        <w:tc>
          <w:tcPr/>
          <w:p>
            <w:pPr>
              <w:pStyle w:val="Compact"/>
              <w:jc w:val="left"/>
            </w:pPr>
            <w:r>
              <w:t xml:space="preserve">5%</w:t>
            </w:r>
          </w:p>
        </w:tc>
        <w:tc>
          <w:tcPr/>
          <w:p>
            <w:pPr>
              <w:pStyle w:val="Compact"/>
              <w:jc w:val="left"/>
            </w:pPr>
            <w:r>
              <w:t xml:space="preserve">6%</w:t>
            </w:r>
          </w:p>
        </w:tc>
      </w:tr>
      <w:tr>
        <w:tc>
          <w:tcPr/>
          <w:p>
            <w:pPr>
              <w:pStyle w:val="Compact"/>
              <w:jc w:val="left"/>
            </w:pPr>
            <w:r>
              <w:t xml:space="preserve">Other</w:t>
            </w:r>
          </w:p>
        </w:tc>
        <w:tc>
          <w:tcPr/>
          <w:p>
            <w:pPr>
              <w:pStyle w:val="Compact"/>
              <w:jc w:val="left"/>
            </w:pPr>
            <w:r>
              <w:t xml:space="preserve">4%</w:t>
            </w:r>
          </w:p>
        </w:tc>
        <w:tc>
          <w:tcPr/>
          <w:p>
            <w:pPr>
              <w:pStyle w:val="Compact"/>
              <w:jc w:val="left"/>
            </w:pPr>
            <w:r>
              <w:t xml:space="preserve">3%</w:t>
            </w:r>
          </w:p>
        </w:tc>
        <w:tc>
          <w:tcPr/>
          <w:p>
            <w:pPr>
              <w:pStyle w:val="Compact"/>
              <w:jc w:val="left"/>
            </w:pPr>
            <w:r>
              <w:t xml:space="preserve">4%</w:t>
            </w:r>
          </w:p>
        </w:tc>
      </w:tr>
    </w:tbl>
    <w:bookmarkEnd w:id="37"/>
    <w:p>
      <w:r>
        <w:br w:type="page"/>
      </w:r>
    </w:p>
    <w:bookmarkEnd w:id="38"/>
    <w:bookmarkStart w:id="44" w:name="religion"/>
    <w:p>
      <w:pPr>
        <w:pStyle w:val="Heading3"/>
      </w:pPr>
      <w:r>
        <w:t xml:space="preserve">Religion</w:t>
      </w:r>
    </w:p>
    <w:p>
      <w:pPr>
        <w:pStyle w:val="FirstParagraph"/>
      </w:pPr>
      <w:hyperlink w:anchor="fig-religion">
        <w:r>
          <w:rPr>
            <w:rStyle w:val="Hyperlink"/>
          </w:rPr>
          <w:t xml:space="preserve">Figure 3</w:t>
        </w:r>
      </w:hyperlink>
      <w:r>
        <w:t xml:space="preserve"> </w:t>
      </w:r>
      <w:r>
        <w:t xml:space="preserve">and</w:t>
      </w:r>
      <w:r>
        <w:t xml:space="preserve"> </w:t>
      </w:r>
      <w:hyperlink w:anchor="tbl-religion">
        <w:r>
          <w:rPr>
            <w:rStyle w:val="Hyperlink"/>
          </w:rPr>
          <w:t xml:space="preserve">Table 3</w:t>
        </w:r>
      </w:hyperlink>
      <w:r>
        <w:t xml:space="preserve"> </w:t>
      </w:r>
      <w:r>
        <w:t xml:space="preserve">show the religious beliefs of the population across each geography.</w:t>
      </w:r>
    </w:p>
    <w:tbl>
      <w:tblPr>
        <w:tblStyle w:val="Table"/>
        <w:tblW w:type="pct" w:w="5000"/>
        <w:tblLook w:firstRow="0" w:lastRow="0" w:firstColumn="0" w:lastColumn="0" w:noHBand="0" w:noVBand="0" w:val="0000"/>
        <w:jc w:val="start"/>
      </w:tblPr>
      <w:tblGrid>
        <w:gridCol w:w="7920"/>
      </w:tblGrid>
      <w:tr>
        <w:tc>
          <w:tcPr/>
          <w:bookmarkStart w:id="42" w:name="fig-religion"/>
          <w:p>
            <w:pPr>
              <w:jc w:val="center"/>
            </w:pPr>
            <w:r>
              <w:drawing>
                <wp:inline>
                  <wp:extent cx="5943600" cy="3396342"/>
                  <wp:effectExtent b="0" l="0" r="0" t="0"/>
                  <wp:docPr descr="" title="" id="40" name="Picture"/>
                  <a:graphic>
                    <a:graphicData uri="http://schemas.openxmlformats.org/drawingml/2006/picture">
                      <pic:pic>
                        <pic:nvPicPr>
                          <pic:cNvPr descr="com-report-template_files/figure-docx/fig-religion-1.png" id="41" name="Picture"/>
                          <pic:cNvPicPr>
                            <a:picLocks noChangeArrowheads="1" noChangeAspect="1"/>
                          </pic:cNvPicPr>
                        </pic:nvPicPr>
                        <pic:blipFill>
                          <a:blip r:embed="rId39"/>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Population religions</w:t>
            </w:r>
          </w:p>
          <w:bookmarkEnd w:id="42"/>
        </w:tc>
      </w:tr>
    </w:tbl>
    <w:p>
      <w:pPr>
        <w:pStyle w:val="BodyText"/>
      </w:pPr>
      <w:r>
        <w:t xml:space="preserve"> </w:t>
      </w:r>
    </w:p>
    <w:bookmarkStart w:id="43" w:name="tbl-religion"/>
    <w:p>
      <w:pPr>
        <w:pStyle w:val="TableCaption"/>
      </w:pPr>
      <w:r>
        <w:t xml:space="preserve">Table 3: Population religions</w:t>
      </w:r>
    </w:p>
    <w:tbl>
      <w:tblPr>
        <w:tblStyle w:val="Table"/>
        <w:tblW w:type="auto" w:w="0"/>
        <w:tblLook w:firstRow="1" w:lastRow="0" w:firstColumn="0" w:lastColumn="0" w:noHBand="0" w:noVBand="0" w:val="0020"/>
        <w:jc w:val="start"/>
        <w:tblCaption w:val="Table 3: Population religions"/>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Catholic</w:t>
            </w:r>
          </w:p>
        </w:tc>
        <w:tc>
          <w:tcPr/>
          <w:p>
            <w:pPr>
              <w:pStyle w:val="Compact"/>
              <w:jc w:val="left"/>
            </w:pPr>
            <w:r>
              <w:t xml:space="preserve">71%</w:t>
            </w:r>
          </w:p>
        </w:tc>
        <w:tc>
          <w:tcPr/>
          <w:p>
            <w:pPr>
              <w:pStyle w:val="Compact"/>
              <w:jc w:val="left"/>
            </w:pPr>
            <w:r>
              <w:t xml:space="preserve">71%</w:t>
            </w:r>
          </w:p>
        </w:tc>
        <w:tc>
          <w:tcPr/>
          <w:p>
            <w:pPr>
              <w:pStyle w:val="Compact"/>
              <w:jc w:val="left"/>
            </w:pPr>
            <w:r>
              <w:t xml:space="preserve">69%</w:t>
            </w:r>
          </w:p>
        </w:tc>
      </w:tr>
      <w:tr>
        <w:tc>
          <w:tcPr/>
          <w:p>
            <w:pPr>
              <w:pStyle w:val="Compact"/>
              <w:jc w:val="left"/>
            </w:pPr>
            <w:r>
              <w:t xml:space="preserve">No religion</w:t>
            </w:r>
          </w:p>
        </w:tc>
        <w:tc>
          <w:tcPr/>
          <w:p>
            <w:pPr>
              <w:pStyle w:val="Compact"/>
              <w:jc w:val="left"/>
            </w:pPr>
            <w:r>
              <w:t xml:space="preserve">16%</w:t>
            </w:r>
          </w:p>
        </w:tc>
        <w:tc>
          <w:tcPr/>
          <w:p>
            <w:pPr>
              <w:pStyle w:val="Compact"/>
              <w:jc w:val="left"/>
            </w:pPr>
            <w:r>
              <w:t xml:space="preserve">16%</w:t>
            </w:r>
          </w:p>
        </w:tc>
        <w:tc>
          <w:tcPr/>
          <w:p>
            <w:pPr>
              <w:pStyle w:val="Compact"/>
              <w:jc w:val="left"/>
            </w:pPr>
            <w:r>
              <w:t xml:space="preserve">15%</w:t>
            </w:r>
          </w:p>
        </w:tc>
      </w:tr>
      <w:tr>
        <w:tc>
          <w:tcPr/>
          <w:p>
            <w:pPr>
              <w:pStyle w:val="Compact"/>
              <w:jc w:val="left"/>
            </w:pPr>
            <w:r>
              <w:t xml:space="preserve">Other religion</w:t>
            </w:r>
          </w:p>
        </w:tc>
        <w:tc>
          <w:tcPr/>
          <w:p>
            <w:pPr>
              <w:pStyle w:val="Compact"/>
              <w:jc w:val="left"/>
            </w:pPr>
            <w:r>
              <w:t xml:space="preserve">9%</w:t>
            </w:r>
          </w:p>
        </w:tc>
        <w:tc>
          <w:tcPr/>
          <w:p>
            <w:pPr>
              <w:pStyle w:val="Compact"/>
              <w:jc w:val="left"/>
            </w:pPr>
            <w:r>
              <w:t xml:space="preserve">8%</w:t>
            </w:r>
          </w:p>
        </w:tc>
        <w:tc>
          <w:tcPr/>
          <w:p>
            <w:pPr>
              <w:pStyle w:val="Compact"/>
              <w:jc w:val="left"/>
            </w:pPr>
            <w:r>
              <w:t xml:space="preserve">10%</w:t>
            </w:r>
          </w:p>
        </w:tc>
      </w:tr>
      <w:tr>
        <w:tc>
          <w:tcPr/>
          <w:p>
            <w:pPr>
              <w:pStyle w:val="Compact"/>
              <w:jc w:val="left"/>
            </w:pPr>
            <w:r>
              <w:t xml:space="preserve">Not stated</w:t>
            </w:r>
          </w:p>
        </w:tc>
        <w:tc>
          <w:tcPr/>
          <w:p>
            <w:pPr>
              <w:pStyle w:val="Compact"/>
              <w:jc w:val="left"/>
            </w:pPr>
            <w:r>
              <w:t xml:space="preserve">4%</w:t>
            </w:r>
          </w:p>
        </w:tc>
        <w:tc>
          <w:tcPr/>
          <w:p>
            <w:pPr>
              <w:pStyle w:val="Compact"/>
              <w:jc w:val="left"/>
            </w:pPr>
            <w:r>
              <w:t xml:space="preserve">6%</w:t>
            </w:r>
          </w:p>
        </w:tc>
        <w:tc>
          <w:tcPr/>
          <w:p>
            <w:pPr>
              <w:pStyle w:val="Compact"/>
              <w:jc w:val="left"/>
            </w:pPr>
            <w:r>
              <w:t xml:space="preserve">7%</w:t>
            </w:r>
          </w:p>
        </w:tc>
      </w:tr>
    </w:tbl>
    <w:bookmarkEnd w:id="43"/>
    <w:p>
      <w:r>
        <w:br w:type="page"/>
      </w:r>
    </w:p>
    <w:bookmarkEnd w:id="44"/>
    <w:bookmarkStart w:id="50" w:name="general-health"/>
    <w:p>
      <w:pPr>
        <w:pStyle w:val="Heading3"/>
      </w:pPr>
      <w:r>
        <w:t xml:space="preserve">General health</w:t>
      </w:r>
    </w:p>
    <w:p>
      <w:pPr>
        <w:pStyle w:val="FirstParagraph"/>
      </w:pPr>
      <w:hyperlink w:anchor="fig-general-health">
        <w:r>
          <w:rPr>
            <w:rStyle w:val="Hyperlink"/>
          </w:rPr>
          <w:t xml:space="preserve">Figure 4</w:t>
        </w:r>
      </w:hyperlink>
      <w:r>
        <w:t xml:space="preserve"> </w:t>
      </w:r>
      <w:r>
        <w:t xml:space="preserve">and</w:t>
      </w:r>
      <w:r>
        <w:t xml:space="preserve"> </w:t>
      </w:r>
      <w:hyperlink w:anchor="tbl-general-health">
        <w:r>
          <w:rPr>
            <w:rStyle w:val="Hyperlink"/>
          </w:rPr>
          <w:t xml:space="preserve">Table 4</w:t>
        </w:r>
      </w:hyperlink>
      <w:r>
        <w:t xml:space="preserve"> </w:t>
      </w:r>
      <w:r>
        <w:t xml:space="preserve">show the self-reported general health of the population across each geography.</w:t>
      </w:r>
    </w:p>
    <w:tbl>
      <w:tblPr>
        <w:tblStyle w:val="Table"/>
        <w:tblW w:type="pct" w:w="5000"/>
        <w:tblLook w:firstRow="0" w:lastRow="0" w:firstColumn="0" w:lastColumn="0" w:noHBand="0" w:noVBand="0" w:val="0000"/>
        <w:jc w:val="start"/>
      </w:tblPr>
      <w:tblGrid>
        <w:gridCol w:w="7920"/>
      </w:tblGrid>
      <w:tr>
        <w:tc>
          <w:tcPr/>
          <w:bookmarkStart w:id="48" w:name="fig-general-health"/>
          <w:p>
            <w:pPr>
              <w:jc w:val="center"/>
            </w:pPr>
            <w:r>
              <w:drawing>
                <wp:inline>
                  <wp:extent cx="5943600" cy="3396342"/>
                  <wp:effectExtent b="0" l="0" r="0" t="0"/>
                  <wp:docPr descr="" title="" id="46" name="Picture"/>
                  <a:graphic>
                    <a:graphicData uri="http://schemas.openxmlformats.org/drawingml/2006/picture">
                      <pic:pic>
                        <pic:nvPicPr>
                          <pic:cNvPr descr="com-report-template_files/figure-docx/fig-general-health-1.png" id="47" name="Picture"/>
                          <pic:cNvPicPr>
                            <a:picLocks noChangeArrowheads="1" noChangeAspect="1"/>
                          </pic:cNvPicPr>
                        </pic:nvPicPr>
                        <pic:blipFill>
                          <a:blip r:embed="rId45"/>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Population self-reported general health</w:t>
            </w:r>
          </w:p>
          <w:bookmarkEnd w:id="48"/>
        </w:tc>
      </w:tr>
    </w:tbl>
    <w:p>
      <w:pPr>
        <w:pStyle w:val="BodyText"/>
      </w:pPr>
      <w:r>
        <w:t xml:space="preserve"> </w:t>
      </w:r>
    </w:p>
    <w:bookmarkStart w:id="49" w:name="tbl-general-health"/>
    <w:p>
      <w:pPr>
        <w:pStyle w:val="TableCaption"/>
      </w:pPr>
      <w:r>
        <w:t xml:space="preserve">Table 4: Population self-reported general health</w:t>
      </w:r>
    </w:p>
    <w:tbl>
      <w:tblPr>
        <w:tblStyle w:val="Table"/>
        <w:tblW w:type="auto" w:w="0"/>
        <w:tblLook w:firstRow="1" w:lastRow="0" w:firstColumn="0" w:lastColumn="0" w:noHBand="0" w:noVBand="0" w:val="0020"/>
        <w:jc w:val="start"/>
        <w:tblCaption w:val="Table 4: Population self-reported general health"/>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Very bad</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Bad</w:t>
            </w:r>
          </w:p>
        </w:tc>
        <w:tc>
          <w:tcPr/>
          <w:p>
            <w:pPr>
              <w:pStyle w:val="Compact"/>
              <w:jc w:val="left"/>
            </w:pPr>
            <w:r>
              <w:t xml:space="preserve">1%</w:t>
            </w:r>
          </w:p>
        </w:tc>
        <w:tc>
          <w:tcPr/>
          <w:p>
            <w:pPr>
              <w:pStyle w:val="Compact"/>
              <w:jc w:val="left"/>
            </w:pPr>
            <w:r>
              <w:t xml:space="preserve">1%</w:t>
            </w:r>
          </w:p>
        </w:tc>
        <w:tc>
          <w:tcPr/>
          <w:p>
            <w:pPr>
              <w:pStyle w:val="Compact"/>
              <w:jc w:val="left"/>
            </w:pPr>
            <w:r>
              <w:t xml:space="preserve">2%</w:t>
            </w:r>
          </w:p>
        </w:tc>
      </w:tr>
      <w:tr>
        <w:tc>
          <w:tcPr/>
          <w:p>
            <w:pPr>
              <w:pStyle w:val="Compact"/>
              <w:jc w:val="left"/>
            </w:pPr>
            <w:r>
              <w:t xml:space="preserve">Fair</w:t>
            </w:r>
          </w:p>
        </w:tc>
        <w:tc>
          <w:tcPr/>
          <w:p>
            <w:pPr>
              <w:pStyle w:val="Compact"/>
              <w:jc w:val="left"/>
            </w:pPr>
            <w:r>
              <w:t xml:space="preserve">8%</w:t>
            </w:r>
          </w:p>
        </w:tc>
        <w:tc>
          <w:tcPr/>
          <w:p>
            <w:pPr>
              <w:pStyle w:val="Compact"/>
              <w:jc w:val="left"/>
            </w:pPr>
            <w:r>
              <w:t xml:space="preserve">9%</w:t>
            </w:r>
          </w:p>
        </w:tc>
        <w:tc>
          <w:tcPr/>
          <w:p>
            <w:pPr>
              <w:pStyle w:val="Compact"/>
              <w:jc w:val="left"/>
            </w:pPr>
            <w:r>
              <w:t xml:space="preserve">9%</w:t>
            </w:r>
          </w:p>
        </w:tc>
      </w:tr>
      <w:tr>
        <w:tc>
          <w:tcPr/>
          <w:p>
            <w:pPr>
              <w:pStyle w:val="Compact"/>
              <w:jc w:val="left"/>
            </w:pPr>
            <w:r>
              <w:t xml:space="preserve">Good</w:t>
            </w:r>
          </w:p>
        </w:tc>
        <w:tc>
          <w:tcPr/>
          <w:p>
            <w:pPr>
              <w:pStyle w:val="Compact"/>
              <w:jc w:val="left"/>
            </w:pPr>
            <w:r>
              <w:t xml:space="preserve">30%</w:t>
            </w:r>
          </w:p>
        </w:tc>
        <w:tc>
          <w:tcPr/>
          <w:p>
            <w:pPr>
              <w:pStyle w:val="Compact"/>
              <w:jc w:val="left"/>
            </w:pPr>
            <w:r>
              <w:t xml:space="preserve">31%</w:t>
            </w:r>
          </w:p>
        </w:tc>
        <w:tc>
          <w:tcPr/>
          <w:p>
            <w:pPr>
              <w:pStyle w:val="Compact"/>
              <w:jc w:val="left"/>
            </w:pPr>
            <w:r>
              <w:t xml:space="preserve">32%</w:t>
            </w:r>
          </w:p>
        </w:tc>
      </w:tr>
      <w:tr>
        <w:tc>
          <w:tcPr/>
          <w:p>
            <w:pPr>
              <w:pStyle w:val="Compact"/>
              <w:jc w:val="left"/>
            </w:pPr>
            <w:r>
              <w:t xml:space="preserve">Very good</w:t>
            </w:r>
          </w:p>
        </w:tc>
        <w:tc>
          <w:tcPr/>
          <w:p>
            <w:pPr>
              <w:pStyle w:val="Compact"/>
              <w:jc w:val="left"/>
            </w:pPr>
            <w:r>
              <w:t xml:space="preserve">60%</w:t>
            </w:r>
          </w:p>
        </w:tc>
        <w:tc>
          <w:tcPr/>
          <w:p>
            <w:pPr>
              <w:pStyle w:val="Compact"/>
              <w:jc w:val="left"/>
            </w:pPr>
            <w:r>
              <w:t xml:space="preserve">58%</w:t>
            </w:r>
          </w:p>
        </w:tc>
        <w:tc>
          <w:tcPr/>
          <w:p>
            <w:pPr>
              <w:pStyle w:val="Compact"/>
              <w:jc w:val="left"/>
            </w:pPr>
            <w:r>
              <w:t xml:space="preserve">57%</w:t>
            </w:r>
          </w:p>
        </w:tc>
      </w:tr>
    </w:tbl>
    <w:bookmarkEnd w:id="49"/>
    <w:p>
      <w:r>
        <w:br w:type="page"/>
      </w:r>
    </w:p>
    <w:bookmarkEnd w:id="50"/>
    <w:bookmarkStart w:id="51" w:name="household-composition"/>
    <w:p>
      <w:pPr>
        <w:pStyle w:val="Heading3"/>
      </w:pPr>
      <w:r>
        <w:t xml:space="preserve">Household composition</w:t>
      </w:r>
    </w:p>
    <w:p>
      <w:pPr>
        <w:pStyle w:val="FirstParagraph"/>
      </w:pPr>
      <w:r>
        <w:t xml:space="preserve">Household composition can be summarised in a variety of ways. This report gives a high-level overview of households before considering several sub-sections of all households in more detail.</w:t>
      </w:r>
    </w:p>
    <w:bookmarkEnd w:id="51"/>
    <w:bookmarkStart w:id="57" w:name="overview-of-household-composition"/>
    <w:p>
      <w:pPr>
        <w:pStyle w:val="Heading3"/>
      </w:pPr>
      <w:r>
        <w:t xml:space="preserve">Overview of household composition</w:t>
      </w:r>
    </w:p>
    <w:p>
      <w:pPr>
        <w:pStyle w:val="FirstParagraph"/>
      </w:pPr>
      <w:hyperlink w:anchor="fig-household-composition">
        <w:r>
          <w:rPr>
            <w:rStyle w:val="Hyperlink"/>
          </w:rPr>
          <w:t xml:space="preserve">Figure 5</w:t>
        </w:r>
      </w:hyperlink>
      <w:r>
        <w:t xml:space="preserve"> </w:t>
      </w:r>
      <w:r>
        <w:t xml:space="preserve">and</w:t>
      </w:r>
      <w:r>
        <w:t xml:space="preserve"> </w:t>
      </w:r>
      <w:hyperlink w:anchor="tbl-household-composition">
        <w:r>
          <w:rPr>
            <w:rStyle w:val="Hyperlink"/>
          </w:rPr>
          <w:t xml:space="preserve">Table 5</w:t>
        </w:r>
      </w:hyperlink>
      <w:r>
        <w:t xml:space="preserve"> </w:t>
      </w:r>
      <w:r>
        <w:t xml:space="preserve">give a summary of the prevalence of different kinds of household across all geographies. These are: Households comprised of a single occupant, households with dependent children and all other households.</w:t>
      </w:r>
    </w:p>
    <w:tbl>
      <w:tblPr>
        <w:tblStyle w:val="Table"/>
        <w:tblW w:type="pct" w:w="5000"/>
        <w:tblLook w:firstRow="0" w:lastRow="0" w:firstColumn="0" w:lastColumn="0" w:noHBand="0" w:noVBand="0" w:val="0000"/>
        <w:jc w:val="start"/>
      </w:tblPr>
      <w:tblGrid>
        <w:gridCol w:w="7920"/>
      </w:tblGrid>
      <w:tr>
        <w:tc>
          <w:tcPr/>
          <w:bookmarkStart w:id="55" w:name="fig-household-composition"/>
          <w:p>
            <w:pPr>
              <w:jc w:val="center"/>
            </w:pPr>
            <w:r>
              <w:drawing>
                <wp:inline>
                  <wp:extent cx="5943600" cy="3396342"/>
                  <wp:effectExtent b="0" l="0" r="0" t="0"/>
                  <wp:docPr descr="" title="" id="53" name="Picture"/>
                  <a:graphic>
                    <a:graphicData uri="http://schemas.openxmlformats.org/drawingml/2006/picture">
                      <pic:pic>
                        <pic:nvPicPr>
                          <pic:cNvPr descr="com-report-template_files/figure-docx/fig-household-composition-1.png" id="54" name="Picture"/>
                          <pic:cNvPicPr>
                            <a:picLocks noChangeArrowheads="1" noChangeAspect="1"/>
                          </pic:cNvPicPr>
                        </pic:nvPicPr>
                        <pic:blipFill>
                          <a:blip r:embed="rId52"/>
                          <a:stretch>
                            <a:fillRect/>
                          </a:stretch>
                        </pic:blipFill>
                        <pic:spPr bwMode="auto">
                          <a:xfrm>
                            <a:off x="0" y="0"/>
                            <a:ext cx="5943600" cy="339634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Population household distribution overview</w:t>
            </w:r>
          </w:p>
          <w:bookmarkEnd w:id="55"/>
        </w:tc>
      </w:tr>
    </w:tbl>
    <w:p>
      <w:pPr>
        <w:pStyle w:val="BodyText"/>
      </w:pPr>
      <w:r>
        <w:t xml:space="preserve"> </w:t>
      </w:r>
    </w:p>
    <w:bookmarkStart w:id="56" w:name="tbl-household-composition"/>
    <w:p>
      <w:pPr>
        <w:pStyle w:val="TableCaption"/>
      </w:pPr>
      <w:r>
        <w:t xml:space="preserve">Table 5: Population household distribution overview</w:t>
      </w:r>
    </w:p>
    <w:tbl>
      <w:tblPr>
        <w:tblStyle w:val="Table"/>
        <w:tblW w:type="auto" w:w="0"/>
        <w:tblLook w:firstRow="1" w:lastRow="0" w:firstColumn="0" w:lastColumn="0" w:noHBand="0" w:noVBand="0" w:val="0020"/>
        <w:jc w:val="start"/>
        <w:tblCaption w:val="Table 5: Population household distribution overview"/>
      </w:tblPr>
      <w:tblGrid>
        <w:gridCol w:w="1980"/>
        <w:gridCol w:w="1980"/>
        <w:gridCol w:w="1980"/>
        <w:gridCol w:w="1980"/>
      </w:tblGrid>
      <w:tr>
        <w:trPr>
          <w:tblHeader w:val="true"/>
        </w:trPr>
        <w:tc>
          <w:tcPr/>
          <w:p>
            <w:pPr>
              <w:pStyle w:val="Compact"/>
            </w:pPr>
          </w:p>
        </w:tc>
        <w:tc>
          <w:tcPr/>
          <w:p>
            <w:pPr>
              <w:pStyle w:val="Compact"/>
              <w:jc w:val="left"/>
            </w:pPr>
            <w:r>
              <w:t xml:space="preserve">CoM</w:t>
            </w:r>
          </w:p>
        </w:tc>
        <w:tc>
          <w:tcPr/>
          <w:p>
            <w:pPr>
              <w:pStyle w:val="Compact"/>
              <w:jc w:val="left"/>
            </w:pPr>
            <w:r>
              <w:t xml:space="preserve">Diocese</w:t>
            </w:r>
          </w:p>
        </w:tc>
        <w:tc>
          <w:tcPr/>
          <w:p>
            <w:pPr>
              <w:pStyle w:val="Compact"/>
              <w:jc w:val="left"/>
            </w:pPr>
            <w:r>
              <w:t xml:space="preserve">Republic-of-ireland</w:t>
            </w:r>
          </w:p>
        </w:tc>
      </w:tr>
      <w:tr>
        <w:tc>
          <w:tcPr/>
          <w:p>
            <w:pPr>
              <w:pStyle w:val="Compact"/>
              <w:jc w:val="left"/>
            </w:pPr>
            <w:r>
              <w:t xml:space="preserve">Couple (no children)</w:t>
            </w:r>
          </w:p>
        </w:tc>
        <w:tc>
          <w:tcPr/>
          <w:p>
            <w:pPr>
              <w:pStyle w:val="Compact"/>
              <w:jc w:val="left"/>
            </w:pPr>
            <w:r>
              <w:t xml:space="preserve">21%</w:t>
            </w:r>
          </w:p>
        </w:tc>
        <w:tc>
          <w:tcPr/>
          <w:p>
            <w:pPr>
              <w:pStyle w:val="Compact"/>
              <w:jc w:val="left"/>
            </w:pPr>
            <w:r>
              <w:t xml:space="preserve">21%</w:t>
            </w:r>
          </w:p>
        </w:tc>
        <w:tc>
          <w:tcPr/>
          <w:p>
            <w:pPr>
              <w:pStyle w:val="Compact"/>
              <w:jc w:val="left"/>
            </w:pPr>
            <w:r>
              <w:t xml:space="preserve">21%</w:t>
            </w:r>
          </w:p>
        </w:tc>
      </w:tr>
      <w:tr>
        <w:tc>
          <w:tcPr/>
          <w:p>
            <w:pPr>
              <w:pStyle w:val="Compact"/>
              <w:jc w:val="left"/>
            </w:pPr>
            <w:r>
              <w:t xml:space="preserve">Couple w/ children</w:t>
            </w:r>
          </w:p>
        </w:tc>
        <w:tc>
          <w:tcPr/>
          <w:p>
            <w:pPr>
              <w:pStyle w:val="Compact"/>
              <w:jc w:val="left"/>
            </w:pPr>
            <w:r>
              <w:t xml:space="preserve">41%</w:t>
            </w:r>
          </w:p>
        </w:tc>
        <w:tc>
          <w:tcPr/>
          <w:p>
            <w:pPr>
              <w:pStyle w:val="Compact"/>
              <w:jc w:val="left"/>
            </w:pPr>
            <w:r>
              <w:t xml:space="preserve">36%</w:t>
            </w:r>
          </w:p>
        </w:tc>
        <w:tc>
          <w:tcPr/>
          <w:p>
            <w:pPr>
              <w:pStyle w:val="Compact"/>
              <w:jc w:val="left"/>
            </w:pPr>
            <w:r>
              <w:t xml:space="preserve">36%</w:t>
            </w:r>
          </w:p>
        </w:tc>
      </w:tr>
      <w:tr>
        <w:tc>
          <w:tcPr/>
          <w:p>
            <w:pPr>
              <w:pStyle w:val="Compact"/>
              <w:jc w:val="left"/>
            </w:pPr>
            <w:r>
              <w:t xml:space="preserve">Non-family households</w:t>
            </w:r>
          </w:p>
        </w:tc>
        <w:tc>
          <w:tcPr/>
          <w:p>
            <w:pPr>
              <w:pStyle w:val="Compact"/>
              <w:jc w:val="left"/>
            </w:pPr>
            <w:r>
              <w:t xml:space="preserve">6%</w:t>
            </w:r>
          </w:p>
        </w:tc>
        <w:tc>
          <w:tcPr/>
          <w:p>
            <w:pPr>
              <w:pStyle w:val="Compact"/>
              <w:jc w:val="left"/>
            </w:pPr>
            <w:r>
              <w:t xml:space="preserve">8%</w:t>
            </w:r>
          </w:p>
        </w:tc>
        <w:tc>
          <w:tcPr/>
          <w:p>
            <w:pPr>
              <w:pStyle w:val="Compact"/>
              <w:jc w:val="left"/>
            </w:pPr>
            <w:r>
              <w:t xml:space="preserve">8%</w:t>
            </w:r>
          </w:p>
        </w:tc>
      </w:tr>
      <w:tr>
        <w:tc>
          <w:tcPr/>
          <w:p>
            <w:pPr>
              <w:pStyle w:val="Compact"/>
              <w:jc w:val="left"/>
            </w:pPr>
            <w:r>
              <w:t xml:space="preserve">One parent family</w:t>
            </w:r>
          </w:p>
        </w:tc>
        <w:tc>
          <w:tcPr/>
          <w:p>
            <w:pPr>
              <w:pStyle w:val="Compact"/>
              <w:jc w:val="left"/>
            </w:pPr>
            <w:r>
              <w:t xml:space="preserve">12%</w:t>
            </w:r>
          </w:p>
        </w:tc>
        <w:tc>
          <w:tcPr/>
          <w:p>
            <w:pPr>
              <w:pStyle w:val="Compact"/>
              <w:jc w:val="left"/>
            </w:pPr>
            <w:r>
              <w:t xml:space="preserve">11%</w:t>
            </w:r>
          </w:p>
        </w:tc>
        <w:tc>
          <w:tcPr/>
          <w:p>
            <w:pPr>
              <w:pStyle w:val="Compact"/>
              <w:jc w:val="left"/>
            </w:pPr>
            <w:r>
              <w:t xml:space="preserve">11%</w:t>
            </w:r>
          </w:p>
        </w:tc>
      </w:tr>
      <w:tr>
        <w:tc>
          <w:tcPr/>
          <w:p>
            <w:pPr>
              <w:pStyle w:val="Compact"/>
              <w:jc w:val="left"/>
            </w:pPr>
            <w:r>
              <w:t xml:space="preserve">One person</w:t>
            </w:r>
          </w:p>
        </w:tc>
        <w:tc>
          <w:tcPr/>
          <w:p>
            <w:pPr>
              <w:pStyle w:val="Compact"/>
              <w:jc w:val="left"/>
            </w:pPr>
            <w:r>
              <w:t xml:space="preserve">20%</w:t>
            </w:r>
          </w:p>
        </w:tc>
        <w:tc>
          <w:tcPr/>
          <w:p>
            <w:pPr>
              <w:pStyle w:val="Compact"/>
              <w:jc w:val="left"/>
            </w:pPr>
            <w:r>
              <w:t xml:space="preserve">24%</w:t>
            </w:r>
          </w:p>
        </w:tc>
        <w:tc>
          <w:tcPr/>
          <w:p>
            <w:pPr>
              <w:pStyle w:val="Compact"/>
              <w:jc w:val="left"/>
            </w:pPr>
            <w:r>
              <w:t xml:space="preserve">23%</w:t>
            </w:r>
          </w:p>
        </w:tc>
      </w:tr>
      <w:tr>
        <w:tc>
          <w:tcPr/>
          <w:p>
            <w:pPr>
              <w:pStyle w:val="Compact"/>
              <w:jc w:val="left"/>
            </w:pPr>
            <w:r>
              <w:t xml:space="preserve">Multiple families</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bl>
    <w:bookmarkEnd w:id="56"/>
    <w:p>
      <w:r>
        <w:br w:type="page"/>
      </w:r>
    </w:p>
    <w:bookmarkEnd w:id="57"/>
    <w:bookmarkEnd w:id="58"/>
    <w:bookmarkStart w:id="64" w:name="local-deprivation"/>
    <w:p>
      <w:pPr>
        <w:pStyle w:val="Heading2"/>
      </w:pPr>
      <w:r>
        <w:t xml:space="preserve">Local Deprivation</w:t>
      </w:r>
    </w:p>
    <w:p>
      <w:pPr>
        <w:pStyle w:val="FirstParagraph"/>
      </w:pPr>
      <w:hyperlink w:anchor="fig-deprivation-map">
        <w:r>
          <w:rPr>
            <w:rStyle w:val="Hyperlink"/>
          </w:rPr>
          <w:t xml:space="preserve">Figure 6</w:t>
        </w:r>
      </w:hyperlink>
      <w:r>
        <w:t xml:space="preserve"> </w:t>
      </w:r>
      <w:r>
        <w:t xml:space="preserve">shows a map of relative deprivation of the local area. Small areas that are coloured in red are in the 5% most deprived areas nationally, those coloured orange are in the 10% most deprived, and those coloured yellow are in the 20% most deprived. Transparent areas are outside of the 20% most deprived areas in the nation.</w:t>
      </w:r>
    </w:p>
    <w:p>
      <w:pPr>
        <w:pStyle w:val="BodyText"/>
      </w:pPr>
      <w:r>
        <w:t xml:space="preserve">Relative deprivation data is sourced from the 2017 Northern Ireland Multiple Deprivation Measures (NIMD). If you would like to know more about NIMD, you can find out about it</w:t>
      </w:r>
      <w:r>
        <w:t xml:space="preserve"> </w:t>
      </w:r>
      <w:hyperlink r:id="rId59">
        <w:r>
          <w:rPr>
            <w:rStyle w:val="Hyperlink"/>
          </w:rPr>
          <w:t xml:space="preserve">here</w:t>
        </w:r>
      </w:hyperlink>
      <w:r>
        <w:t xml:space="preserve">.</w:t>
      </w:r>
    </w:p>
    <w:tbl>
      <w:tblPr>
        <w:tblStyle w:val="Table"/>
        <w:tblW w:type="pct" w:w="5000"/>
        <w:tblLook w:firstRow="0" w:lastRow="0" w:firstColumn="0" w:lastColumn="0" w:noHBand="0" w:noVBand="0" w:val="0000"/>
        <w:jc w:val="start"/>
      </w:tblPr>
      <w:tblGrid>
        <w:gridCol w:w="7920"/>
      </w:tblGrid>
      <w:tr>
        <w:tc>
          <w:tcPr/>
          <w:bookmarkStart w:id="63" w:name="fig-deprivation-map"/>
          <w:p>
            <w:pPr>
              <w:jc w:val="center"/>
            </w:pPr>
            <w:r>
              <w:drawing>
                <wp:inline>
                  <wp:extent cx="4160520" cy="2590962"/>
                  <wp:effectExtent b="0" l="0" r="0" t="0"/>
                  <wp:docPr descr="" title="" id="61" name="Picture"/>
                  <a:graphic>
                    <a:graphicData uri="http://schemas.openxmlformats.org/drawingml/2006/picture">
                      <pic:pic>
                        <pic:nvPicPr>
                          <pic:cNvPr descr="imd-images/cork.png" id="62" name="Picture"/>
                          <pic:cNvPicPr>
                            <a:picLocks noChangeArrowheads="1" noChangeAspect="1"/>
                          </pic:cNvPicPr>
                        </pic:nvPicPr>
                        <pic:blipFill>
                          <a:blip r:embed="rId60"/>
                          <a:stretch>
                            <a:fillRect/>
                          </a:stretch>
                        </pic:blipFill>
                        <pic:spPr bwMode="auto">
                          <a:xfrm>
                            <a:off x="0" y="0"/>
                            <a:ext cx="4160520" cy="25909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fig-cap: Map of local deprivation (NIMD2017)</w:t>
            </w:r>
          </w:p>
          <w:bookmarkEnd w:id="63"/>
        </w:tc>
      </w:tr>
    </w:tbl>
    <w:bookmarkEnd w:id="64"/>
    <w:sectPr w:rsidR="009A113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37E8153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589270B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426273362" w:numId="1">
    <w:abstractNumId w:val="0"/>
  </w:num>
  <w:num w16cid:durableId="189805725" w:numId="2">
    <w:abstractNumId w:val="0"/>
  </w:num>
  <w:num w16cid:durableId="229388711" w:numId="3">
    <w:abstractNumId w:val="1"/>
  </w:num>
  <w:num w16cid:durableId="2068142634" w:numId="4">
    <w:abstractNumId w:val="0"/>
  </w:num>
  <w:num w16cid:durableId="348677957" w:numId="5">
    <w:abstractNumId w:val="1"/>
  </w:num>
  <w:num w16cid:durableId="578828176" w:numId="6">
    <w:abstractNumId w:val="0"/>
  </w:num>
  <w:num w16cid:durableId="1556117596" w:numId="7">
    <w:abstractNumId w:val="1"/>
  </w:num>
  <w:num w16cid:durableId="1772049744" w:numId="8">
    <w:abstractNumId w:val="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160" w:line="259"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48EE"/>
  </w:style>
  <w:style w:styleId="Heading1" w:type="paragraph">
    <w:name w:val="heading 1"/>
    <w:basedOn w:val="Normal"/>
    <w:next w:val="Normal"/>
    <w:link w:val="Heading1Char"/>
    <w:uiPriority w:val="9"/>
    <w:qFormat/>
    <w:rsid w:val="00BC48EE"/>
    <w:pPr>
      <w:keepNext/>
      <w:keepLines/>
      <w:spacing w:after="0" w:before="240"/>
      <w:outlineLvl w:val="0"/>
    </w:pPr>
    <w:rPr>
      <w:rFonts w:asciiTheme="majorHAnsi" w:cstheme="majorBidi" w:eastAsiaTheme="majorEastAsia" w:hAnsiTheme="majorHAnsi"/>
      <w:color w:val="E84619"/>
      <w:sz w:val="32"/>
      <w:szCs w:val="32"/>
    </w:rPr>
  </w:style>
  <w:style w:styleId="Heading2" w:type="paragraph">
    <w:name w:val="heading 2"/>
    <w:basedOn w:val="Normal"/>
    <w:next w:val="Normal"/>
    <w:link w:val="Heading2Char"/>
    <w:uiPriority w:val="9"/>
    <w:unhideWhenUsed/>
    <w:qFormat/>
    <w:rsid w:val="00C52505"/>
    <w:pPr>
      <w:keepNext/>
      <w:keepLines/>
      <w:spacing w:after="120" w:before="160"/>
      <w:outlineLvl w:val="1"/>
    </w:pPr>
    <w:rPr>
      <w:rFonts w:cstheme="majorBidi" w:eastAsiaTheme="majorEastAsia"/>
      <w:color w:val="E84619"/>
      <w:sz w:val="26"/>
      <w:szCs w:val="26"/>
    </w:rPr>
  </w:style>
  <w:style w:styleId="Heading3" w:type="paragraph">
    <w:name w:val="heading 3"/>
    <w:basedOn w:val="Heading2"/>
    <w:next w:val="Normal"/>
    <w:link w:val="Heading3Char"/>
    <w:uiPriority w:val="9"/>
    <w:unhideWhenUsed/>
    <w:qFormat/>
    <w:rsid w:val="00BC48EE"/>
    <w:pPr>
      <w:outlineLvl w:val="2"/>
    </w:pPr>
    <w:rPr>
      <w:sz w:val="24"/>
      <w:szCs w:val="24"/>
    </w:rPr>
  </w:style>
  <w:style w:styleId="Heading4" w:type="paragraph">
    <w:name w:val="heading 4"/>
    <w:basedOn w:val="Normal"/>
    <w:next w:val="BodyText"/>
    <w:uiPriority w:val="9"/>
    <w:semiHidden/>
    <w:unhideWhenUsed/>
    <w:qFormat/>
    <w:pPr>
      <w:keepNext/>
      <w:keepLines/>
      <w:spacing w:after="0" w:before="40"/>
      <w:outlineLvl w:val="3"/>
    </w:pPr>
    <w:rPr>
      <w:rFonts w:asciiTheme="majorHAnsi" w:cstheme="majorBidi" w:eastAsiaTheme="majorEastAsia" w:hAnsiTheme="majorHAnsi"/>
      <w:i/>
      <w:iCs/>
      <w:color w:themeColor="accent1" w:themeShade="BF" w:val="AE3311"/>
    </w:rPr>
  </w:style>
  <w:style w:styleId="Heading5" w:type="paragraph">
    <w:name w:val="heading 5"/>
    <w:basedOn w:val="Normal"/>
    <w:next w:val="BodyText"/>
    <w:uiPriority w:val="9"/>
    <w:semiHidden/>
    <w:unhideWhenUsed/>
    <w:qFormat/>
    <w:pPr>
      <w:keepNext/>
      <w:keepLines/>
      <w:spacing w:after="0" w:before="40"/>
      <w:outlineLvl w:val="4"/>
    </w:pPr>
    <w:rPr>
      <w:rFonts w:asciiTheme="majorHAnsi" w:cstheme="majorBidi" w:eastAsiaTheme="majorEastAsia" w:hAnsiTheme="majorHAnsi"/>
      <w:color w:themeColor="accent1" w:themeShade="BF" w:val="AE3311"/>
    </w:rPr>
  </w:style>
  <w:style w:styleId="Heading6" w:type="paragraph">
    <w:name w:val="heading 6"/>
    <w:basedOn w:val="Normal"/>
    <w:next w:val="BodyText"/>
    <w:uiPriority w:val="9"/>
    <w:semiHidden/>
    <w:unhideWhenUsed/>
    <w:qFormat/>
    <w:pPr>
      <w:keepNext/>
      <w:keepLines/>
      <w:spacing w:after="0" w:before="40"/>
      <w:outlineLvl w:val="5"/>
    </w:pPr>
    <w:rPr>
      <w:rFonts w:asciiTheme="majorHAnsi" w:cstheme="majorBidi" w:eastAsiaTheme="majorEastAsia" w:hAnsiTheme="majorHAnsi"/>
      <w:color w:themeColor="accent1" w:themeShade="7F" w:val="74220B"/>
    </w:rPr>
  </w:style>
  <w:style w:styleId="Heading7" w:type="paragraph">
    <w:name w:val="heading 7"/>
    <w:basedOn w:val="Normal"/>
    <w:next w:val="BodyText"/>
    <w:uiPriority w:val="9"/>
    <w:semiHidden/>
    <w:unhideWhenUsed/>
    <w:qFormat/>
    <w:pPr>
      <w:keepNext/>
      <w:keepLines/>
      <w:spacing w:after="0" w:before="40"/>
      <w:outlineLvl w:val="6"/>
    </w:pPr>
    <w:rPr>
      <w:rFonts w:asciiTheme="majorHAnsi" w:cstheme="majorBidi" w:eastAsiaTheme="majorEastAsia" w:hAnsiTheme="majorHAnsi"/>
      <w:i/>
      <w:iCs/>
      <w:color w:themeColor="accent1" w:themeShade="7F" w:val="74220B"/>
    </w:rPr>
  </w:style>
  <w:style w:styleId="Heading8" w:type="paragraph">
    <w:name w:val="heading 8"/>
    <w:basedOn w:val="Normal"/>
    <w:next w:val="BodyText"/>
    <w:uiPriority w:val="9"/>
    <w:semiHidden/>
    <w:unhideWhenUsed/>
    <w:qFormat/>
    <w:pPr>
      <w:keepNext/>
      <w:keepLines/>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BodyText"/>
    <w:uiPriority w:val="9"/>
    <w:semiHidden/>
    <w:unhideWhenUsed/>
    <w:qFormat/>
    <w:pPr>
      <w:keepNext/>
      <w:keepLines/>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BC48EE"/>
    <w:pPr>
      <w:spacing w:after="0" w:line="240" w:lineRule="auto"/>
      <w:contextualSpacing/>
    </w:pPr>
    <w:rPr>
      <w:rFonts w:asciiTheme="majorHAnsi" w:cstheme="majorBidi" w:eastAsiaTheme="majorEastAsia" w:hAnsiTheme="majorHAnsi"/>
      <w:spacing w:val="-10"/>
      <w:kern w:val="28"/>
      <w:sz w:val="56"/>
      <w:szCs w:val="56"/>
    </w:rPr>
  </w:style>
  <w:style w:styleId="Subtitle" w:type="paragraph">
    <w:name w:val="Subtitle"/>
    <w:basedOn w:val="Title"/>
    <w:next w:val="BodyText"/>
    <w:uiPriority w:val="11"/>
    <w:qFormat/>
    <w:rsid w:val="00407ED7"/>
    <w:pPr>
      <w:numPr>
        <w:ilvl w:val="1"/>
      </w:numPr>
      <w:spacing w:after="160" w:line="259" w:lineRule="auto"/>
      <w:contextualSpacing w:val="0"/>
      <w:jc w:val="right"/>
    </w:pPr>
    <w:rPr>
      <w:rFonts w:asciiTheme="minorHAnsi" w:cstheme="minorBidi" w:eastAsiaTheme="minorEastAsia" w:hAnsiTheme="minorHAnsi"/>
      <w:color w:themeColor="text1" w:themeTint="A5" w:val="5A5A5A"/>
      <w:spacing w:val="15"/>
      <w:kern w:val="0"/>
      <w:sz w:val="22"/>
      <w:szCs w:val="22"/>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uiPriority w:val="35"/>
    <w:semiHidden/>
    <w:unhideWhenUsed/>
    <w:qFormat/>
    <w:pPr>
      <w:spacing w:after="200" w:line="240" w:lineRule="auto"/>
    </w:pPr>
    <w:rPr>
      <w:i/>
      <w:iCs/>
      <w:color w:themeColor="text2" w:val="44546A"/>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semiHidden/>
    <w:rPr>
      <w:i/>
      <w:iCs/>
      <w:color w:themeColor="text2" w:val="44546A"/>
      <w:sz w:val="18"/>
      <w:szCs w:val="18"/>
    </w:rPr>
  </w:style>
  <w:style w:customStyle="1" w:styleId="VerbatimChar" w:type="character">
    <w:name w:val="Verbatim Char"/>
    <w:basedOn w:val="CaptionChar"/>
    <w:link w:val="SourceCode"/>
    <w:rPr>
      <w:rFonts w:ascii="Consolas" w:hAnsi="Consolas"/>
      <w:i/>
      <w:iCs/>
      <w:color w:themeColor="text2" w:val="44546A"/>
      <w:sz w:val="22"/>
      <w:szCs w:val="18"/>
    </w:rPr>
  </w:style>
  <w:style w:customStyle="1" w:styleId="SectionNumber" w:type="character">
    <w:name w:val="Section Number"/>
    <w:basedOn w:val="CaptionChar"/>
    <w:rPr>
      <w:i/>
      <w:iCs/>
      <w:color w:themeColor="text2" w:val="44546A"/>
      <w:sz w:val="18"/>
      <w:szCs w:val="18"/>
    </w:rPr>
  </w:style>
  <w:style w:styleId="FootnoteReference" w:type="character">
    <w:name w:val="footnote reference"/>
    <w:basedOn w:val="CaptionChar"/>
    <w:rPr>
      <w:i/>
      <w:iCs/>
      <w:color w:themeColor="text2" w:val="44546A"/>
      <w:sz w:val="18"/>
      <w:szCs w:val="18"/>
      <w:vertAlign w:val="superscript"/>
    </w:rPr>
  </w:style>
  <w:style w:styleId="Hyperlink" w:type="character">
    <w:name w:val="Hyperlink"/>
    <w:basedOn w:val="CaptionChar"/>
    <w:rsid w:val="00A3328F"/>
    <w:rPr>
      <w:i w:val="0"/>
      <w:iCs/>
      <w:color w:themeColor="accent1" w:val="E84619"/>
      <w:sz w:val="22"/>
      <w:szCs w:val="18"/>
      <w:u w:val="none"/>
    </w:rPr>
  </w:style>
  <w:style w:styleId="TOCHeading" w:type="paragraph">
    <w:name w:val="TOC Heading"/>
    <w:basedOn w:val="Heading1"/>
    <w:next w:val="BodyText"/>
    <w:uiPriority w:val="39"/>
    <w:semiHidden/>
    <w:unhideWhenUsed/>
    <w:qFormat/>
    <w:pPr>
      <w:outlineLvl w:val="9"/>
    </w:pPr>
    <w:rPr>
      <w:color w:themeColor="accent1" w:themeShade="BF" w:val="AE331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iCs/>
      <w:color w:val="003B4F"/>
      <w:sz w:val="22"/>
      <w:szCs w:val="18"/>
      <w:shd w:color="auto" w:fill="F1F3F5" w:val="clear"/>
    </w:rPr>
  </w:style>
  <w:style w:customStyle="1" w:styleId="DataTypeTok" w:type="character">
    <w:name w:val="DataTypeTok"/>
    <w:basedOn w:val="VerbatimChar"/>
    <w:rPr>
      <w:rFonts w:ascii="Consolas" w:hAnsi="Consolas"/>
      <w:i/>
      <w:iCs/>
      <w:color w:val="AD0000"/>
      <w:sz w:val="22"/>
      <w:szCs w:val="18"/>
      <w:shd w:color="auto" w:fill="F1F3F5" w:val="clear"/>
    </w:rPr>
  </w:style>
  <w:style w:customStyle="1" w:styleId="DecValTok" w:type="character">
    <w:name w:val="DecValTok"/>
    <w:basedOn w:val="VerbatimChar"/>
    <w:rPr>
      <w:rFonts w:ascii="Consolas" w:hAnsi="Consolas"/>
      <w:i/>
      <w:iCs/>
      <w:color w:val="AD0000"/>
      <w:sz w:val="22"/>
      <w:szCs w:val="18"/>
      <w:shd w:color="auto" w:fill="F1F3F5" w:val="clear"/>
    </w:rPr>
  </w:style>
  <w:style w:customStyle="1" w:styleId="BaseNTok" w:type="character">
    <w:name w:val="BaseNTok"/>
    <w:basedOn w:val="VerbatimChar"/>
    <w:rPr>
      <w:rFonts w:ascii="Consolas" w:hAnsi="Consolas"/>
      <w:i/>
      <w:iCs/>
      <w:color w:val="AD0000"/>
      <w:sz w:val="22"/>
      <w:szCs w:val="18"/>
      <w:shd w:color="auto" w:fill="F1F3F5" w:val="clear"/>
    </w:rPr>
  </w:style>
  <w:style w:customStyle="1" w:styleId="FloatTok" w:type="character">
    <w:name w:val="FloatTok"/>
    <w:basedOn w:val="VerbatimChar"/>
    <w:rPr>
      <w:rFonts w:ascii="Consolas" w:hAnsi="Consolas"/>
      <w:i/>
      <w:iCs/>
      <w:color w:val="AD0000"/>
      <w:sz w:val="22"/>
      <w:szCs w:val="18"/>
      <w:shd w:color="auto" w:fill="F1F3F5" w:val="clear"/>
    </w:rPr>
  </w:style>
  <w:style w:customStyle="1" w:styleId="ConstantTok" w:type="character">
    <w:name w:val="ConstantTok"/>
    <w:basedOn w:val="VerbatimChar"/>
    <w:rPr>
      <w:rFonts w:ascii="Consolas" w:hAnsi="Consolas"/>
      <w:i/>
      <w:iCs/>
      <w:color w:val="8F5902"/>
      <w:sz w:val="22"/>
      <w:szCs w:val="18"/>
      <w:shd w:color="auto" w:fill="F1F3F5" w:val="clear"/>
    </w:rPr>
  </w:style>
  <w:style w:customStyle="1" w:styleId="CharTok" w:type="character">
    <w:name w:val="CharTok"/>
    <w:basedOn w:val="VerbatimChar"/>
    <w:rPr>
      <w:rFonts w:ascii="Consolas" w:hAnsi="Consolas"/>
      <w:i/>
      <w:iCs/>
      <w:color w:val="20794D"/>
      <w:sz w:val="22"/>
      <w:szCs w:val="18"/>
      <w:shd w:color="auto" w:fill="F1F3F5" w:val="clear"/>
    </w:rPr>
  </w:style>
  <w:style w:customStyle="1" w:styleId="SpecialCharTok" w:type="character">
    <w:name w:val="SpecialCharTok"/>
    <w:basedOn w:val="VerbatimChar"/>
    <w:rPr>
      <w:rFonts w:ascii="Consolas" w:hAnsi="Consolas"/>
      <w:i/>
      <w:iCs/>
      <w:color w:val="5E5E5E"/>
      <w:sz w:val="22"/>
      <w:szCs w:val="18"/>
      <w:shd w:color="auto" w:fill="F1F3F5" w:val="clear"/>
    </w:rPr>
  </w:style>
  <w:style w:customStyle="1" w:styleId="StringTok" w:type="character">
    <w:name w:val="StringTok"/>
    <w:basedOn w:val="VerbatimChar"/>
    <w:rPr>
      <w:rFonts w:ascii="Consolas" w:hAnsi="Consolas"/>
      <w:i/>
      <w:iCs/>
      <w:color w:val="20794D"/>
      <w:sz w:val="22"/>
      <w:szCs w:val="18"/>
      <w:shd w:color="auto" w:fill="F1F3F5" w:val="clear"/>
    </w:rPr>
  </w:style>
  <w:style w:customStyle="1" w:styleId="VerbatimStringTok" w:type="character">
    <w:name w:val="VerbatimStringTok"/>
    <w:basedOn w:val="VerbatimChar"/>
    <w:rPr>
      <w:rFonts w:ascii="Consolas" w:hAnsi="Consolas"/>
      <w:i/>
      <w:iCs/>
      <w:color w:val="20794D"/>
      <w:sz w:val="22"/>
      <w:szCs w:val="18"/>
      <w:shd w:color="auto" w:fill="F1F3F5" w:val="clear"/>
    </w:rPr>
  </w:style>
  <w:style w:customStyle="1" w:styleId="SpecialStringTok" w:type="character">
    <w:name w:val="SpecialStringTok"/>
    <w:basedOn w:val="VerbatimChar"/>
    <w:rPr>
      <w:rFonts w:ascii="Consolas" w:hAnsi="Consolas"/>
      <w:i/>
      <w:iCs/>
      <w:color w:val="20794D"/>
      <w:sz w:val="22"/>
      <w:szCs w:val="18"/>
      <w:shd w:color="auto" w:fill="F1F3F5" w:val="clear"/>
    </w:rPr>
  </w:style>
  <w:style w:customStyle="1" w:styleId="ImportTok" w:type="character">
    <w:name w:val="ImportTok"/>
    <w:basedOn w:val="VerbatimChar"/>
    <w:rPr>
      <w:rFonts w:ascii="Consolas" w:hAnsi="Consolas"/>
      <w:i/>
      <w:iCs/>
      <w:color w:val="00769E"/>
      <w:sz w:val="22"/>
      <w:szCs w:val="18"/>
      <w:shd w:color="auto" w:fill="F1F3F5" w:val="clear"/>
    </w:rPr>
  </w:style>
  <w:style w:customStyle="1" w:styleId="CommentTok" w:type="character">
    <w:name w:val="CommentTok"/>
    <w:basedOn w:val="VerbatimChar"/>
    <w:rPr>
      <w:rFonts w:ascii="Consolas" w:hAnsi="Consolas"/>
      <w:i/>
      <w:iCs/>
      <w:color w:val="5E5E5E"/>
      <w:sz w:val="22"/>
      <w:szCs w:val="18"/>
      <w:shd w:color="auto" w:fill="F1F3F5" w:val="clear"/>
    </w:rPr>
  </w:style>
  <w:style w:customStyle="1" w:styleId="DocumentationTok" w:type="character">
    <w:name w:val="DocumentationTok"/>
    <w:basedOn w:val="VerbatimChar"/>
    <w:rPr>
      <w:rFonts w:ascii="Consolas" w:hAnsi="Consolas"/>
      <w:i w:val="0"/>
      <w:iCs/>
      <w:color w:val="5E5E5E"/>
      <w:sz w:val="22"/>
      <w:szCs w:val="18"/>
      <w:shd w:color="auto" w:fill="F1F3F5" w:val="clear"/>
    </w:rPr>
  </w:style>
  <w:style w:customStyle="1" w:styleId="AnnotationTok" w:type="character">
    <w:name w:val="AnnotationTok"/>
    <w:basedOn w:val="VerbatimChar"/>
    <w:rPr>
      <w:rFonts w:ascii="Consolas" w:hAnsi="Consolas"/>
      <w:i/>
      <w:iCs/>
      <w:color w:val="5E5E5E"/>
      <w:sz w:val="22"/>
      <w:szCs w:val="18"/>
      <w:shd w:color="auto" w:fill="F1F3F5" w:val="clear"/>
    </w:rPr>
  </w:style>
  <w:style w:customStyle="1" w:styleId="CommentVarTok" w:type="character">
    <w:name w:val="CommentVarTok"/>
    <w:basedOn w:val="VerbatimChar"/>
    <w:rPr>
      <w:rFonts w:ascii="Consolas" w:hAnsi="Consolas"/>
      <w:i w:val="0"/>
      <w:iCs/>
      <w:color w:val="5E5E5E"/>
      <w:sz w:val="22"/>
      <w:szCs w:val="18"/>
      <w:shd w:color="auto" w:fill="F1F3F5" w:val="clear"/>
    </w:rPr>
  </w:style>
  <w:style w:customStyle="1" w:styleId="OtherTok" w:type="character">
    <w:name w:val="OtherTok"/>
    <w:basedOn w:val="VerbatimChar"/>
    <w:rPr>
      <w:rFonts w:ascii="Consolas" w:hAnsi="Consolas"/>
      <w:i/>
      <w:iCs/>
      <w:color w:val="003B4F"/>
      <w:sz w:val="22"/>
      <w:szCs w:val="18"/>
      <w:shd w:color="auto" w:fill="F1F3F5" w:val="clear"/>
    </w:rPr>
  </w:style>
  <w:style w:customStyle="1" w:styleId="FunctionTok" w:type="character">
    <w:name w:val="FunctionTok"/>
    <w:basedOn w:val="VerbatimChar"/>
    <w:rPr>
      <w:rFonts w:ascii="Consolas" w:hAnsi="Consolas"/>
      <w:i/>
      <w:iCs/>
      <w:color w:val="4758AB"/>
      <w:sz w:val="22"/>
      <w:szCs w:val="18"/>
      <w:shd w:color="auto" w:fill="F1F3F5" w:val="clear"/>
    </w:rPr>
  </w:style>
  <w:style w:customStyle="1" w:styleId="VariableTok" w:type="character">
    <w:name w:val="VariableTok"/>
    <w:basedOn w:val="VerbatimChar"/>
    <w:rPr>
      <w:rFonts w:ascii="Consolas" w:hAnsi="Consolas"/>
      <w:i/>
      <w:iCs/>
      <w:color w:val="111111"/>
      <w:sz w:val="22"/>
      <w:szCs w:val="18"/>
      <w:shd w:color="auto" w:fill="F1F3F5" w:val="clear"/>
    </w:rPr>
  </w:style>
  <w:style w:customStyle="1" w:styleId="ControlFlowTok" w:type="character">
    <w:name w:val="ControlFlowTok"/>
    <w:basedOn w:val="VerbatimChar"/>
    <w:rPr>
      <w:rFonts w:ascii="Consolas" w:hAnsi="Consolas"/>
      <w:i/>
      <w:iCs/>
      <w:color w:val="003B4F"/>
      <w:sz w:val="22"/>
      <w:szCs w:val="18"/>
      <w:shd w:color="auto" w:fill="F1F3F5" w:val="clear"/>
    </w:rPr>
  </w:style>
  <w:style w:customStyle="1" w:styleId="OperatorTok" w:type="character">
    <w:name w:val="OperatorTok"/>
    <w:basedOn w:val="VerbatimChar"/>
    <w:rPr>
      <w:rFonts w:ascii="Consolas" w:hAnsi="Consolas"/>
      <w:i/>
      <w:iCs/>
      <w:color w:val="5E5E5E"/>
      <w:sz w:val="22"/>
      <w:szCs w:val="18"/>
      <w:shd w:color="auto" w:fill="F1F3F5" w:val="clear"/>
    </w:rPr>
  </w:style>
  <w:style w:customStyle="1" w:styleId="BuiltInTok" w:type="character">
    <w:name w:val="BuiltInTok"/>
    <w:basedOn w:val="VerbatimChar"/>
    <w:rPr>
      <w:rFonts w:ascii="Consolas" w:hAnsi="Consolas"/>
      <w:i/>
      <w:iCs/>
      <w:color w:val="003B4F"/>
      <w:sz w:val="22"/>
      <w:szCs w:val="18"/>
      <w:shd w:color="auto" w:fill="F1F3F5" w:val="clear"/>
    </w:rPr>
  </w:style>
  <w:style w:customStyle="1" w:styleId="ExtensionTok" w:type="character">
    <w:name w:val="ExtensionTok"/>
    <w:basedOn w:val="VerbatimChar"/>
    <w:rPr>
      <w:rFonts w:ascii="Consolas" w:hAnsi="Consolas"/>
      <w:i/>
      <w:iCs/>
      <w:color w:val="003B4F"/>
      <w:sz w:val="22"/>
      <w:szCs w:val="18"/>
      <w:shd w:color="auto" w:fill="F1F3F5" w:val="clear"/>
    </w:rPr>
  </w:style>
  <w:style w:customStyle="1" w:styleId="PreprocessorTok" w:type="character">
    <w:name w:val="PreprocessorTok"/>
    <w:basedOn w:val="VerbatimChar"/>
    <w:rPr>
      <w:rFonts w:ascii="Consolas" w:hAnsi="Consolas"/>
      <w:i/>
      <w:iCs/>
      <w:color w:val="AD0000"/>
      <w:sz w:val="22"/>
      <w:szCs w:val="18"/>
      <w:shd w:color="auto" w:fill="F1F3F5" w:val="clear"/>
    </w:rPr>
  </w:style>
  <w:style w:customStyle="1" w:styleId="AttributeTok" w:type="character">
    <w:name w:val="AttributeTok"/>
    <w:basedOn w:val="VerbatimChar"/>
    <w:rPr>
      <w:rFonts w:ascii="Consolas" w:hAnsi="Consolas"/>
      <w:i/>
      <w:iCs/>
      <w:color w:val="657422"/>
      <w:sz w:val="22"/>
      <w:szCs w:val="18"/>
      <w:shd w:color="auto" w:fill="F1F3F5" w:val="clear"/>
    </w:rPr>
  </w:style>
  <w:style w:customStyle="1" w:styleId="RegionMarkerTok" w:type="character">
    <w:name w:val="RegionMarkerTok"/>
    <w:basedOn w:val="VerbatimChar"/>
    <w:rPr>
      <w:rFonts w:ascii="Consolas" w:hAnsi="Consolas"/>
      <w:i/>
      <w:iCs/>
      <w:color w:val="003B4F"/>
      <w:sz w:val="22"/>
      <w:szCs w:val="18"/>
      <w:shd w:color="auto" w:fill="F1F3F5" w:val="clear"/>
    </w:rPr>
  </w:style>
  <w:style w:customStyle="1" w:styleId="InformationTok" w:type="character">
    <w:name w:val="InformationTok"/>
    <w:basedOn w:val="VerbatimChar"/>
    <w:rPr>
      <w:rFonts w:ascii="Consolas" w:hAnsi="Consolas"/>
      <w:i/>
      <w:iCs/>
      <w:color w:val="5E5E5E"/>
      <w:sz w:val="22"/>
      <w:szCs w:val="18"/>
      <w:shd w:color="auto" w:fill="F1F3F5" w:val="clear"/>
    </w:rPr>
  </w:style>
  <w:style w:customStyle="1" w:styleId="WarningTok" w:type="character">
    <w:name w:val="WarningTok"/>
    <w:basedOn w:val="VerbatimChar"/>
    <w:rPr>
      <w:rFonts w:ascii="Consolas" w:hAnsi="Consolas"/>
      <w:i w:val="0"/>
      <w:iCs/>
      <w:color w:val="5E5E5E"/>
      <w:sz w:val="22"/>
      <w:szCs w:val="18"/>
      <w:shd w:color="auto" w:fill="F1F3F5" w:val="clear"/>
    </w:rPr>
  </w:style>
  <w:style w:customStyle="1" w:styleId="AlertTok" w:type="character">
    <w:name w:val="AlertTok"/>
    <w:basedOn w:val="VerbatimChar"/>
    <w:rPr>
      <w:rFonts w:ascii="Consolas" w:hAnsi="Consolas"/>
      <w:i/>
      <w:iCs/>
      <w:color w:val="AD0000"/>
      <w:sz w:val="22"/>
      <w:szCs w:val="18"/>
      <w:shd w:color="auto" w:fill="F1F3F5" w:val="clear"/>
    </w:rPr>
  </w:style>
  <w:style w:customStyle="1" w:styleId="ErrorTok" w:type="character">
    <w:name w:val="ErrorTok"/>
    <w:basedOn w:val="VerbatimChar"/>
    <w:rPr>
      <w:rFonts w:ascii="Consolas" w:hAnsi="Consolas"/>
      <w:i/>
      <w:iCs/>
      <w:color w:val="AD0000"/>
      <w:sz w:val="22"/>
      <w:szCs w:val="18"/>
      <w:shd w:color="auto" w:fill="F1F3F5" w:val="clear"/>
    </w:rPr>
  </w:style>
  <w:style w:customStyle="1" w:styleId="NormalTok" w:type="character">
    <w:name w:val="NormalTok"/>
    <w:basedOn w:val="VerbatimChar"/>
    <w:rPr>
      <w:rFonts w:ascii="Consolas" w:hAnsi="Consolas"/>
      <w:i/>
      <w:iCs/>
      <w:color w:val="003B4F"/>
      <w:sz w:val="22"/>
      <w:szCs w:val="18"/>
      <w:shd w:color="auto" w:fill="F1F3F5" w:val="clear"/>
    </w:rPr>
  </w:style>
  <w:style w:customStyle="1" w:styleId="Heading1Char" w:type="character">
    <w:name w:val="Heading 1 Char"/>
    <w:basedOn w:val="DefaultParagraphFont"/>
    <w:link w:val="Heading1"/>
    <w:uiPriority w:val="9"/>
    <w:rsid w:val="00BC48EE"/>
    <w:rPr>
      <w:rFonts w:asciiTheme="majorHAnsi" w:cstheme="majorBidi" w:eastAsiaTheme="majorEastAsia" w:hAnsiTheme="majorHAnsi"/>
      <w:color w:val="E84619"/>
      <w:sz w:val="32"/>
      <w:szCs w:val="32"/>
    </w:rPr>
  </w:style>
  <w:style w:customStyle="1" w:styleId="Heading2Char" w:type="character">
    <w:name w:val="Heading 2 Char"/>
    <w:basedOn w:val="DefaultParagraphFont"/>
    <w:link w:val="Heading2"/>
    <w:uiPriority w:val="9"/>
    <w:rsid w:val="00C52505"/>
    <w:rPr>
      <w:rFonts w:cstheme="majorBidi" w:eastAsiaTheme="majorEastAsia"/>
      <w:color w:val="E84619"/>
      <w:sz w:val="26"/>
      <w:szCs w:val="26"/>
    </w:rPr>
  </w:style>
  <w:style w:customStyle="1" w:styleId="Heading3Char" w:type="character">
    <w:name w:val="Heading 3 Char"/>
    <w:basedOn w:val="DefaultParagraphFont"/>
    <w:link w:val="Heading3"/>
    <w:uiPriority w:val="9"/>
    <w:rsid w:val="00BC48EE"/>
    <w:rPr>
      <w:rFonts w:cstheme="majorBidi" w:eastAsiaTheme="majorEastAsia"/>
      <w:color w:val="E84619"/>
      <w:sz w:val="24"/>
      <w:szCs w:val="24"/>
    </w:rPr>
  </w:style>
  <w:style w:customStyle="1" w:styleId="TitleChar" w:type="character">
    <w:name w:val="Title Char"/>
    <w:basedOn w:val="DefaultParagraphFont"/>
    <w:link w:val="Title"/>
    <w:uiPriority w:val="10"/>
    <w:rsid w:val="00BC48EE"/>
    <w:rPr>
      <w:rFonts w:asciiTheme="majorHAnsi" w:cstheme="majorBidi" w:eastAsiaTheme="majorEastAsia" w:hAnsiTheme="majorHAns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52" Target="media/rId52.png" /><Relationship Type="http://schemas.openxmlformats.org/officeDocument/2006/relationships/image" Id="rId39" Target="media/rId39.png" /><Relationship Type="http://schemas.openxmlformats.org/officeDocument/2006/relationships/image" Id="rId60" Target="media/rId60.png" /><Relationship Type="http://schemas.openxmlformats.org/officeDocument/2006/relationships/hyperlink" Id="rId59" Target="https://www.nisra.gov.uk/sites/nisra.gov.uk/files/publications/NIMDM17-%20with%20ns.pdf" TargetMode="External" /></Relationships>
</file>

<file path=word/_rels/footnotes.xml.rels><?xml version="1.0" encoding="UTF-8"?><Relationships xmlns="http://schemas.openxmlformats.org/package/2006/relationships"><Relationship Type="http://schemas.openxmlformats.org/officeDocument/2006/relationships/hyperlink" Id="rId59" Target="https://www.nisra.gov.uk/sites/nisra.gov.uk/files/publications/NIMDM17-%20with%20ns.pdf" TargetMode="External" /></Relationships>
</file>

<file path=word/theme/theme1.xml><?xml version="1.0" encoding="utf-8"?>
<a:theme xmlns:a="http://schemas.openxmlformats.org/drawingml/2006/main" name="house_theme">
  <a:themeElements>
    <a:clrScheme name="Church Army 2017">
      <a:dk1>
        <a:sysClr val="windowText" lastClr="000000"/>
      </a:dk1>
      <a:lt1>
        <a:sysClr val="window" lastClr="FFFFFF"/>
      </a:lt1>
      <a:dk2>
        <a:srgbClr val="44546A"/>
      </a:dk2>
      <a:lt2>
        <a:srgbClr val="E7E6E6"/>
      </a:lt2>
      <a:accent1>
        <a:srgbClr val="E84619"/>
      </a:accent1>
      <a:accent2>
        <a:srgbClr val="E2DE00"/>
      </a:accent2>
      <a:accent3>
        <a:srgbClr val="FBC900"/>
      </a:accent3>
      <a:accent4>
        <a:srgbClr val="7F7F7F"/>
      </a:accent4>
      <a:accent5>
        <a:srgbClr val="7F7F7F"/>
      </a:accent5>
      <a:accent6>
        <a:srgbClr val="BFBFBF"/>
      </a:accent6>
      <a:hlink>
        <a:srgbClr val="D8D8D8"/>
      </a:hlink>
      <a:folHlink>
        <a:srgbClr val="F2F2F2"/>
      </a:folHlink>
    </a:clrScheme>
    <a:fontScheme name="Church Army 2017">
      <a:majorFont>
        <a:latin typeface="Impact"/>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and Context Report: Cork Centre of Mission</dc:title>
  <dc:creator>Church Army’s Research Team</dc:creator>
  <cp:keywords/>
  <dcterms:created xsi:type="dcterms:W3CDTF">2024-01-02T13:58:06Z</dcterms:created>
  <dcterms:modified xsi:type="dcterms:W3CDTF">2024-01-02T13:58:06Z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params">
    <vt:lpwstr/>
  </property>
  <property fmtid="{D5CDD505-2E9C-101B-9397-08002B2CF9AE}" pid="12" name="toc-title">
    <vt:lpwstr>Table of contents</vt:lpwstr>
  </property>
</Properties>
</file>