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64"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grouped">
        <w:r>
          <w:rPr>
            <w:rStyle w:val="Hyperlink"/>
          </w:rPr>
          <w:t xml:space="preserve">Figure 5</w:t>
        </w:r>
      </w:hyperlink>
      <w:r>
        <w:t xml:space="preserve"> </w:t>
      </w:r>
      <w:r>
        <w:t xml:space="preserve">and</w:t>
      </w:r>
      <w:r>
        <w:t xml:space="preserve"> </w:t>
      </w:r>
      <w:r>
        <w:rPr>
          <w:bCs/>
          <w:b/>
        </w:rPr>
        <w:t xml:space="preserve">?@tbl-household-composition-grouped</w:t>
      </w:r>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grouped"/>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grouped-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bookmarkStart w:id="56" w:name="tbl-household-composition-grouped"/>
    <w:p>
      <w:pPr>
        <w:pStyle w:val="BodyText"/>
      </w:pPr>
      <w:r>
        <w:rPr>
          <w:bCs/>
          <w:b/>
        </w:rPr>
        <w:t xml:space="preserve">?(caption)</w:t>
      </w:r>
    </w:p>
    <w:bookmarkEnd w:id="56"/>
    <w:p>
      <w:r>
        <w:br w:type="page"/>
      </w:r>
    </w:p>
    <w:bookmarkEnd w:id="57"/>
    <w:bookmarkStart w:id="59" w:name="couples"/>
    <w:p>
      <w:pPr>
        <w:pStyle w:val="Heading3"/>
      </w:pPr>
      <w:r>
        <w:t xml:space="preserve">Couples</w:t>
      </w:r>
    </w:p>
    <w:p>
      <w:pPr>
        <w:pStyle w:val="FirstParagraph"/>
      </w:pPr>
      <w:r>
        <w:rPr>
          <w:bCs/>
          <w:b/>
        </w:rPr>
        <w:t xml:space="preserve">?@fig-household-composition-couples</w:t>
      </w:r>
      <w:r>
        <w:t xml:space="preserve"> </w:t>
      </w:r>
      <w:r>
        <w:t xml:space="preserve">and</w:t>
      </w:r>
      <w:r>
        <w:t xml:space="preserve"> </w:t>
      </w:r>
      <w:r>
        <w:rPr>
          <w:bCs/>
          <w:b/>
        </w:rPr>
        <w:t xml:space="preserve">?@tbl-household-composition-couples</w:t>
      </w:r>
      <w:r>
        <w:t xml:space="preserve"> </w:t>
      </w:r>
      <w:r>
        <w:t xml:space="preserve">show the distribution of households comprised of a couple, with or without children. These couples may be cohabiting, married, or living in a civil partnership. These households may also include one member in addition to the couple and their children, such as a lodger or a grandparent. Couple-households in which all members are over the age of 65 are considered separately to these households.</w:t>
      </w:r>
    </w:p>
    <w:p>
      <w:pPr>
        <w:pStyle w:val="SourceCode"/>
      </w:pPr>
      <w:r>
        <w:rPr>
          <w:rStyle w:val="VerbatimChar"/>
        </w:rPr>
        <w:t xml:space="preserve">NULL</w:t>
      </w:r>
    </w:p>
    <w:bookmarkStart w:id="58" w:name="tbl-household-composition-couples"/>
    <w:p>
      <w:pPr>
        <w:pStyle w:val="FirstParagraph"/>
      </w:pPr>
      <w:r>
        <w:rPr>
          <w:bCs/>
          <w:b/>
        </w:rPr>
        <w:t xml:space="preserve">?(caption)</w:t>
      </w:r>
    </w:p>
    <w:bookmarkEnd w:id="58"/>
    <w:p>
      <w:r>
        <w:br w:type="page"/>
      </w:r>
    </w:p>
    <w:bookmarkEnd w:id="59"/>
    <w:bookmarkStart w:id="61" w:name="lone-occupants-and-single-parents"/>
    <w:p>
      <w:pPr>
        <w:pStyle w:val="Heading3"/>
      </w:pPr>
      <w:r>
        <w:t xml:space="preserve">Lone occupants and single parents</w:t>
      </w:r>
    </w:p>
    <w:p>
      <w:pPr>
        <w:pStyle w:val="FirstParagraph"/>
      </w:pPr>
      <w:r>
        <w:rPr>
          <w:bCs/>
          <w:b/>
        </w:rPr>
        <w:t xml:space="preserve">?@fig-household-composition-lone</w:t>
      </w:r>
      <w:r>
        <w:t xml:space="preserve"> </w:t>
      </w:r>
      <w:r>
        <w:t xml:space="preserve">and</w:t>
      </w:r>
      <w:r>
        <w:t xml:space="preserve"> </w:t>
      </w:r>
      <w:r>
        <w:rPr>
          <w:bCs/>
          <w:b/>
        </w:rPr>
        <w:t xml:space="preserve">?@tbl-household-composition-lone</w:t>
      </w:r>
      <w:r>
        <w:t xml:space="preserve"> </w:t>
      </w:r>
      <w:r>
        <w:t xml:space="preserve">show the distribution of households comprised of either a single occupant or a single parent living with their children (who may or may not be dependent children). Lone occupants over the age of 65 are considered separately to other lone occupants.</w:t>
      </w:r>
    </w:p>
    <w:p>
      <w:pPr>
        <w:pStyle w:val="SourceCode"/>
      </w:pPr>
      <w:r>
        <w:rPr>
          <w:rStyle w:val="VerbatimChar"/>
        </w:rPr>
        <w:t xml:space="preserve">NULL</w:t>
      </w:r>
    </w:p>
    <w:bookmarkStart w:id="60" w:name="tbl-household-composition-lone"/>
    <w:p>
      <w:pPr>
        <w:pStyle w:val="FirstParagraph"/>
      </w:pPr>
      <w:r>
        <w:rPr>
          <w:bCs/>
          <w:b/>
        </w:rPr>
        <w:t xml:space="preserve">?(caption)</w:t>
      </w:r>
    </w:p>
    <w:bookmarkEnd w:id="60"/>
    <w:p>
      <w:r>
        <w:br w:type="page"/>
      </w:r>
    </w:p>
    <w:bookmarkEnd w:id="61"/>
    <w:bookmarkStart w:id="63" w:name="other"/>
    <w:p>
      <w:pPr>
        <w:pStyle w:val="Heading3"/>
      </w:pPr>
      <w:r>
        <w:t xml:space="preserve">Other</w:t>
      </w:r>
    </w:p>
    <w:p>
      <w:pPr>
        <w:pStyle w:val="FirstParagraph"/>
      </w:pPr>
      <w:r>
        <w:rPr>
          <w:bCs/>
          <w:b/>
        </w:rPr>
        <w:t xml:space="preserve">?@fig-household-composition-other</w:t>
      </w:r>
      <w:r>
        <w:t xml:space="preserve"> </w:t>
      </w:r>
      <w:r>
        <w:t xml:space="preserve">and</w:t>
      </w:r>
      <w:r>
        <w:t xml:space="preserve"> </w:t>
      </w:r>
      <w:r>
        <w:rPr>
          <w:bCs/>
          <w:b/>
        </w:rPr>
        <w:t xml:space="preserve">?@tbl-household-composition-other</w:t>
      </w:r>
      <w:r>
        <w:t xml:space="preserve"> </w:t>
      </w:r>
      <w:r>
        <w:t xml:space="preserve">show the distribution of households not described in previous subsections. These include households comprised of:</w:t>
      </w:r>
    </w:p>
    <w:p>
      <w:pPr>
        <w:pStyle w:val="BodyText"/>
      </w:pPr>
      <w:r>
        <w:t xml:space="preserve">NA</w:t>
      </w:r>
    </w:p>
    <w:p>
      <w:pPr>
        <w:pStyle w:val="SourceCode"/>
      </w:pPr>
      <w:r>
        <w:rPr>
          <w:rStyle w:val="VerbatimChar"/>
        </w:rPr>
        <w:t xml:space="preserve">NULL</w:t>
      </w:r>
    </w:p>
    <w:bookmarkStart w:id="62" w:name="tbl-household-composition-other"/>
    <w:p>
      <w:pPr>
        <w:pStyle w:val="FirstParagraph"/>
      </w:pPr>
      <w:r>
        <w:rPr>
          <w:bCs/>
          <w:b/>
        </w:rPr>
        <w:t xml:space="preserve">?(caption)</w:t>
      </w:r>
    </w:p>
    <w:bookmarkEnd w:id="62"/>
    <w:p>
      <w:r>
        <w:br w:type="page"/>
      </w:r>
    </w:p>
    <w:bookmarkEnd w:id="63"/>
    <w:bookmarkEnd w:id="64"/>
    <w:bookmarkStart w:id="70"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5">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9" w:name="fig-deprivation-map"/>
          <w:p>
            <w:pPr>
              <w:jc w:val="center"/>
            </w:pPr>
            <w:r>
              <w:drawing>
                <wp:inline>
                  <wp:extent cx="4160520" cy="2590962"/>
                  <wp:effectExtent b="0" l="0" r="0" t="0"/>
                  <wp:docPr descr="" title="" id="67" name="Picture"/>
                  <a:graphic>
                    <a:graphicData uri="http://schemas.openxmlformats.org/drawingml/2006/picture">
                      <pic:pic>
                        <pic:nvPicPr>
                          <pic:cNvPr descr="imd-images/cork.png" id="68" name="Picture"/>
                          <pic:cNvPicPr>
                            <a:picLocks noChangeArrowheads="1" noChangeAspect="1"/>
                          </pic:cNvPicPr>
                        </pic:nvPicPr>
                        <pic:blipFill>
                          <a:blip r:embed="rId66"/>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9"/>
        </w:tc>
      </w:tr>
    </w:tbl>
    <w:bookmarkEnd w:id="70"/>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hyperlink" Id="rId65"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5"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2023-12-20T12:09:29Z</dcterms:created>
  <dcterms:modified xsi:type="dcterms:W3CDTF">2023-12-20T12:09:29Z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