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1.png" ContentType="image/png"/>
  <Override PartName="/word/media/rId39.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Sligo</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Sligo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Due to the availability of data, the statistics and figures in this section of the report summarise the Centre of Mission’s activity between April 2023 and December 2023</w:t>
      </w:r>
    </w:p>
    <w:bookmarkStart w:id="21" w:name="com-activities"/>
    <w:p>
      <w:pPr>
        <w:pStyle w:val="Heading3"/>
      </w:pPr>
      <w:r>
        <w:t xml:space="preserve">CoM Activities</w:t>
      </w:r>
    </w:p>
    <w:p>
      <w:pPr>
        <w:pStyle w:val="FirstParagraph"/>
      </w:pPr>
      <w:r>
        <w:t xml:space="preserve">This year Sligo CoM has facilitated over 1078 hours of activity for approximately 2232 people - an average of 135 hours per month. Activities coordinated by Sligo CoM include:</w:t>
      </w:r>
    </w:p>
    <w:p>
      <w:pPr>
        <w:numPr>
          <w:ilvl w:val="0"/>
          <w:numId w:val="1001"/>
        </w:numPr>
      </w:pPr>
      <w:r>
        <w:t xml:space="preserve">Alpha Holy Spirit Retreats</w:t>
      </w:r>
    </w:p>
    <w:p>
      <w:pPr>
        <w:numPr>
          <w:ilvl w:val="0"/>
          <w:numId w:val="1001"/>
        </w:numPr>
      </w:pPr>
      <w:r>
        <w:t xml:space="preserve">24/7 Prayer</w:t>
      </w:r>
    </w:p>
    <w:p>
      <w:pPr>
        <w:numPr>
          <w:ilvl w:val="0"/>
          <w:numId w:val="1001"/>
        </w:numPr>
      </w:pPr>
      <w:r>
        <w:t xml:space="preserve">ASD outreach partnership with HSE</w:t>
      </w:r>
    </w:p>
    <w:p>
      <w:pPr>
        <w:numPr>
          <w:ilvl w:val="0"/>
          <w:numId w:val="1001"/>
        </w:numPr>
      </w:pPr>
      <w:r>
        <w:t xml:space="preserve">Alpha Mercy College</w:t>
      </w:r>
    </w:p>
    <w:p>
      <w:pPr>
        <w:numPr>
          <w:ilvl w:val="0"/>
          <w:numId w:val="1001"/>
        </w:numPr>
      </w:pPr>
      <w:r>
        <w:t xml:space="preserve">Community Jiving Class</w:t>
      </w:r>
    </w:p>
    <w:p>
      <w:pPr>
        <w:numPr>
          <w:ilvl w:val="0"/>
          <w:numId w:val="1001"/>
        </w:numPr>
      </w:pPr>
      <w:r>
        <w:t xml:space="preserve">Alpha Sligo Grammar School</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Sligo CoM, including:</w:t>
      </w:r>
    </w:p>
    <w:p>
      <w:pPr>
        <w:numPr>
          <w:ilvl w:val="0"/>
          <w:numId w:val="1002"/>
        </w:numPr>
        <w:pStyle w:val="Compact"/>
      </w:pPr>
      <w:r>
        <w:t xml:space="preserve">There are at least six people growing in faith</w:t>
      </w:r>
    </w:p>
    <w:p>
      <w:pPr>
        <w:numPr>
          <w:ilvl w:val="0"/>
          <w:numId w:val="1002"/>
        </w:numPr>
        <w:pStyle w:val="Compact"/>
      </w:pPr>
      <w:r>
        <w:t xml:space="preserve">There are at least 15 people actively exploring faith</w:t>
      </w:r>
    </w:p>
    <w:bookmarkStart w:id="23" w:name="food-provision"/>
    <w:p>
      <w:pPr>
        <w:pStyle w:val="Heading3"/>
      </w:pPr>
      <w:r>
        <w:t xml:space="preserve">Food provision</w:t>
      </w:r>
    </w:p>
    <w:p>
      <w:pPr>
        <w:pStyle w:val="FirstParagraph"/>
      </w:pPr>
      <w:r>
        <w:t xml:space="preserve">Sligo CoM have provided 220 food parcels over the course of the year. Details of this provision are given in the table below.</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Food provision</w:t>
            </w:r>
          </w:p>
        </w:tc>
        <w:tc>
          <w:tcPr/>
          <w:p>
            <w:pPr>
              <w:pStyle w:val="Compact"/>
              <w:jc w:val="left"/>
            </w:pPr>
            <w:r>
              <w:t xml:space="preserve">No. boxes/parcels/meals</w:t>
            </w:r>
          </w:p>
        </w:tc>
        <w:tc>
          <w:tcPr/>
          <w:p>
            <w:pPr>
              <w:pStyle w:val="Compact"/>
              <w:jc w:val="left"/>
            </w:pPr>
            <w:r>
              <w:t xml:space="preserve">Details</w:t>
            </w:r>
          </w:p>
        </w:tc>
      </w:tr>
      <w:tr>
        <w:tc>
          <w:tcPr/>
          <w:p>
            <w:pPr>
              <w:pStyle w:val="Compact"/>
              <w:jc w:val="left"/>
            </w:pPr>
            <w:r>
              <w:t xml:space="preserve">Hot meals provided</w:t>
            </w:r>
          </w:p>
        </w:tc>
        <w:tc>
          <w:tcPr/>
          <w:p>
            <w:pPr>
              <w:pStyle w:val="Compact"/>
              <w:jc w:val="left"/>
            </w:pPr>
            <w:r>
              <w:t xml:space="preserve">200</w:t>
            </w:r>
          </w:p>
        </w:tc>
        <w:tc>
          <w:tcPr/>
          <w:p>
            <w:pPr>
              <w:pStyle w:val="Compact"/>
              <w:jc w:val="left"/>
            </w:pPr>
            <w:r>
              <w:t xml:space="preserve">—</w:t>
            </w:r>
          </w:p>
        </w:tc>
      </w:tr>
      <w:tr>
        <w:tc>
          <w:tcPr/>
          <w:p>
            <w:pPr>
              <w:pStyle w:val="Compact"/>
              <w:jc w:val="left"/>
            </w:pPr>
            <w:r>
              <w:t xml:space="preserve">Food packs</w:t>
            </w:r>
          </w:p>
        </w:tc>
        <w:tc>
          <w:tcPr/>
          <w:p>
            <w:pPr>
              <w:pStyle w:val="Compact"/>
              <w:jc w:val="left"/>
            </w:pPr>
            <w:r>
              <w:t xml:space="preserve">20</w:t>
            </w:r>
          </w:p>
        </w:tc>
        <w:tc>
          <w:tcPr/>
          <w:p>
            <w:pPr>
              <w:pStyle w:val="Compact"/>
              <w:jc w:val="left"/>
            </w:pPr>
            <w:r>
              <w:t xml:space="preserve">—</w:t>
            </w:r>
          </w:p>
        </w:tc>
      </w:tr>
    </w:tbl>
    <w:bookmarkEnd w:id="23"/>
    <w:bookmarkStart w:id="24" w:name="volunteers"/>
    <w:p>
      <w:pPr>
        <w:pStyle w:val="Heading3"/>
      </w:pPr>
      <w:r>
        <w:t xml:space="preserve">Volunteers</w:t>
      </w:r>
    </w:p>
    <w:p>
      <w:pPr>
        <w:pStyle w:val="FirstParagraph"/>
      </w:pPr>
      <w:r>
        <w:t xml:space="preserve">There are nine volunteers at Sligo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50%</w:t>
            </w:r>
          </w:p>
        </w:tc>
      </w:tr>
      <w:tr>
        <w:tc>
          <w:tcPr/>
          <w:p>
            <w:pPr>
              <w:pStyle w:val="Compact"/>
              <w:jc w:val="left"/>
            </w:pPr>
            <w:r>
              <w:t xml:space="preserve">Occasional church-goer</w:t>
            </w:r>
          </w:p>
        </w:tc>
        <w:tc>
          <w:tcPr/>
          <w:p>
            <w:pPr>
              <w:pStyle w:val="Compact"/>
              <w:jc w:val="left"/>
            </w:pPr>
            <w:r>
              <w:t xml:space="preserve">0%</w:t>
            </w:r>
          </w:p>
        </w:tc>
      </w:tr>
      <w:tr>
        <w:tc>
          <w:tcPr/>
          <w:p>
            <w:pPr>
              <w:pStyle w:val="Compact"/>
              <w:jc w:val="left"/>
            </w:pPr>
            <w:r>
              <w:t xml:space="preserve">Historical church-goer</w:t>
            </w:r>
          </w:p>
        </w:tc>
        <w:tc>
          <w:tcPr/>
          <w:p>
            <w:pPr>
              <w:pStyle w:val="Compact"/>
              <w:jc w:val="left"/>
            </w:pPr>
            <w:r>
              <w:t xml:space="preserve">0%</w:t>
            </w:r>
          </w:p>
        </w:tc>
      </w:tr>
      <w:tr>
        <w:tc>
          <w:tcPr/>
          <w:p>
            <w:pPr>
              <w:pStyle w:val="Compact"/>
              <w:jc w:val="left"/>
            </w:pPr>
            <w:r>
              <w:t xml:space="preserve">Never church-goer</w:t>
            </w:r>
          </w:p>
        </w:tc>
        <w:tc>
          <w:tcPr/>
          <w:p>
            <w:pPr>
              <w:pStyle w:val="Compact"/>
              <w:jc w:val="left"/>
            </w:pPr>
            <w:r>
              <w:t xml:space="preserve">50%</w:t>
            </w:r>
          </w:p>
        </w:tc>
      </w:tr>
    </w:tbl>
    <w:p>
      <w:r>
        <w:br w:type="page"/>
      </w:r>
    </w:p>
    <w:bookmarkEnd w:id="24"/>
    <w:bookmarkEnd w:id="25"/>
    <w:bookmarkStart w:id="57"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Sligo CoM is home to a larger proportion of 20-29 year olds than the national population, as well as a larger proportion of people over the age of 60. Children and teenagers, on the other hand, are less prevalent locally than nationally.</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11%</w:t>
            </w:r>
          </w:p>
        </w:tc>
        <w:tc>
          <w:tcPr/>
          <w:p>
            <w:pPr>
              <w:pStyle w:val="Compact"/>
              <w:jc w:val="left"/>
            </w:pPr>
            <w:r>
              <w:t xml:space="preserve">13%</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12%</w:t>
            </w:r>
          </w:p>
        </w:tc>
        <w:tc>
          <w:tcPr/>
          <w:p>
            <w:pPr>
              <w:pStyle w:val="Compact"/>
              <w:jc w:val="left"/>
            </w:pPr>
            <w:r>
              <w:t xml:space="preserve">15%</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13%</w:t>
            </w:r>
          </w:p>
        </w:tc>
        <w:tc>
          <w:tcPr/>
          <w:p>
            <w:pPr>
              <w:pStyle w:val="Compact"/>
              <w:jc w:val="left"/>
            </w:pPr>
            <w:r>
              <w:t xml:space="preserve">10%</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20%</w:t>
            </w:r>
          </w:p>
        </w:tc>
        <w:tc>
          <w:tcPr/>
          <w:p>
            <w:pPr>
              <w:pStyle w:val="Compact"/>
              <w:jc w:val="left"/>
            </w:pPr>
            <w:r>
              <w:t xml:space="preserve">20%</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11%</w:t>
            </w:r>
          </w:p>
        </w:tc>
        <w:tc>
          <w:tcPr/>
          <w:p>
            <w:pPr>
              <w:pStyle w:val="Compact"/>
              <w:jc w:val="left"/>
            </w:pPr>
            <w:r>
              <w:t xml:space="preserve">11%</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13%</w:t>
            </w:r>
          </w:p>
        </w:tc>
        <w:tc>
          <w:tcPr/>
          <w:p>
            <w:pPr>
              <w:pStyle w:val="Compact"/>
              <w:jc w:val="left"/>
            </w:pPr>
            <w:r>
              <w:t xml:space="preserve">12%</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The majority of the local population are white, but white people comprise a slightly smaller share of the local population than the national average. Asian, unstated and other ethnicities are all marginally more prevalent locally than elsewhere.</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76%</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8%</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7%</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Asian</w:t>
            </w:r>
          </w:p>
        </w:tc>
        <w:tc>
          <w:tcPr/>
          <w:p>
            <w:pPr>
              <w:pStyle w:val="Compact"/>
              <w:jc w:val="left"/>
            </w:pPr>
            <w:r>
              <w:t xml:space="preserve">4%</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Other</w:t>
            </w:r>
          </w:p>
        </w:tc>
        <w:tc>
          <w:tcPr/>
          <w:p>
            <w:pPr>
              <w:pStyle w:val="Compact"/>
              <w:jc w:val="left"/>
            </w:pPr>
            <w:r>
              <w:t xml:space="preserve">5%</w:t>
            </w:r>
          </w:p>
        </w:tc>
        <w:tc>
          <w:tcPr/>
          <w:p>
            <w:pPr>
              <w:pStyle w:val="Compact"/>
              <w:jc w:val="left"/>
            </w:pPr>
            <w:r>
              <w:t xml:space="preserve">4%</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The local area is majority Catholic, but slightly less Catholic than the diocese and marginally less Catholic than the nation. Irreligiosity is comparable locally and nationally, despite being lower within the diocese than the national average.</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66%</w:t>
            </w:r>
          </w:p>
        </w:tc>
        <w:tc>
          <w:tcPr/>
          <w:p>
            <w:pPr>
              <w:pStyle w:val="Compact"/>
              <w:jc w:val="left"/>
            </w:pPr>
            <w:r>
              <w:t xml:space="preserve">76%</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15%</w:t>
            </w:r>
          </w:p>
        </w:tc>
        <w:tc>
          <w:tcPr/>
          <w:p>
            <w:pPr>
              <w:pStyle w:val="Compact"/>
              <w:jc w:val="left"/>
            </w:pPr>
            <w:r>
              <w:t xml:space="preserve">9%</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11%</w:t>
            </w:r>
          </w:p>
        </w:tc>
        <w:tc>
          <w:tcPr/>
          <w:p>
            <w:pPr>
              <w:pStyle w:val="Compact"/>
              <w:jc w:val="left"/>
            </w:pPr>
            <w:r>
              <w:t xml:space="preserve">9%</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8%</w:t>
            </w:r>
          </w:p>
        </w:tc>
        <w:tc>
          <w:tcPr/>
          <w:p>
            <w:pPr>
              <w:pStyle w:val="Compact"/>
              <w:jc w:val="left"/>
            </w:pPr>
            <w:r>
              <w:t xml:space="preserve">5%</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reported general health outcomes are marginally worse in the local area than the national average; locally, three percent fewer people report their general health to be</w:t>
      </w:r>
      <w:r>
        <w:t xml:space="preserve"> </w:t>
      </w:r>
      <w:r>
        <w:t xml:space="preserve">‘</w:t>
      </w:r>
      <w:r>
        <w:t xml:space="preserve">very good</w:t>
      </w:r>
      <w:r>
        <w:t xml:space="preserve">’</w:t>
      </w:r>
      <w:r>
        <w:t xml:space="preserve"> </w:t>
      </w:r>
      <w:r>
        <w:t xml:space="preserve">than within the nation.</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11%</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33%</w:t>
            </w:r>
          </w:p>
        </w:tc>
        <w:tc>
          <w:tcPr/>
          <w:p>
            <w:pPr>
              <w:pStyle w:val="Compact"/>
              <w:jc w:val="left"/>
            </w:pPr>
            <w:r>
              <w:t xml:space="preserve">32%</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54%</w:t>
            </w:r>
          </w:p>
        </w:tc>
        <w:tc>
          <w:tcPr/>
          <w:p>
            <w:pPr>
              <w:pStyle w:val="Compact"/>
              <w:jc w:val="left"/>
            </w:pPr>
            <w:r>
              <w:t xml:space="preserve">56%</w:t>
            </w:r>
          </w:p>
        </w:tc>
        <w:tc>
          <w:tcPr/>
          <w:p>
            <w:pPr>
              <w:pStyle w:val="Compact"/>
              <w:jc w:val="left"/>
            </w:pPr>
            <w:r>
              <w:t xml:space="preserve">57%</w:t>
            </w:r>
          </w:p>
        </w:tc>
      </w:tr>
    </w:tbl>
    <w:bookmarkEnd w:id="49"/>
    <w:p>
      <w:r>
        <w:br w:type="page"/>
      </w:r>
    </w:p>
    <w:bookmarkEnd w:id="50"/>
    <w:bookmarkStart w:id="56" w:name="household-composition"/>
    <w:p>
      <w:pPr>
        <w:pStyle w:val="Heading3"/>
      </w:pPr>
      <w:r>
        <w:t xml:space="preserve">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w:t>
      </w:r>
    </w:p>
    <w:p>
      <w:pPr>
        <w:pStyle w:val="BodyText"/>
      </w:pPr>
      <w:r>
        <w:t xml:space="preserve">One-person households account for 30% of all local households, compared to 23% of households nationwide. Couples with children account for approximately a quarter of the local population, whereas in the national population they account for over 35% of all households. Non-family households are more prevalent in the local area than elsewhere, and account for over 1 in 10 local households.</w:t>
      </w:r>
    </w:p>
    <w:tbl>
      <w:tblPr>
        <w:tblStyle w:val="Table"/>
        <w:tblW w:type="pct" w:w="5000"/>
        <w:tblLook w:firstRow="0" w:lastRow="0" w:firstColumn="0" w:lastColumn="0" w:noHBand="0" w:noVBand="0" w:val="0000"/>
        <w:jc w:val="start"/>
      </w:tblPr>
      <w:tblGrid>
        <w:gridCol w:w="7920"/>
      </w:tblGrid>
      <w:tr>
        <w:tc>
          <w:tcPr/>
          <w:bookmarkStart w:id="54" w:name="fig-household-composition"/>
          <w:p>
            <w:pPr>
              <w:jc w:val="center"/>
            </w:pPr>
            <w:r>
              <w:drawing>
                <wp:inline>
                  <wp:extent cx="5943600" cy="3396342"/>
                  <wp:effectExtent b="0" l="0" r="0" t="0"/>
                  <wp:docPr descr="" title="" id="52" name="Picture"/>
                  <a:graphic>
                    <a:graphicData uri="http://schemas.openxmlformats.org/drawingml/2006/picture">
                      <pic:pic>
                        <pic:nvPicPr>
                          <pic:cNvPr descr="com-report-template_files/figure-docx/fig-household-composition-1.png" id="53"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4"/>
        </w:tc>
      </w:tr>
    </w:tbl>
    <w:p>
      <w:pPr>
        <w:pStyle w:val="BodyText"/>
      </w:pPr>
      <w:r>
        <w:t xml:space="preserve"> </w:t>
      </w:r>
    </w:p>
    <w:bookmarkStart w:id="55"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One person</w:t>
            </w:r>
          </w:p>
        </w:tc>
        <w:tc>
          <w:tcPr/>
          <w:p>
            <w:pPr>
              <w:pStyle w:val="Compact"/>
              <w:jc w:val="left"/>
            </w:pPr>
            <w:r>
              <w:t xml:space="preserve">30%</w:t>
            </w:r>
          </w:p>
        </w:tc>
        <w:tc>
          <w:tcPr/>
          <w:p>
            <w:pPr>
              <w:pStyle w:val="Compact"/>
              <w:jc w:val="left"/>
            </w:pPr>
            <w:r>
              <w:t xml:space="preserve">26%</w:t>
            </w:r>
          </w:p>
        </w:tc>
        <w:tc>
          <w:tcPr/>
          <w:p>
            <w:pPr>
              <w:pStyle w:val="Compact"/>
              <w:jc w:val="left"/>
            </w:pPr>
            <w:r>
              <w:t xml:space="preserve">23%</w:t>
            </w:r>
          </w:p>
        </w:tc>
      </w:tr>
      <w:tr>
        <w:tc>
          <w:tcPr/>
          <w:p>
            <w:pPr>
              <w:pStyle w:val="Compact"/>
              <w:jc w:val="left"/>
            </w:pPr>
            <w:r>
              <w:t xml:space="preserve">Couple w/ children</w:t>
            </w:r>
          </w:p>
        </w:tc>
        <w:tc>
          <w:tcPr/>
          <w:p>
            <w:pPr>
              <w:pStyle w:val="Compact"/>
              <w:jc w:val="left"/>
            </w:pPr>
            <w:r>
              <w:t xml:space="preserve">26%</w:t>
            </w:r>
          </w:p>
        </w:tc>
        <w:tc>
          <w:tcPr/>
          <w:p>
            <w:pPr>
              <w:pStyle w:val="Compact"/>
              <w:jc w:val="left"/>
            </w:pPr>
            <w:r>
              <w:t xml:space="preserve">37%</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parent family</w:t>
            </w:r>
          </w:p>
        </w:tc>
        <w:tc>
          <w:tcPr/>
          <w:p>
            <w:pPr>
              <w:pStyle w:val="Compact"/>
              <w:jc w:val="left"/>
            </w:pPr>
            <w:r>
              <w:t xml:space="preserve">11%</w:t>
            </w:r>
          </w:p>
        </w:tc>
        <w:tc>
          <w:tcPr/>
          <w:p>
            <w:pPr>
              <w:pStyle w:val="Compact"/>
              <w:jc w:val="left"/>
            </w:pPr>
            <w:r>
              <w:t xml:space="preserve">10%</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11%</w:t>
            </w:r>
          </w:p>
        </w:tc>
        <w:tc>
          <w:tcPr/>
          <w:p>
            <w:pPr>
              <w:pStyle w:val="Compact"/>
              <w:jc w:val="left"/>
            </w:pPr>
            <w:r>
              <w:t xml:space="preserve">5%</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5"/>
    <w:p>
      <w:r>
        <w:br w:type="page"/>
      </w:r>
    </w:p>
    <w:bookmarkEnd w:id="56"/>
    <w:bookmarkEnd w:id="57"/>
    <w:bookmarkStart w:id="63"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8">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2" w:name="fig-deprivation-map"/>
          <w:p>
            <w:pPr>
              <w:jc w:val="center"/>
            </w:pPr>
            <w:r>
              <w:drawing>
                <wp:inline>
                  <wp:extent cx="4160520" cy="3581048"/>
                  <wp:effectExtent b="0" l="0" r="0" t="0"/>
                  <wp:docPr descr="" title="" id="60" name="Picture"/>
                  <a:graphic>
                    <a:graphicData uri="http://schemas.openxmlformats.org/drawingml/2006/picture">
                      <pic:pic>
                        <pic:nvPicPr>
                          <pic:cNvPr descr="imd-images/sligo.png" id="61" name="Picture"/>
                          <pic:cNvPicPr>
                            <a:picLocks noChangeArrowheads="1" noChangeAspect="1"/>
                          </pic:cNvPicPr>
                        </pic:nvPicPr>
                        <pic:blipFill>
                          <a:blip r:embed="rId59"/>
                          <a:stretch>
                            <a:fillRect/>
                          </a:stretch>
                        </pic:blipFill>
                        <pic:spPr bwMode="auto">
                          <a:xfrm>
                            <a:off x="0" y="0"/>
                            <a:ext cx="4160520" cy="3581048"/>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2"/>
        </w:tc>
      </w:tr>
    </w:tbl>
    <w:bookmarkEnd w:id="63"/>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hyperlink" Id="rId58"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8"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Sligo Centre of Mission</dc:title>
  <dc:creator>Church Army’s Research Team</dc:creator>
  <cp:keywords/>
  <dcterms:created xsi:type="dcterms:W3CDTF">2024-07-29T10:54:11Z</dcterms:created>
  <dcterms:modified xsi:type="dcterms:W3CDTF">2024-07-29T10:54:11Z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