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Override PartName="/word/media/rId45.png" ContentType="image/png"/>
  <Override PartName="/word/media/rId52.png" ContentType="image/png"/>
  <Override PartName="/word/media/rId39.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Sligo</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Sligo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p>
      <w:pPr>
        <w:pStyle w:val="FirstParagraph"/>
      </w:pPr>
      <w:r>
        <w:t xml:space="preserve">The data in this section of the report summarise the Centre of Mission’s activity between November 2022 and March 2023.</w:t>
      </w:r>
    </w:p>
    <w:bookmarkStart w:id="21" w:name="com-activities"/>
    <w:p>
      <w:pPr>
        <w:pStyle w:val="Heading3"/>
      </w:pPr>
      <w:r>
        <w:t xml:space="preserve">CoM Activities</w:t>
      </w:r>
    </w:p>
    <w:p>
      <w:pPr>
        <w:pStyle w:val="FirstParagraph"/>
      </w:pPr>
      <w:r>
        <w:t xml:space="preserve">This year Sligo CoM has facilitated over 864 hours of activity for approximately 1471 people - an average of 100 hours per month. Activities coordinated by Sligo CoM include:</w:t>
      </w:r>
    </w:p>
    <w:p>
      <w:pPr>
        <w:numPr>
          <w:ilvl w:val="0"/>
          <w:numId w:val="1001"/>
        </w:numPr>
      </w:pPr>
      <w:r>
        <w:t xml:space="preserve">ReCentre Community Church (Face to Face)</w:t>
      </w:r>
    </w:p>
    <w:p>
      <w:pPr>
        <w:numPr>
          <w:ilvl w:val="0"/>
          <w:numId w:val="1001"/>
        </w:numPr>
      </w:pPr>
      <w:r>
        <w:t xml:space="preserve">Girls Brigade</w:t>
      </w:r>
    </w:p>
    <w:p>
      <w:pPr>
        <w:numPr>
          <w:ilvl w:val="0"/>
          <w:numId w:val="1001"/>
        </w:numPr>
      </w:pPr>
      <w:r>
        <w:t xml:space="preserve">ASD outreach partnership with HSE</w:t>
      </w:r>
    </w:p>
    <w:p>
      <w:pPr>
        <w:numPr>
          <w:ilvl w:val="0"/>
          <w:numId w:val="1001"/>
        </w:numPr>
      </w:pPr>
      <w:r>
        <w:t xml:space="preserve">Youth Challenge</w:t>
      </w:r>
    </w:p>
    <w:p>
      <w:pPr>
        <w:numPr>
          <w:ilvl w:val="0"/>
          <w:numId w:val="1001"/>
        </w:numPr>
      </w:pPr>
      <w:r>
        <w:t xml:space="preserve">Pastoral Support</w:t>
      </w:r>
    </w:p>
    <w:p>
      <w:pPr>
        <w:numPr>
          <w:ilvl w:val="0"/>
          <w:numId w:val="1001"/>
        </w:numPr>
      </w:pPr>
      <w:r>
        <w:t xml:space="preserve">Young Adults</w:t>
      </w:r>
    </w:p>
    <w:p>
      <w:r>
        <w:br w:type="page"/>
      </w:r>
    </w:p>
    <w:bookmarkEnd w:id="21"/>
    <w:bookmarkEnd w:id="22"/>
    <w:bookmarkStart w:id="25" w:name="growing-faith"/>
    <w:p>
      <w:pPr>
        <w:pStyle w:val="Heading2"/>
      </w:pPr>
      <w:r>
        <w:t xml:space="preserve">Growing faith</w:t>
      </w:r>
    </w:p>
    <w:p>
      <w:pPr>
        <w:pStyle w:val="FirstParagraph"/>
      </w:pPr>
      <w:r>
        <w:t xml:space="preserve">Growing faith can’t always be seen and is tricky to measure, but there have been some encouraging developments at Sligo CoM, including:</w:t>
      </w:r>
    </w:p>
    <w:p>
      <w:pPr>
        <w:numPr>
          <w:ilvl w:val="0"/>
          <w:numId w:val="1002"/>
        </w:numPr>
        <w:pStyle w:val="Compact"/>
      </w:pPr>
      <w:r>
        <w:t xml:space="preserve">There has been one request to assist with the baptism of an infant.</w:t>
      </w:r>
    </w:p>
    <w:p>
      <w:pPr>
        <w:numPr>
          <w:ilvl w:val="0"/>
          <w:numId w:val="1002"/>
        </w:numPr>
        <w:pStyle w:val="Compact"/>
      </w:pPr>
      <w:r>
        <w:t xml:space="preserve">There have been two requests for confirmation</w:t>
      </w:r>
    </w:p>
    <w:p>
      <w:pPr>
        <w:numPr>
          <w:ilvl w:val="0"/>
          <w:numId w:val="1002"/>
        </w:numPr>
        <w:pStyle w:val="Compact"/>
      </w:pPr>
      <w:r>
        <w:t xml:space="preserve">There have been two requests to assist with a funeral</w:t>
      </w:r>
    </w:p>
    <w:p>
      <w:pPr>
        <w:numPr>
          <w:ilvl w:val="0"/>
          <w:numId w:val="1002"/>
        </w:numPr>
        <w:pStyle w:val="Compact"/>
      </w:pPr>
      <w:r>
        <w:t xml:space="preserve">There are at least eight people growing in faith</w:t>
      </w:r>
    </w:p>
    <w:p>
      <w:pPr>
        <w:numPr>
          <w:ilvl w:val="0"/>
          <w:numId w:val="1002"/>
        </w:numPr>
        <w:pStyle w:val="Compact"/>
      </w:pPr>
      <w:r>
        <w:t xml:space="preserve">There are at least 55 people actively exploring faith</w:t>
      </w:r>
    </w:p>
    <w:p>
      <w:pPr>
        <w:numPr>
          <w:ilvl w:val="0"/>
          <w:numId w:val="1002"/>
        </w:numPr>
        <w:pStyle w:val="Compact"/>
      </w:pPr>
      <w:r>
        <w:t xml:space="preserve">Two people have made a first-time commitment of faith and one person has made a recommitment of faith</w:t>
      </w:r>
    </w:p>
    <w:bookmarkStart w:id="23" w:name="food-provision"/>
    <w:p>
      <w:pPr>
        <w:pStyle w:val="Heading3"/>
      </w:pPr>
      <w:r>
        <w:t xml:space="preserve">Food provision</w:t>
      </w:r>
    </w:p>
    <w:p>
      <w:pPr>
        <w:pStyle w:val="FirstParagraph"/>
      </w:pPr>
      <w:r>
        <w:t xml:space="preserve">Sligo CoM have provided 50 food parcels over the course of the year. Details of this provision are given in the table below.</w:t>
      </w:r>
    </w:p>
    <w:tbl>
      <w:tblPr>
        <w:tblStyle w:val="Table"/>
        <w:tblW w:type="pct" w:w="5000"/>
        <w:tblLook w:firstRow="1" w:lastRow="0" w:firstColumn="0" w:lastColumn="0" w:noHBand="0" w:noVBand="0" w:val="0020"/>
        <w:jc w:val="start"/>
      </w:tblPr>
      <w:tblGrid>
        <w:gridCol w:w="2074"/>
        <w:gridCol w:w="2262"/>
        <w:gridCol w:w="3582"/>
      </w:tblGrid>
      <w:tr>
        <w:trPr>
          <w:tblHeader w:val="true"/>
        </w:trPr>
        <w:tc>
          <w:tcPr/>
          <w:p>
            <w:pPr>
              <w:pStyle w:val="Compact"/>
              <w:jc w:val="left"/>
            </w:pPr>
            <w:r>
              <w:t xml:space="preserve">Food provision</w:t>
            </w:r>
          </w:p>
        </w:tc>
        <w:tc>
          <w:tcPr/>
          <w:p>
            <w:pPr>
              <w:pStyle w:val="Compact"/>
              <w:jc w:val="left"/>
            </w:pPr>
            <w:r>
              <w:t xml:space="preserve">No. boxes/parcels/meals</w:t>
            </w:r>
          </w:p>
        </w:tc>
        <w:tc>
          <w:tcPr/>
          <w:p>
            <w:pPr>
              <w:pStyle w:val="Compact"/>
              <w:jc w:val="left"/>
            </w:pPr>
            <w:r>
              <w:t xml:space="preserve">Details</w:t>
            </w:r>
          </w:p>
        </w:tc>
      </w:tr>
      <w:tr>
        <w:tc>
          <w:tcPr/>
          <w:p>
            <w:pPr>
              <w:pStyle w:val="Compact"/>
              <w:jc w:val="left"/>
            </w:pPr>
            <w:r>
              <w:t xml:space="preserve">Sligo Food Bank Drive</w:t>
            </w:r>
          </w:p>
        </w:tc>
        <w:tc>
          <w:tcPr/>
          <w:p>
            <w:pPr>
              <w:pStyle w:val="Compact"/>
              <w:jc w:val="left"/>
            </w:pPr>
            <w:r>
              <w:t xml:space="preserve">50</w:t>
            </w:r>
          </w:p>
        </w:tc>
        <w:tc>
          <w:tcPr/>
          <w:p>
            <w:pPr>
              <w:pStyle w:val="Compact"/>
              <w:jc w:val="left"/>
            </w:pPr>
            <w:r>
              <w:t xml:space="preserve">Canned and dry goods for food parcels</w:t>
            </w:r>
          </w:p>
        </w:tc>
      </w:tr>
    </w:tbl>
    <w:bookmarkEnd w:id="23"/>
    <w:bookmarkStart w:id="24" w:name="volunteers"/>
    <w:p>
      <w:pPr>
        <w:pStyle w:val="Heading3"/>
      </w:pPr>
      <w:r>
        <w:t xml:space="preserve">Volunteers</w:t>
      </w:r>
    </w:p>
    <w:p>
      <w:pPr>
        <w:pStyle w:val="FirstParagraph"/>
      </w:pPr>
      <w:r>
        <w:t xml:space="preserve">There are 12 volunteers at Sligo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20%</w:t>
            </w:r>
          </w:p>
        </w:tc>
      </w:tr>
      <w:tr>
        <w:tc>
          <w:tcPr/>
          <w:p>
            <w:pPr>
              <w:pStyle w:val="Compact"/>
              <w:jc w:val="left"/>
            </w:pPr>
            <w:r>
              <w:t xml:space="preserve">Occasional church-goer</w:t>
            </w:r>
          </w:p>
        </w:tc>
        <w:tc>
          <w:tcPr/>
          <w:p>
            <w:pPr>
              <w:pStyle w:val="Compact"/>
              <w:jc w:val="left"/>
            </w:pPr>
            <w:r>
              <w:t xml:space="preserve">50%</w:t>
            </w:r>
          </w:p>
        </w:tc>
      </w:tr>
      <w:tr>
        <w:tc>
          <w:tcPr/>
          <w:p>
            <w:pPr>
              <w:pStyle w:val="Compact"/>
              <w:jc w:val="left"/>
            </w:pPr>
            <w:r>
              <w:t xml:space="preserve">Historical church-goer</w:t>
            </w:r>
          </w:p>
        </w:tc>
        <w:tc>
          <w:tcPr/>
          <w:p>
            <w:pPr>
              <w:pStyle w:val="Compact"/>
              <w:jc w:val="left"/>
            </w:pPr>
            <w:r>
              <w:t xml:space="preserve">20%</w:t>
            </w:r>
          </w:p>
        </w:tc>
      </w:tr>
      <w:tr>
        <w:tc>
          <w:tcPr/>
          <w:p>
            <w:pPr>
              <w:pStyle w:val="Compact"/>
              <w:jc w:val="left"/>
            </w:pPr>
            <w:r>
              <w:t xml:space="preserve">Never church-goer</w:t>
            </w:r>
          </w:p>
        </w:tc>
        <w:tc>
          <w:tcPr/>
          <w:p>
            <w:pPr>
              <w:pStyle w:val="Compact"/>
              <w:jc w:val="left"/>
            </w:pPr>
            <w:r>
              <w:t xml:space="preserve">10%</w:t>
            </w:r>
          </w:p>
        </w:tc>
      </w:tr>
    </w:tbl>
    <w:p>
      <w:r>
        <w:br w:type="page"/>
      </w:r>
    </w:p>
    <w:bookmarkEnd w:id="24"/>
    <w:bookmarkEnd w:id="25"/>
    <w:bookmarkStart w:id="58"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6"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6"/>
    <w:bookmarkStart w:id="32"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tbl>
      <w:tblPr>
        <w:tblStyle w:val="Table"/>
        <w:tblW w:type="pct" w:w="5000"/>
        <w:tblLook w:firstRow="0" w:lastRow="0" w:firstColumn="0" w:lastColumn="0" w:noHBand="0" w:noVBand="0" w:val="0000"/>
        <w:jc w:val="start"/>
      </w:tblPr>
      <w:tblGrid>
        <w:gridCol w:w="7920"/>
      </w:tblGrid>
      <w:tr>
        <w:tc>
          <w:tcPr/>
          <w:bookmarkStart w:id="30" w:name="fig-age"/>
          <w:p>
            <w:pPr>
              <w:jc w:val="center"/>
            </w:pPr>
            <w:r>
              <w:drawing>
                <wp:inline>
                  <wp:extent cx="5943600" cy="3396342"/>
                  <wp:effectExtent b="0" l="0" r="0" t="0"/>
                  <wp:docPr descr="" title="" id="28" name="Picture"/>
                  <a:graphic>
                    <a:graphicData uri="http://schemas.openxmlformats.org/drawingml/2006/picture">
                      <pic:pic>
                        <pic:nvPicPr>
                          <pic:cNvPr descr="com-report-template_files/figure-docx/fig-age-1.png" id="29"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0"/>
        </w:tc>
      </w:tr>
    </w:tbl>
    <w:p>
      <w:pPr>
        <w:pStyle w:val="BodyText"/>
      </w:pPr>
      <w:r>
        <w:t xml:space="preserve"> </w:t>
      </w:r>
    </w:p>
    <w:bookmarkStart w:id="31"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0-9 years old</w:t>
            </w:r>
          </w:p>
        </w:tc>
        <w:tc>
          <w:tcPr/>
          <w:p>
            <w:pPr>
              <w:pStyle w:val="Compact"/>
              <w:jc w:val="left"/>
            </w:pPr>
            <w:r>
              <w:t xml:space="preserve">11%</w:t>
            </w:r>
          </w:p>
        </w:tc>
        <w:tc>
          <w:tcPr/>
          <w:p>
            <w:pPr>
              <w:pStyle w:val="Compact"/>
              <w:jc w:val="left"/>
            </w:pPr>
            <w:r>
              <w:t xml:space="preserve">13%</w:t>
            </w:r>
          </w:p>
        </w:tc>
        <w:tc>
          <w:tcPr/>
          <w:p>
            <w:pPr>
              <w:pStyle w:val="Compact"/>
              <w:jc w:val="left"/>
            </w:pPr>
            <w:r>
              <w:t xml:space="preserve">12%</w:t>
            </w:r>
          </w:p>
        </w:tc>
      </w:tr>
      <w:tr>
        <w:tc>
          <w:tcPr/>
          <w:p>
            <w:pPr>
              <w:pStyle w:val="Compact"/>
              <w:jc w:val="left"/>
            </w:pPr>
            <w:r>
              <w:t xml:space="preserve">10-19 years old</w:t>
            </w:r>
          </w:p>
        </w:tc>
        <w:tc>
          <w:tcPr/>
          <w:p>
            <w:pPr>
              <w:pStyle w:val="Compact"/>
              <w:jc w:val="left"/>
            </w:pPr>
            <w:r>
              <w:t xml:space="preserve">12%</w:t>
            </w:r>
          </w:p>
        </w:tc>
        <w:tc>
          <w:tcPr/>
          <w:p>
            <w:pPr>
              <w:pStyle w:val="Compact"/>
              <w:jc w:val="left"/>
            </w:pPr>
            <w:r>
              <w:t xml:space="preserve">15%</w:t>
            </w:r>
          </w:p>
        </w:tc>
        <w:tc>
          <w:tcPr/>
          <w:p>
            <w:pPr>
              <w:pStyle w:val="Compact"/>
              <w:jc w:val="left"/>
            </w:pPr>
            <w:r>
              <w:t xml:space="preserve">14%</w:t>
            </w:r>
          </w:p>
        </w:tc>
      </w:tr>
      <w:tr>
        <w:tc>
          <w:tcPr/>
          <w:p>
            <w:pPr>
              <w:pStyle w:val="Compact"/>
              <w:jc w:val="left"/>
            </w:pPr>
            <w:r>
              <w:t xml:space="preserve">20-29 years old</w:t>
            </w:r>
          </w:p>
        </w:tc>
        <w:tc>
          <w:tcPr/>
          <w:p>
            <w:pPr>
              <w:pStyle w:val="Compact"/>
              <w:jc w:val="left"/>
            </w:pPr>
            <w:r>
              <w:t xml:space="preserve">13%</w:t>
            </w:r>
          </w:p>
        </w:tc>
        <w:tc>
          <w:tcPr/>
          <w:p>
            <w:pPr>
              <w:pStyle w:val="Compact"/>
              <w:jc w:val="left"/>
            </w:pPr>
            <w:r>
              <w:t xml:space="preserve">10%</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20%</w:t>
            </w:r>
          </w:p>
        </w:tc>
        <w:tc>
          <w:tcPr/>
          <w:p>
            <w:pPr>
              <w:pStyle w:val="Compact"/>
              <w:jc w:val="left"/>
            </w:pPr>
            <w:r>
              <w:t xml:space="preserve">20%</w:t>
            </w:r>
          </w:p>
        </w:tc>
        <w:tc>
          <w:tcPr/>
          <w:p>
            <w:pPr>
              <w:pStyle w:val="Compact"/>
              <w:jc w:val="left"/>
            </w:pPr>
            <w:r>
              <w:t xml:space="preserve">22%</w:t>
            </w:r>
          </w:p>
        </w:tc>
      </w:tr>
      <w:tr>
        <w:tc>
          <w:tcPr/>
          <w:p>
            <w:pPr>
              <w:pStyle w:val="Compact"/>
              <w:jc w:val="left"/>
            </w:pPr>
            <w:r>
              <w:t xml:space="preserve">45-59 years old</w:t>
            </w:r>
          </w:p>
        </w:tc>
        <w:tc>
          <w:tcPr/>
          <w:p>
            <w:pPr>
              <w:pStyle w:val="Compact"/>
              <w:jc w:val="left"/>
            </w:pPr>
            <w:r>
              <w:t xml:space="preserve">19%</w:t>
            </w:r>
          </w:p>
        </w:tc>
        <w:tc>
          <w:tcPr/>
          <w:p>
            <w:pPr>
              <w:pStyle w:val="Compact"/>
              <w:jc w:val="left"/>
            </w:pPr>
            <w:r>
              <w:t xml:space="preserve">20%</w:t>
            </w:r>
          </w:p>
        </w:tc>
        <w:tc>
          <w:tcPr/>
          <w:p>
            <w:pPr>
              <w:pStyle w:val="Compact"/>
              <w:jc w:val="left"/>
            </w:pPr>
            <w:r>
              <w:t xml:space="preserve">20%</w:t>
            </w:r>
          </w:p>
        </w:tc>
      </w:tr>
      <w:tr>
        <w:tc>
          <w:tcPr/>
          <w:p>
            <w:pPr>
              <w:pStyle w:val="Compact"/>
              <w:jc w:val="left"/>
            </w:pPr>
            <w:r>
              <w:t xml:space="preserve">60-69 years old</w:t>
            </w:r>
          </w:p>
        </w:tc>
        <w:tc>
          <w:tcPr/>
          <w:p>
            <w:pPr>
              <w:pStyle w:val="Compact"/>
              <w:jc w:val="left"/>
            </w:pPr>
            <w:r>
              <w:t xml:space="preserve">11%</w:t>
            </w:r>
          </w:p>
        </w:tc>
        <w:tc>
          <w:tcPr/>
          <w:p>
            <w:pPr>
              <w:pStyle w:val="Compact"/>
              <w:jc w:val="left"/>
            </w:pPr>
            <w:r>
              <w:t xml:space="preserve">11%</w:t>
            </w:r>
          </w:p>
        </w:tc>
        <w:tc>
          <w:tcPr/>
          <w:p>
            <w:pPr>
              <w:pStyle w:val="Compact"/>
              <w:jc w:val="left"/>
            </w:pPr>
            <w:r>
              <w:t xml:space="preserve">10%</w:t>
            </w:r>
          </w:p>
        </w:tc>
      </w:tr>
      <w:tr>
        <w:tc>
          <w:tcPr/>
          <w:p>
            <w:pPr>
              <w:pStyle w:val="Compact"/>
              <w:jc w:val="left"/>
            </w:pPr>
            <w:r>
              <w:t xml:space="preserve">70+ years old</w:t>
            </w:r>
          </w:p>
        </w:tc>
        <w:tc>
          <w:tcPr/>
          <w:p>
            <w:pPr>
              <w:pStyle w:val="Compact"/>
              <w:jc w:val="left"/>
            </w:pPr>
            <w:r>
              <w:t xml:space="preserve">13%</w:t>
            </w:r>
          </w:p>
        </w:tc>
        <w:tc>
          <w:tcPr/>
          <w:p>
            <w:pPr>
              <w:pStyle w:val="Compact"/>
              <w:jc w:val="left"/>
            </w:pPr>
            <w:r>
              <w:t xml:space="preserve">12%</w:t>
            </w:r>
          </w:p>
        </w:tc>
        <w:tc>
          <w:tcPr/>
          <w:p>
            <w:pPr>
              <w:pStyle w:val="Compact"/>
              <w:jc w:val="left"/>
            </w:pPr>
            <w:r>
              <w:t xml:space="preserve">10%</w:t>
            </w:r>
          </w:p>
        </w:tc>
      </w:tr>
    </w:tbl>
    <w:bookmarkEnd w:id="31"/>
    <w:p>
      <w:r>
        <w:br w:type="page"/>
      </w:r>
    </w:p>
    <w:bookmarkEnd w:id="32"/>
    <w:bookmarkStart w:id="38"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tbl>
      <w:tblPr>
        <w:tblStyle w:val="Table"/>
        <w:tblW w:type="pct" w:w="5000"/>
        <w:tblLook w:firstRow="0" w:lastRow="0" w:firstColumn="0" w:lastColumn="0" w:noHBand="0" w:noVBand="0" w:val="0000"/>
        <w:jc w:val="start"/>
      </w:tblPr>
      <w:tblGrid>
        <w:gridCol w:w="7920"/>
      </w:tblGrid>
      <w:tr>
        <w:tc>
          <w:tcPr/>
          <w:bookmarkStart w:id="36" w:name="fig-ethnicity"/>
          <w:p>
            <w:pPr>
              <w:jc w:val="center"/>
            </w:pPr>
            <w:r>
              <w:drawing>
                <wp:inline>
                  <wp:extent cx="5943600" cy="3396342"/>
                  <wp:effectExtent b="0" l="0" r="0" t="0"/>
                  <wp:docPr descr="" title="" id="34" name="Picture"/>
                  <a:graphic>
                    <a:graphicData uri="http://schemas.openxmlformats.org/drawingml/2006/picture">
                      <pic:pic>
                        <pic:nvPicPr>
                          <pic:cNvPr descr="com-report-template_files/figure-docx/fig-ethnicity-1.png" id="35" name="Picture"/>
                          <pic:cNvPicPr>
                            <a:picLocks noChangeArrowheads="1" noChangeAspect="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6"/>
        </w:tc>
      </w:tr>
    </w:tbl>
    <w:p>
      <w:pPr>
        <w:pStyle w:val="BodyText"/>
      </w:pPr>
      <w:r>
        <w:t xml:space="preserve"> </w:t>
      </w:r>
    </w:p>
    <w:bookmarkStart w:id="37"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White (Irish)</w:t>
            </w:r>
          </w:p>
        </w:tc>
        <w:tc>
          <w:tcPr/>
          <w:p>
            <w:pPr>
              <w:pStyle w:val="Compact"/>
              <w:jc w:val="left"/>
            </w:pPr>
            <w:r>
              <w:t xml:space="preserve">76%</w:t>
            </w:r>
          </w:p>
        </w:tc>
        <w:tc>
          <w:tcPr/>
          <w:p>
            <w:pPr>
              <w:pStyle w:val="Compact"/>
              <w:jc w:val="left"/>
            </w:pPr>
            <w:r>
              <w:t xml:space="preserve">79%</w:t>
            </w:r>
          </w:p>
        </w:tc>
        <w:tc>
          <w:tcPr/>
          <w:p>
            <w:pPr>
              <w:pStyle w:val="Compact"/>
              <w:jc w:val="left"/>
            </w:pPr>
            <w:r>
              <w:t xml:space="preserve">77%</w:t>
            </w:r>
          </w:p>
        </w:tc>
      </w:tr>
      <w:tr>
        <w:tc>
          <w:tcPr/>
          <w:p>
            <w:pPr>
              <w:pStyle w:val="Compact"/>
              <w:jc w:val="left"/>
            </w:pPr>
            <w:r>
              <w:t xml:space="preserve">White (other)</w:t>
            </w:r>
          </w:p>
        </w:tc>
        <w:tc>
          <w:tcPr/>
          <w:p>
            <w:pPr>
              <w:pStyle w:val="Compact"/>
              <w:jc w:val="left"/>
            </w:pPr>
            <w:r>
              <w:t xml:space="preserve">8%</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7%</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Asian</w:t>
            </w:r>
          </w:p>
        </w:tc>
        <w:tc>
          <w:tcPr/>
          <w:p>
            <w:pPr>
              <w:pStyle w:val="Compact"/>
              <w:jc w:val="left"/>
            </w:pPr>
            <w:r>
              <w:t xml:space="preserve">4%</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Other</w:t>
            </w:r>
          </w:p>
        </w:tc>
        <w:tc>
          <w:tcPr/>
          <w:p>
            <w:pPr>
              <w:pStyle w:val="Compact"/>
              <w:jc w:val="left"/>
            </w:pPr>
            <w:r>
              <w:t xml:space="preserve">5%</w:t>
            </w:r>
          </w:p>
        </w:tc>
        <w:tc>
          <w:tcPr/>
          <w:p>
            <w:pPr>
              <w:pStyle w:val="Compact"/>
              <w:jc w:val="left"/>
            </w:pPr>
            <w:r>
              <w:t xml:space="preserve">4%</w:t>
            </w:r>
          </w:p>
        </w:tc>
        <w:tc>
          <w:tcPr/>
          <w:p>
            <w:pPr>
              <w:pStyle w:val="Compact"/>
              <w:jc w:val="left"/>
            </w:pPr>
            <w:r>
              <w:t xml:space="preserve">4%</w:t>
            </w:r>
          </w:p>
        </w:tc>
      </w:tr>
    </w:tbl>
    <w:bookmarkEnd w:id="37"/>
    <w:p>
      <w:r>
        <w:br w:type="page"/>
      </w:r>
    </w:p>
    <w:bookmarkEnd w:id="38"/>
    <w:bookmarkStart w:id="44"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tbl>
      <w:tblPr>
        <w:tblStyle w:val="Table"/>
        <w:tblW w:type="pct" w:w="5000"/>
        <w:tblLook w:firstRow="0" w:lastRow="0" w:firstColumn="0" w:lastColumn="0" w:noHBand="0" w:noVBand="0" w:val="0000"/>
        <w:jc w:val="start"/>
      </w:tblPr>
      <w:tblGrid>
        <w:gridCol w:w="7920"/>
      </w:tblGrid>
      <w:tr>
        <w:tc>
          <w:tcPr/>
          <w:bookmarkStart w:id="42" w:name="fig-religion"/>
          <w:p>
            <w:pPr>
              <w:jc w:val="center"/>
            </w:pPr>
            <w:r>
              <w:drawing>
                <wp:inline>
                  <wp:extent cx="5943600" cy="3396342"/>
                  <wp:effectExtent b="0" l="0" r="0" t="0"/>
                  <wp:docPr descr="" title="" id="40" name="Picture"/>
                  <a:graphic>
                    <a:graphicData uri="http://schemas.openxmlformats.org/drawingml/2006/picture">
                      <pic:pic>
                        <pic:nvPicPr>
                          <pic:cNvPr descr="com-report-template_files/figure-docx/fig-religion-1.png" id="41"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2"/>
        </w:tc>
      </w:tr>
    </w:tbl>
    <w:p>
      <w:pPr>
        <w:pStyle w:val="BodyText"/>
      </w:pPr>
      <w:r>
        <w:t xml:space="preserve"> </w:t>
      </w:r>
    </w:p>
    <w:bookmarkStart w:id="43"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Catholic</w:t>
            </w:r>
          </w:p>
        </w:tc>
        <w:tc>
          <w:tcPr/>
          <w:p>
            <w:pPr>
              <w:pStyle w:val="Compact"/>
              <w:jc w:val="left"/>
            </w:pPr>
            <w:r>
              <w:t xml:space="preserve">66%</w:t>
            </w:r>
          </w:p>
        </w:tc>
        <w:tc>
          <w:tcPr/>
          <w:p>
            <w:pPr>
              <w:pStyle w:val="Compact"/>
              <w:jc w:val="left"/>
            </w:pPr>
            <w:r>
              <w:t xml:space="preserve">76%</w:t>
            </w:r>
          </w:p>
        </w:tc>
        <w:tc>
          <w:tcPr/>
          <w:p>
            <w:pPr>
              <w:pStyle w:val="Compact"/>
              <w:jc w:val="left"/>
            </w:pPr>
            <w:r>
              <w:t xml:space="preserve">69%</w:t>
            </w:r>
          </w:p>
        </w:tc>
      </w:tr>
      <w:tr>
        <w:tc>
          <w:tcPr/>
          <w:p>
            <w:pPr>
              <w:pStyle w:val="Compact"/>
              <w:jc w:val="left"/>
            </w:pPr>
            <w:r>
              <w:t xml:space="preserve">No religion</w:t>
            </w:r>
          </w:p>
        </w:tc>
        <w:tc>
          <w:tcPr/>
          <w:p>
            <w:pPr>
              <w:pStyle w:val="Compact"/>
              <w:jc w:val="left"/>
            </w:pPr>
            <w:r>
              <w:t xml:space="preserve">15%</w:t>
            </w:r>
          </w:p>
        </w:tc>
        <w:tc>
          <w:tcPr/>
          <w:p>
            <w:pPr>
              <w:pStyle w:val="Compact"/>
              <w:jc w:val="left"/>
            </w:pPr>
            <w:r>
              <w:t xml:space="preserve">9%</w:t>
            </w:r>
          </w:p>
        </w:tc>
        <w:tc>
          <w:tcPr/>
          <w:p>
            <w:pPr>
              <w:pStyle w:val="Compact"/>
              <w:jc w:val="left"/>
            </w:pPr>
            <w:r>
              <w:t xml:space="preserve">15%</w:t>
            </w:r>
          </w:p>
        </w:tc>
      </w:tr>
      <w:tr>
        <w:tc>
          <w:tcPr/>
          <w:p>
            <w:pPr>
              <w:pStyle w:val="Compact"/>
              <w:jc w:val="left"/>
            </w:pPr>
            <w:r>
              <w:t xml:space="preserve">Other religion</w:t>
            </w:r>
          </w:p>
        </w:tc>
        <w:tc>
          <w:tcPr/>
          <w:p>
            <w:pPr>
              <w:pStyle w:val="Compact"/>
              <w:jc w:val="left"/>
            </w:pPr>
            <w:r>
              <w:t xml:space="preserve">11%</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8%</w:t>
            </w:r>
          </w:p>
        </w:tc>
        <w:tc>
          <w:tcPr/>
          <w:p>
            <w:pPr>
              <w:pStyle w:val="Compact"/>
              <w:jc w:val="left"/>
            </w:pPr>
            <w:r>
              <w:t xml:space="preserve">5%</w:t>
            </w:r>
          </w:p>
        </w:tc>
        <w:tc>
          <w:tcPr/>
          <w:p>
            <w:pPr>
              <w:pStyle w:val="Compact"/>
              <w:jc w:val="left"/>
            </w:pPr>
            <w:r>
              <w:t xml:space="preserve">7%</w:t>
            </w:r>
          </w:p>
        </w:tc>
      </w:tr>
    </w:tbl>
    <w:bookmarkEnd w:id="43"/>
    <w:p>
      <w:r>
        <w:br w:type="page"/>
      </w:r>
    </w:p>
    <w:bookmarkEnd w:id="44"/>
    <w:bookmarkStart w:id="50" w:name="general-health"/>
    <w:p>
      <w:pPr>
        <w:pStyle w:val="Heading3"/>
      </w:pPr>
      <w:r>
        <w:t xml:space="preserve">General health</w:t>
      </w:r>
    </w:p>
    <w:p>
      <w:pPr>
        <w:pStyle w:val="FirstParagraph"/>
      </w:pPr>
      <w:hyperlink w:anchor="fig-general-health">
        <w:r>
          <w:rPr>
            <w:rStyle w:val="Hyperlink"/>
          </w:rPr>
          <w:t xml:space="preserve">Figure 4</w:t>
        </w:r>
      </w:hyperlink>
      <w:r>
        <w:t xml:space="preserve"> </w:t>
      </w:r>
      <w:r>
        <w:t xml:space="preserve">and</w:t>
      </w:r>
      <w:r>
        <w:t xml:space="preserve"> </w:t>
      </w:r>
      <w:hyperlink w:anchor="tbl-general-health">
        <w:r>
          <w:rPr>
            <w:rStyle w:val="Hyperlink"/>
          </w:rPr>
          <w:t xml:space="preserve">Table 4</w:t>
        </w:r>
      </w:hyperlink>
      <w:r>
        <w:t xml:space="preserve"> </w:t>
      </w:r>
      <w:r>
        <w:t xml:space="preserve">show the self-reported general health of the population across each geography.</w:t>
      </w:r>
    </w:p>
    <w:tbl>
      <w:tblPr>
        <w:tblStyle w:val="Table"/>
        <w:tblW w:type="pct" w:w="5000"/>
        <w:tblLook w:firstRow="0" w:lastRow="0" w:firstColumn="0" w:lastColumn="0" w:noHBand="0" w:noVBand="0" w:val="0000"/>
        <w:jc w:val="start"/>
      </w:tblPr>
      <w:tblGrid>
        <w:gridCol w:w="7920"/>
      </w:tblGrid>
      <w:tr>
        <w:tc>
          <w:tcPr/>
          <w:bookmarkStart w:id="48" w:name="fig-general-health"/>
          <w:p>
            <w:pPr>
              <w:jc w:val="center"/>
            </w:pPr>
            <w:r>
              <w:drawing>
                <wp:inline>
                  <wp:extent cx="5943600" cy="3396342"/>
                  <wp:effectExtent b="0" l="0" r="0" t="0"/>
                  <wp:docPr descr="" title="" id="46" name="Picture"/>
                  <a:graphic>
                    <a:graphicData uri="http://schemas.openxmlformats.org/drawingml/2006/picture">
                      <pic:pic>
                        <pic:nvPicPr>
                          <pic:cNvPr descr="com-report-template_files/figure-docx/fig-general-health-1.png" id="47" name="Picture"/>
                          <pic:cNvPicPr>
                            <a:picLocks noChangeArrowheads="1" noChangeAspect="1"/>
                          </pic:cNvPicPr>
                        </pic:nvPicPr>
                        <pic:blipFill>
                          <a:blip r:embed="rId45"/>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Population self-reported general health</w:t>
            </w:r>
          </w:p>
          <w:bookmarkEnd w:id="48"/>
        </w:tc>
      </w:tr>
    </w:tbl>
    <w:p>
      <w:pPr>
        <w:pStyle w:val="BodyText"/>
      </w:pPr>
      <w:r>
        <w:t xml:space="preserve"> </w:t>
      </w:r>
    </w:p>
    <w:bookmarkStart w:id="49" w:name="tbl-general-health"/>
    <w:p>
      <w:pPr>
        <w:pStyle w:val="TableCaption"/>
      </w:pPr>
      <w:r>
        <w:t xml:space="preserve">Table 4: Population self-reported general health</w:t>
      </w:r>
    </w:p>
    <w:tbl>
      <w:tblPr>
        <w:tblStyle w:val="Table"/>
        <w:tblW w:type="auto" w:w="0"/>
        <w:tblLook w:firstRow="1" w:lastRow="0" w:firstColumn="0" w:lastColumn="0" w:noHBand="0" w:noVBand="0" w:val="0020"/>
        <w:jc w:val="start"/>
        <w:tblCaption w:val="Table 4: Population self-reported general health"/>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Very bad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Bad</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Fair</w:t>
            </w:r>
          </w:p>
        </w:tc>
        <w:tc>
          <w:tcPr/>
          <w:p>
            <w:pPr>
              <w:pStyle w:val="Compact"/>
              <w:jc w:val="left"/>
            </w:pPr>
            <w:r>
              <w:t xml:space="preserve">11%</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Good</w:t>
            </w:r>
          </w:p>
        </w:tc>
        <w:tc>
          <w:tcPr/>
          <w:p>
            <w:pPr>
              <w:pStyle w:val="Compact"/>
              <w:jc w:val="left"/>
            </w:pPr>
            <w:r>
              <w:t xml:space="preserve">33%</w:t>
            </w:r>
          </w:p>
        </w:tc>
        <w:tc>
          <w:tcPr/>
          <w:p>
            <w:pPr>
              <w:pStyle w:val="Compact"/>
              <w:jc w:val="left"/>
            </w:pPr>
            <w:r>
              <w:t xml:space="preserve">32%</w:t>
            </w:r>
          </w:p>
        </w:tc>
        <w:tc>
          <w:tcPr/>
          <w:p>
            <w:pPr>
              <w:pStyle w:val="Compact"/>
              <w:jc w:val="left"/>
            </w:pPr>
            <w:r>
              <w:t xml:space="preserve">32%</w:t>
            </w:r>
          </w:p>
        </w:tc>
      </w:tr>
      <w:tr>
        <w:tc>
          <w:tcPr/>
          <w:p>
            <w:pPr>
              <w:pStyle w:val="Compact"/>
              <w:jc w:val="left"/>
            </w:pPr>
            <w:r>
              <w:t xml:space="preserve">Very good</w:t>
            </w:r>
          </w:p>
        </w:tc>
        <w:tc>
          <w:tcPr/>
          <w:p>
            <w:pPr>
              <w:pStyle w:val="Compact"/>
              <w:jc w:val="left"/>
            </w:pPr>
            <w:r>
              <w:t xml:space="preserve">54%</w:t>
            </w:r>
          </w:p>
        </w:tc>
        <w:tc>
          <w:tcPr/>
          <w:p>
            <w:pPr>
              <w:pStyle w:val="Compact"/>
              <w:jc w:val="left"/>
            </w:pPr>
            <w:r>
              <w:t xml:space="preserve">56%</w:t>
            </w:r>
          </w:p>
        </w:tc>
        <w:tc>
          <w:tcPr/>
          <w:p>
            <w:pPr>
              <w:pStyle w:val="Compact"/>
              <w:jc w:val="left"/>
            </w:pPr>
            <w:r>
              <w:t xml:space="preserve">57%</w:t>
            </w:r>
          </w:p>
        </w:tc>
      </w:tr>
    </w:tbl>
    <w:bookmarkEnd w:id="49"/>
    <w:p>
      <w:r>
        <w:br w:type="page"/>
      </w:r>
    </w:p>
    <w:bookmarkEnd w:id="50"/>
    <w:bookmarkStart w:id="51" w:name="household-composition"/>
    <w:p>
      <w:pPr>
        <w:pStyle w:val="Heading3"/>
      </w:pPr>
      <w:r>
        <w:t xml:space="preserve">Household composition</w:t>
      </w:r>
    </w:p>
    <w:p>
      <w:pPr>
        <w:pStyle w:val="FirstParagraph"/>
      </w:pPr>
      <w:r>
        <w:t xml:space="preserve">Household composition can be summarised in a variety of ways. This report gives a high-level overview of households before considering several sub-sections of all households in more detail.</w:t>
      </w:r>
    </w:p>
    <w:bookmarkEnd w:id="51"/>
    <w:bookmarkStart w:id="57" w:name="overview-of-household-composition"/>
    <w:p>
      <w:pPr>
        <w:pStyle w:val="Heading3"/>
      </w:pPr>
      <w:r>
        <w:t xml:space="preserve">Overview of household composition</w:t>
      </w:r>
    </w:p>
    <w:p>
      <w:pPr>
        <w:pStyle w:val="FirstParagraph"/>
      </w:pPr>
      <w:hyperlink w:anchor="fig-household-composition">
        <w:r>
          <w:rPr>
            <w:rStyle w:val="Hyperlink"/>
          </w:rPr>
          <w:t xml:space="preserve">Figure 5</w:t>
        </w:r>
      </w:hyperlink>
      <w:r>
        <w:t xml:space="preserve"> </w:t>
      </w:r>
      <w:r>
        <w:t xml:space="preserve">and</w:t>
      </w:r>
      <w:r>
        <w:t xml:space="preserve"> </w:t>
      </w:r>
      <w:hyperlink w:anchor="tbl-household-composition">
        <w:r>
          <w:rPr>
            <w:rStyle w:val="Hyperlink"/>
          </w:rPr>
          <w:t xml:space="preserve">Table 5</w:t>
        </w:r>
      </w:hyperlink>
      <w:r>
        <w:t xml:space="preserve"> </w:t>
      </w:r>
      <w:r>
        <w:t xml:space="preserve">give a summary of the prevalence of different kinds of household across all geographies. These are: Households comprised of a single occupant, households with dependent children and all other households.</w:t>
      </w:r>
    </w:p>
    <w:tbl>
      <w:tblPr>
        <w:tblStyle w:val="Table"/>
        <w:tblW w:type="pct" w:w="5000"/>
        <w:tblLook w:firstRow="0" w:lastRow="0" w:firstColumn="0" w:lastColumn="0" w:noHBand="0" w:noVBand="0" w:val="0000"/>
        <w:jc w:val="start"/>
      </w:tblPr>
      <w:tblGrid>
        <w:gridCol w:w="7920"/>
      </w:tblGrid>
      <w:tr>
        <w:tc>
          <w:tcPr/>
          <w:bookmarkStart w:id="55" w:name="fig-household-composition"/>
          <w:p>
            <w:pPr>
              <w:jc w:val="center"/>
            </w:pPr>
            <w:r>
              <w:drawing>
                <wp:inline>
                  <wp:extent cx="5943600" cy="3396342"/>
                  <wp:effectExtent b="0" l="0" r="0" t="0"/>
                  <wp:docPr descr="" title="" id="53" name="Picture"/>
                  <a:graphic>
                    <a:graphicData uri="http://schemas.openxmlformats.org/drawingml/2006/picture">
                      <pic:pic>
                        <pic:nvPicPr>
                          <pic:cNvPr descr="com-report-template_files/figure-docx/fig-household-composition-1.png" id="54" name="Picture"/>
                          <pic:cNvPicPr>
                            <a:picLocks noChangeArrowheads="1" noChangeAspect="1"/>
                          </pic:cNvPicPr>
                        </pic:nvPicPr>
                        <pic:blipFill>
                          <a:blip r:embed="rId52"/>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household distribution overview</w:t>
            </w:r>
          </w:p>
          <w:bookmarkEnd w:id="55"/>
        </w:tc>
      </w:tr>
    </w:tbl>
    <w:p>
      <w:pPr>
        <w:pStyle w:val="BodyText"/>
      </w:pPr>
      <w:r>
        <w:t xml:space="preserve"> </w:t>
      </w:r>
    </w:p>
    <w:bookmarkStart w:id="56" w:name="tbl-household-composition"/>
    <w:p>
      <w:pPr>
        <w:pStyle w:val="TableCaption"/>
      </w:pPr>
      <w:r>
        <w:t xml:space="preserve">Table 5: Population household distribution overview</w:t>
      </w:r>
    </w:p>
    <w:tbl>
      <w:tblPr>
        <w:tblStyle w:val="Table"/>
        <w:tblW w:type="auto" w:w="0"/>
        <w:tblLook w:firstRow="1" w:lastRow="0" w:firstColumn="0" w:lastColumn="0" w:noHBand="0" w:noVBand="0" w:val="0020"/>
        <w:jc w:val="start"/>
        <w:tblCaption w:val="Table 5: Population household distribution overview"/>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Couple (no children)</w:t>
            </w:r>
          </w:p>
        </w:tc>
        <w:tc>
          <w:tcPr/>
          <w:p>
            <w:pPr>
              <w:pStyle w:val="Compact"/>
              <w:jc w:val="left"/>
            </w:pPr>
            <w:r>
              <w:t xml:space="preserve">21%</w:t>
            </w:r>
          </w:p>
        </w:tc>
        <w:tc>
          <w:tcPr/>
          <w:p>
            <w:pPr>
              <w:pStyle w:val="Compact"/>
              <w:jc w:val="left"/>
            </w:pPr>
            <w:r>
              <w:t xml:space="preserve">21%</w:t>
            </w:r>
          </w:p>
        </w:tc>
        <w:tc>
          <w:tcPr/>
          <w:p>
            <w:pPr>
              <w:pStyle w:val="Compact"/>
              <w:jc w:val="left"/>
            </w:pPr>
            <w:r>
              <w:t xml:space="preserve">21%</w:t>
            </w:r>
          </w:p>
        </w:tc>
      </w:tr>
      <w:tr>
        <w:tc>
          <w:tcPr/>
          <w:p>
            <w:pPr>
              <w:pStyle w:val="Compact"/>
              <w:jc w:val="left"/>
            </w:pPr>
            <w:r>
              <w:t xml:space="preserve">Couple w/ children</w:t>
            </w:r>
          </w:p>
        </w:tc>
        <w:tc>
          <w:tcPr/>
          <w:p>
            <w:pPr>
              <w:pStyle w:val="Compact"/>
              <w:jc w:val="left"/>
            </w:pPr>
            <w:r>
              <w:t xml:space="preserve">26%</w:t>
            </w:r>
          </w:p>
        </w:tc>
        <w:tc>
          <w:tcPr/>
          <w:p>
            <w:pPr>
              <w:pStyle w:val="Compact"/>
              <w:jc w:val="left"/>
            </w:pPr>
            <w:r>
              <w:t xml:space="preserve">37%</w:t>
            </w:r>
          </w:p>
        </w:tc>
        <w:tc>
          <w:tcPr/>
          <w:p>
            <w:pPr>
              <w:pStyle w:val="Compact"/>
              <w:jc w:val="left"/>
            </w:pPr>
            <w:r>
              <w:t xml:space="preserve">36%</w:t>
            </w:r>
          </w:p>
        </w:tc>
      </w:tr>
      <w:tr>
        <w:tc>
          <w:tcPr/>
          <w:p>
            <w:pPr>
              <w:pStyle w:val="Compact"/>
              <w:jc w:val="left"/>
            </w:pPr>
            <w:r>
              <w:t xml:space="preserve">Non-family households</w:t>
            </w:r>
          </w:p>
        </w:tc>
        <w:tc>
          <w:tcPr/>
          <w:p>
            <w:pPr>
              <w:pStyle w:val="Compact"/>
              <w:jc w:val="left"/>
            </w:pPr>
            <w:r>
              <w:t xml:space="preserve">11%</w:t>
            </w:r>
          </w:p>
        </w:tc>
        <w:tc>
          <w:tcPr/>
          <w:p>
            <w:pPr>
              <w:pStyle w:val="Compact"/>
              <w:jc w:val="left"/>
            </w:pPr>
            <w:r>
              <w:t xml:space="preserve">5%</w:t>
            </w:r>
          </w:p>
        </w:tc>
        <w:tc>
          <w:tcPr/>
          <w:p>
            <w:pPr>
              <w:pStyle w:val="Compact"/>
              <w:jc w:val="left"/>
            </w:pPr>
            <w:r>
              <w:t xml:space="preserve">8%</w:t>
            </w:r>
          </w:p>
        </w:tc>
      </w:tr>
      <w:tr>
        <w:tc>
          <w:tcPr/>
          <w:p>
            <w:pPr>
              <w:pStyle w:val="Compact"/>
              <w:jc w:val="left"/>
            </w:pPr>
            <w:r>
              <w:t xml:space="preserve">One parent family</w:t>
            </w:r>
          </w:p>
        </w:tc>
        <w:tc>
          <w:tcPr/>
          <w:p>
            <w:pPr>
              <w:pStyle w:val="Compact"/>
              <w:jc w:val="left"/>
            </w:pPr>
            <w:r>
              <w:t xml:space="preserve">11%</w:t>
            </w:r>
          </w:p>
        </w:tc>
        <w:tc>
          <w:tcPr/>
          <w:p>
            <w:pPr>
              <w:pStyle w:val="Compact"/>
              <w:jc w:val="left"/>
            </w:pPr>
            <w:r>
              <w:t xml:space="preserve">10%</w:t>
            </w:r>
          </w:p>
        </w:tc>
        <w:tc>
          <w:tcPr/>
          <w:p>
            <w:pPr>
              <w:pStyle w:val="Compact"/>
              <w:jc w:val="left"/>
            </w:pPr>
            <w:r>
              <w:t xml:space="preserve">11%</w:t>
            </w:r>
          </w:p>
        </w:tc>
      </w:tr>
      <w:tr>
        <w:tc>
          <w:tcPr/>
          <w:p>
            <w:pPr>
              <w:pStyle w:val="Compact"/>
              <w:jc w:val="left"/>
            </w:pPr>
            <w:r>
              <w:t xml:space="preserve">One person</w:t>
            </w:r>
          </w:p>
        </w:tc>
        <w:tc>
          <w:tcPr/>
          <w:p>
            <w:pPr>
              <w:pStyle w:val="Compact"/>
              <w:jc w:val="left"/>
            </w:pPr>
            <w:r>
              <w:t xml:space="preserve">30%</w:t>
            </w:r>
          </w:p>
        </w:tc>
        <w:tc>
          <w:tcPr/>
          <w:p>
            <w:pPr>
              <w:pStyle w:val="Compact"/>
              <w:jc w:val="left"/>
            </w:pPr>
            <w:r>
              <w:t xml:space="preserve">26%</w:t>
            </w:r>
          </w:p>
        </w:tc>
        <w:tc>
          <w:tcPr/>
          <w:p>
            <w:pPr>
              <w:pStyle w:val="Compact"/>
              <w:jc w:val="left"/>
            </w:pPr>
            <w:r>
              <w:t xml:space="preserve">23%</w:t>
            </w:r>
          </w:p>
        </w:tc>
      </w:tr>
      <w:tr>
        <w:tc>
          <w:tcPr/>
          <w:p>
            <w:pPr>
              <w:pStyle w:val="Compact"/>
              <w:jc w:val="left"/>
            </w:pPr>
            <w:r>
              <w:t xml:space="preserve">Multiple families</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End w:id="56"/>
    <w:p>
      <w:r>
        <w:br w:type="page"/>
      </w:r>
    </w:p>
    <w:bookmarkEnd w:id="57"/>
    <w:bookmarkEnd w:id="58"/>
    <w:bookmarkStart w:id="64" w:name="local-deprivation"/>
    <w:p>
      <w:pPr>
        <w:pStyle w:val="Heading2"/>
      </w:pPr>
      <w:r>
        <w:t xml:space="preserve">Local Deprivation</w:t>
      </w:r>
    </w:p>
    <w:p>
      <w:pPr>
        <w:pStyle w:val="FirstParagraph"/>
      </w:pPr>
      <w:hyperlink w:anchor="fig-deprivation-map">
        <w:r>
          <w:rPr>
            <w:rStyle w:val="Hyperlink"/>
          </w:rPr>
          <w:t xml:space="preserve">Figure 6</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2017 Northern Ireland Multiple Deprivation Measures (NIMD). If you would like to know more about NIMD, you can find out about it</w:t>
      </w:r>
      <w:r>
        <w:t xml:space="preserve"> </w:t>
      </w:r>
      <w:hyperlink r:id="rId59">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63" w:name="fig-deprivation-map"/>
          <w:p>
            <w:pPr>
              <w:jc w:val="center"/>
            </w:pPr>
            <w:r>
              <w:drawing>
                <wp:inline>
                  <wp:extent cx="4160520" cy="3581048"/>
                  <wp:effectExtent b="0" l="0" r="0" t="0"/>
                  <wp:docPr descr="" title="" id="61" name="Picture"/>
                  <a:graphic>
                    <a:graphicData uri="http://schemas.openxmlformats.org/drawingml/2006/picture">
                      <pic:pic>
                        <pic:nvPicPr>
                          <pic:cNvPr descr="imd-images/sligo.png" id="62" name="Picture"/>
                          <pic:cNvPicPr>
                            <a:picLocks noChangeArrowheads="1" noChangeAspect="1"/>
                          </pic:cNvPicPr>
                        </pic:nvPicPr>
                        <pic:blipFill>
                          <a:blip r:embed="rId60"/>
                          <a:stretch>
                            <a:fillRect/>
                          </a:stretch>
                        </pic:blipFill>
                        <pic:spPr bwMode="auto">
                          <a:xfrm>
                            <a:off x="0" y="0"/>
                            <a:ext cx="4160520" cy="35810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fig-cap: Map of local deprivation (NIMD2017)</w:t>
            </w:r>
          </w:p>
          <w:bookmarkEnd w:id="63"/>
        </w:tc>
      </w:tr>
    </w:tbl>
    <w:bookmarkEnd w:id="64"/>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60" Target="media/rId60.png" /><Relationship Type="http://schemas.openxmlformats.org/officeDocument/2006/relationships/hyperlink" Id="rId59" Target="https://www.nisra.gov.uk/sites/nisra.gov.uk/files/publications/NIMDM17-%20with%20ns.pdf" TargetMode="External" /></Relationships>
</file>

<file path=word/_rels/footnotes.xml.rels><?xml version="1.0" encoding="UTF-8"?><Relationships xmlns="http://schemas.openxmlformats.org/package/2006/relationships"><Relationship Type="http://schemas.openxmlformats.org/officeDocument/2006/relationships/hyperlink" Id="rId59" Target="https://www.nisra.gov.uk/sites/nisra.gov.uk/files/publications/NIMDM17-%20with%20ns.pdf"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Sligo Centre of Mission</dc:title>
  <dc:creator>Church Army’s Research Team</dc:creator>
  <cp:keywords/>
  <dcterms:created xsi:type="dcterms:W3CDTF">2023-12-20T13:34:12Z</dcterms:created>
  <dcterms:modified xsi:type="dcterms:W3CDTF">2023-12-20T13:34:12Z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