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864 hours of activity for approximately 1471 people - an average of 100 hours per month. Activities coordinated by Sligo CoM include:</w:t>
      </w:r>
    </w:p>
    <w:p>
      <w:pPr>
        <w:numPr>
          <w:ilvl w:val="0"/>
          <w:numId w:val="1001"/>
        </w:numPr>
      </w:pPr>
      <w:r>
        <w:t xml:space="preserve">ReCentre Community Church (Face to Face)</w:t>
      </w:r>
    </w:p>
    <w:p>
      <w:pPr>
        <w:numPr>
          <w:ilvl w:val="0"/>
          <w:numId w:val="1001"/>
        </w:numPr>
      </w:pPr>
      <w:r>
        <w:t xml:space="preserve">Girls Brigade</w:t>
      </w:r>
    </w:p>
    <w:p>
      <w:pPr>
        <w:numPr>
          <w:ilvl w:val="0"/>
          <w:numId w:val="1001"/>
        </w:numPr>
      </w:pPr>
      <w:r>
        <w:t xml:space="preserve">ASD outreach partnership with HSE</w:t>
      </w:r>
    </w:p>
    <w:p>
      <w:pPr>
        <w:numPr>
          <w:ilvl w:val="0"/>
          <w:numId w:val="1001"/>
        </w:numPr>
      </w:pPr>
      <w:r>
        <w:t xml:space="preserve">Youth Challenge</w:t>
      </w:r>
    </w:p>
    <w:p>
      <w:pPr>
        <w:numPr>
          <w:ilvl w:val="0"/>
          <w:numId w:val="1001"/>
        </w:numPr>
      </w:pPr>
      <w:r>
        <w:t xml:space="preserve">Pastoral Support</w:t>
      </w:r>
    </w:p>
    <w:p>
      <w:pPr>
        <w:numPr>
          <w:ilvl w:val="0"/>
          <w:numId w:val="1001"/>
        </w:numPr>
      </w:pPr>
      <w:r>
        <w:t xml:space="preserve">Young Adults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has been one request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eight people growing in faith</w:t>
      </w:r>
    </w:p>
    <w:p>
      <w:pPr>
        <w:numPr>
          <w:ilvl w:val="0"/>
          <w:numId w:val="1002"/>
        </w:numPr>
        <w:pStyle w:val="Compact"/>
      </w:pPr>
      <w:r>
        <w:t xml:space="preserve">There are at least 55 people actively exploring faith</w:t>
      </w:r>
    </w:p>
    <w:p>
      <w:pPr>
        <w:numPr>
          <w:ilvl w:val="0"/>
          <w:numId w:val="1002"/>
        </w:numPr>
        <w:pStyle w:val="Compact"/>
      </w:pPr>
      <w:r>
        <w:t xml:space="preserve">Two people have made a first-time commitment of faith and one person has made a recommitment of faith</w:t>
      </w:r>
    </w:p>
    <w:bookmarkStart w:id="23" w:name="food-provision"/>
    <w:p>
      <w:pPr>
        <w:pStyle w:val="Heading3"/>
      </w:pPr>
      <w:r>
        <w:t xml:space="preserve">Food provision</w:t>
      </w:r>
    </w:p>
    <w:p>
      <w:pPr>
        <w:pStyle w:val="FirstParagraph"/>
      </w:pPr>
      <w:r>
        <w:t xml:space="preserve">Sligo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2074"/>
        <w:gridCol w:w="2262"/>
        <w:gridCol w:w="358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Sligo Food Bank Drive</w:t>
            </w:r>
          </w:p>
        </w:tc>
        <w:tc>
          <w:tcPr/>
          <w:p>
            <w:pPr>
              <w:pStyle w:val="Compact"/>
              <w:jc w:val="left"/>
            </w:pPr>
            <w:r>
              <w:t xml:space="preserve">50</w:t>
            </w:r>
          </w:p>
        </w:tc>
        <w:tc>
          <w:tcPr/>
          <w:p>
            <w:pPr>
              <w:pStyle w:val="Compact"/>
              <w:jc w:val="left"/>
            </w:pPr>
            <w:r>
              <w:t xml:space="preserve">Canned and dry goods for food parcels</w:t>
            </w:r>
          </w:p>
        </w:tc>
      </w:tr>
    </w:tbl>
    <w:bookmarkEnd w:id="23"/>
    <w:bookmarkStart w:id="24" w:name="volunteers"/>
    <w:p>
      <w:pPr>
        <w:pStyle w:val="Heading3"/>
      </w:pPr>
      <w:r>
        <w:t xml:space="preserve">Volunteers</w:t>
      </w:r>
    </w:p>
    <w:p>
      <w:pPr>
        <w:pStyle w:val="FirstParagraph"/>
      </w:pPr>
      <w:r>
        <w:t xml:space="preserve">There are 12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20%</w:t>
            </w:r>
          </w:p>
        </w:tc>
      </w:tr>
      <w:tr>
        <w:tc>
          <w:tcPr/>
          <w:p>
            <w:pPr>
              <w:pStyle w:val="Compact"/>
              <w:jc w:val="left"/>
            </w:pPr>
            <w:r>
              <w:t xml:space="preserve">Occasional church-goer</w:t>
            </w:r>
          </w:p>
        </w:tc>
        <w:tc>
          <w:tcPr/>
          <w:p>
            <w:pPr>
              <w:pStyle w:val="Compact"/>
              <w:jc w:val="left"/>
            </w:pPr>
            <w:r>
              <w:t xml:space="preserve">50%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3581048"/>
                  <wp:effectExtent b="0" l="0" r="0" t="0"/>
                  <wp:docPr descr="" title="" id="61" name="Picture"/>
                  <a:graphic>
                    <a:graphicData uri="http://schemas.openxmlformats.org/drawingml/2006/picture">
                      <pic:pic>
                        <pic:nvPicPr>
                          <pic:cNvPr descr="imd-images/sligo.png" id="62" name="Picture"/>
                          <pic:cNvPicPr>
                            <a:picLocks noChangeArrowheads="1" noChangeAspect="1"/>
                          </pic:cNvPicPr>
                        </pic:nvPicPr>
                        <pic:blipFill>
                          <a:blip r:embed="rId60"/>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2024-01-02T15:29:57Z</dcterms:created>
  <dcterms:modified xsi:type="dcterms:W3CDTF">2024-01-02T15:29:57Z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