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45.png" ContentType="image/png"/>
  <Override PartName="/word/media/rId51.png" ContentType="image/png"/>
  <Override PartName="/word/media/rId39.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Sligo</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Sligo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Sligo CoM has facilitated over 1078 hours of activity for approximately 2232 people - an average of 135 hours per month. Activities coordinated by Sligo CoM include:</w:t>
      </w:r>
    </w:p>
    <w:p>
      <w:pPr>
        <w:numPr>
          <w:ilvl w:val="0"/>
          <w:numId w:val="1001"/>
        </w:numPr>
      </w:pPr>
      <w:r>
        <w:t xml:space="preserve">Alpha Holy Spirit Retreats</w:t>
      </w:r>
    </w:p>
    <w:p>
      <w:pPr>
        <w:numPr>
          <w:ilvl w:val="0"/>
          <w:numId w:val="1001"/>
        </w:numPr>
      </w:pPr>
      <w:r>
        <w:t xml:space="preserve">24/7 Prayer</w:t>
      </w:r>
    </w:p>
    <w:p>
      <w:pPr>
        <w:numPr>
          <w:ilvl w:val="0"/>
          <w:numId w:val="1001"/>
        </w:numPr>
      </w:pPr>
      <w:r>
        <w:t xml:space="preserve">ASD outreach partnership with HSE</w:t>
      </w:r>
    </w:p>
    <w:p>
      <w:pPr>
        <w:numPr>
          <w:ilvl w:val="0"/>
          <w:numId w:val="1001"/>
        </w:numPr>
      </w:pPr>
      <w:r>
        <w:t xml:space="preserve">Alpha Mercy College</w:t>
      </w:r>
    </w:p>
    <w:p>
      <w:pPr>
        <w:numPr>
          <w:ilvl w:val="0"/>
          <w:numId w:val="1001"/>
        </w:numPr>
      </w:pPr>
      <w:r>
        <w:t xml:space="preserve">Community Jiving Class</w:t>
      </w:r>
    </w:p>
    <w:p>
      <w:pPr>
        <w:numPr>
          <w:ilvl w:val="0"/>
          <w:numId w:val="1001"/>
        </w:numPr>
      </w:pPr>
      <w:r>
        <w:t xml:space="preserve">Alpha Sligo Grammar School</w:t>
      </w:r>
    </w:p>
    <w:p>
      <w:r>
        <w:br w:type="page"/>
      </w:r>
    </w:p>
    <w:bookmarkEnd w:id="21"/>
    <w:bookmarkEnd w:id="22"/>
    <w:bookmarkStart w:id="25" w:name="growing-faith"/>
    <w:p>
      <w:pPr>
        <w:pStyle w:val="Heading2"/>
      </w:pPr>
      <w:r>
        <w:t xml:space="preserve">Growing faith</w:t>
      </w:r>
    </w:p>
    <w:p>
      <w:pPr>
        <w:pStyle w:val="FirstParagraph"/>
      </w:pPr>
      <w:r>
        <w:t xml:space="preserve">Growing faith can’t always be seen and is tricky to measure, but there have been some encouraging developments at Sligo CoM, including:</w:t>
      </w:r>
    </w:p>
    <w:p>
      <w:pPr>
        <w:numPr>
          <w:ilvl w:val="0"/>
          <w:numId w:val="1002"/>
        </w:numPr>
        <w:pStyle w:val="Compact"/>
      </w:pPr>
      <w:r>
        <w:t xml:space="preserve">There are at least six people growing in faith</w:t>
      </w:r>
    </w:p>
    <w:p>
      <w:pPr>
        <w:numPr>
          <w:ilvl w:val="0"/>
          <w:numId w:val="1002"/>
        </w:numPr>
        <w:pStyle w:val="Compact"/>
      </w:pPr>
      <w:r>
        <w:t xml:space="preserve">There are at least 15 people actively exploring faith</w:t>
      </w:r>
    </w:p>
    <w:bookmarkStart w:id="23" w:name="food-provision"/>
    <w:p>
      <w:pPr>
        <w:pStyle w:val="Heading3"/>
      </w:pPr>
      <w:r>
        <w:t xml:space="preserve">Food provision</w:t>
      </w:r>
    </w:p>
    <w:p>
      <w:pPr>
        <w:pStyle w:val="FirstParagraph"/>
      </w:pPr>
      <w:r>
        <w:t xml:space="preserve">Sligo CoM have provided 220 food parcels over the course of the year. Details of this provision are given in the table below.</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Hot meals provided</w:t>
            </w:r>
          </w:p>
        </w:tc>
        <w:tc>
          <w:tcPr/>
          <w:p>
            <w:pPr>
              <w:pStyle w:val="Compact"/>
              <w:jc w:val="left"/>
            </w:pPr>
            <w:r>
              <w:t xml:space="preserve">200</w:t>
            </w:r>
          </w:p>
        </w:tc>
        <w:tc>
          <w:tcPr/>
          <w:p>
            <w:pPr>
              <w:pStyle w:val="Compact"/>
              <w:jc w:val="left"/>
            </w:pPr>
            <w:r>
              <w:t xml:space="preserve">—</w:t>
            </w:r>
          </w:p>
        </w:tc>
      </w:tr>
      <w:tr>
        <w:tc>
          <w:tcPr/>
          <w:p>
            <w:pPr>
              <w:pStyle w:val="Compact"/>
              <w:jc w:val="left"/>
            </w:pPr>
            <w:r>
              <w:t xml:space="preserve">Food packs</w:t>
            </w:r>
          </w:p>
        </w:tc>
        <w:tc>
          <w:tcPr/>
          <w:p>
            <w:pPr>
              <w:pStyle w:val="Compact"/>
              <w:jc w:val="left"/>
            </w:pPr>
            <w:r>
              <w:t xml:space="preserve">20</w:t>
            </w:r>
          </w:p>
        </w:tc>
        <w:tc>
          <w:tcPr/>
          <w:p>
            <w:pPr>
              <w:pStyle w:val="Compact"/>
              <w:jc w:val="left"/>
            </w:pPr>
            <w:r>
              <w:t xml:space="preserve">—</w:t>
            </w:r>
          </w:p>
        </w:tc>
      </w:tr>
    </w:tbl>
    <w:bookmarkEnd w:id="23"/>
    <w:bookmarkStart w:id="24" w:name="volunteers"/>
    <w:p>
      <w:pPr>
        <w:pStyle w:val="Heading3"/>
      </w:pPr>
      <w:r>
        <w:t xml:space="preserve">Volunteers</w:t>
      </w:r>
    </w:p>
    <w:p>
      <w:pPr>
        <w:pStyle w:val="FirstParagraph"/>
      </w:pPr>
      <w:r>
        <w:t xml:space="preserve">There are nine volunteers at Sligo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50%</w:t>
            </w:r>
          </w:p>
        </w:tc>
      </w:tr>
      <w:tr>
        <w:tc>
          <w:tcPr/>
          <w:p>
            <w:pPr>
              <w:pStyle w:val="Compact"/>
              <w:jc w:val="left"/>
            </w:pPr>
            <w:r>
              <w:t xml:space="preserve">Occasional church-goer</w:t>
            </w:r>
          </w:p>
        </w:tc>
        <w:tc>
          <w:tcPr/>
          <w:p>
            <w:pPr>
              <w:pStyle w:val="Compact"/>
              <w:jc w:val="left"/>
            </w:pPr>
            <w:r>
              <w:t xml:space="preserve">0%</w:t>
            </w:r>
          </w:p>
        </w:tc>
      </w:tr>
      <w:tr>
        <w:tc>
          <w:tcPr/>
          <w:p>
            <w:pPr>
              <w:pStyle w:val="Compact"/>
              <w:jc w:val="left"/>
            </w:pPr>
            <w:r>
              <w:t xml:space="preserve">Historical church-goer</w:t>
            </w:r>
          </w:p>
        </w:tc>
        <w:tc>
          <w:tcPr/>
          <w:p>
            <w:pPr>
              <w:pStyle w:val="Compact"/>
              <w:jc w:val="left"/>
            </w:pPr>
            <w:r>
              <w:t xml:space="preserve">0%</w:t>
            </w:r>
          </w:p>
        </w:tc>
      </w:tr>
      <w:tr>
        <w:tc>
          <w:tcPr/>
          <w:p>
            <w:pPr>
              <w:pStyle w:val="Compact"/>
              <w:jc w:val="left"/>
            </w:pPr>
            <w:r>
              <w:t xml:space="preserve">Never church-goer</w:t>
            </w:r>
          </w:p>
        </w:tc>
        <w:tc>
          <w:tcPr/>
          <w:p>
            <w:pPr>
              <w:pStyle w:val="Compact"/>
              <w:jc w:val="left"/>
            </w:pPr>
            <w:r>
              <w:t xml:space="preserve">50%</w:t>
            </w:r>
          </w:p>
        </w:tc>
      </w:tr>
    </w:tbl>
    <w:p>
      <w:r>
        <w:br w:type="page"/>
      </w:r>
    </w:p>
    <w:bookmarkEnd w:id="24"/>
    <w:bookmarkEnd w:id="25"/>
    <w:bookmarkStart w:id="57"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6"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6"/>
    <w:bookmarkStart w:id="32"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p>
      <w:pPr>
        <w:pStyle w:val="BodyText"/>
      </w:pPr>
      <w:r>
        <w:t xml:space="preserve">The population local to Sligo CoM is home to a larger proportion of 20-29 year olds than the national population, as well as a larger proportion of people over the age of 60. Children and teenagers, on the other hand, are less prevalent locally than nationally.</w:t>
      </w:r>
    </w:p>
    <w:tbl>
      <w:tblPr>
        <w:tblStyle w:val="Table"/>
        <w:tblW w:type="pct" w:w="5000"/>
        <w:tblLook w:firstRow="0" w:lastRow="0" w:firstColumn="0" w:lastColumn="0" w:noHBand="0" w:noVBand="0" w:val="0000"/>
        <w:jc w:val="start"/>
      </w:tblPr>
      <w:tblGrid>
        <w:gridCol w:w="7920"/>
      </w:tblGrid>
      <w:tr>
        <w:tc>
          <w:tcPr/>
          <w:bookmarkStart w:id="30" w:name="fig-age"/>
          <w:p>
            <w:pPr>
              <w:jc w:val="center"/>
            </w:pPr>
            <w:r>
              <w:drawing>
                <wp:inline>
                  <wp:extent cx="5943600" cy="3396342"/>
                  <wp:effectExtent b="0" l="0" r="0" t="0"/>
                  <wp:docPr descr="" title="" id="28" name="Picture"/>
                  <a:graphic>
                    <a:graphicData uri="http://schemas.openxmlformats.org/drawingml/2006/picture">
                      <pic:pic>
                        <pic:nvPicPr>
                          <pic:cNvPr descr="com-report-template_files/figure-docx/fig-age-1.png" id="29"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0"/>
        </w:tc>
      </w:tr>
    </w:tbl>
    <w:p>
      <w:pPr>
        <w:pStyle w:val="BodyText"/>
      </w:pPr>
      <w:r>
        <w:t xml:space="preserve"> </w:t>
      </w:r>
    </w:p>
    <w:bookmarkStart w:id="31"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11%</w:t>
            </w:r>
          </w:p>
        </w:tc>
        <w:tc>
          <w:tcPr/>
          <w:p>
            <w:pPr>
              <w:pStyle w:val="Compact"/>
              <w:jc w:val="left"/>
            </w:pPr>
            <w:r>
              <w:t xml:space="preserve">13%</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12%</w:t>
            </w:r>
          </w:p>
        </w:tc>
        <w:tc>
          <w:tcPr/>
          <w:p>
            <w:pPr>
              <w:pStyle w:val="Compact"/>
              <w:jc w:val="left"/>
            </w:pPr>
            <w:r>
              <w:t xml:space="preserve">15%</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13%</w:t>
            </w:r>
          </w:p>
        </w:tc>
        <w:tc>
          <w:tcPr/>
          <w:p>
            <w:pPr>
              <w:pStyle w:val="Compact"/>
              <w:jc w:val="left"/>
            </w:pPr>
            <w:r>
              <w:t xml:space="preserve">10%</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20%</w:t>
            </w:r>
          </w:p>
        </w:tc>
        <w:tc>
          <w:tcPr/>
          <w:p>
            <w:pPr>
              <w:pStyle w:val="Compact"/>
              <w:jc w:val="left"/>
            </w:pPr>
            <w:r>
              <w:t xml:space="preserve">20%</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11%</w:t>
            </w:r>
          </w:p>
        </w:tc>
        <w:tc>
          <w:tcPr/>
          <w:p>
            <w:pPr>
              <w:pStyle w:val="Compact"/>
              <w:jc w:val="left"/>
            </w:pPr>
            <w:r>
              <w:t xml:space="preserve">11%</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13%</w:t>
            </w:r>
          </w:p>
        </w:tc>
        <w:tc>
          <w:tcPr/>
          <w:p>
            <w:pPr>
              <w:pStyle w:val="Compact"/>
              <w:jc w:val="left"/>
            </w:pPr>
            <w:r>
              <w:t xml:space="preserve">12%</w:t>
            </w:r>
          </w:p>
        </w:tc>
        <w:tc>
          <w:tcPr/>
          <w:p>
            <w:pPr>
              <w:pStyle w:val="Compact"/>
              <w:jc w:val="left"/>
            </w:pPr>
            <w:r>
              <w:t xml:space="preserve">10%</w:t>
            </w:r>
          </w:p>
        </w:tc>
      </w:tr>
    </w:tbl>
    <w:bookmarkEnd w:id="31"/>
    <w:p>
      <w:r>
        <w:br w:type="page"/>
      </w:r>
    </w:p>
    <w:bookmarkEnd w:id="32"/>
    <w:bookmarkStart w:id="38"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p>
      <w:pPr>
        <w:pStyle w:val="BodyText"/>
      </w:pPr>
      <w:r>
        <w:t xml:space="preserve">The majority of the local population are white, but white people comprise a slightly smaller share of the local population than the national average. Asian, unstated and other ethnicities are all marginally more prevalent locally than elsewhere.</w:t>
      </w:r>
    </w:p>
    <w:tbl>
      <w:tblPr>
        <w:tblStyle w:val="Table"/>
        <w:tblW w:type="pct" w:w="5000"/>
        <w:tblLook w:firstRow="0" w:lastRow="0" w:firstColumn="0" w:lastColumn="0" w:noHBand="0" w:noVBand="0" w:val="0000"/>
        <w:jc w:val="start"/>
      </w:tblPr>
      <w:tblGrid>
        <w:gridCol w:w="7920"/>
      </w:tblGrid>
      <w:tr>
        <w:tc>
          <w:tcPr/>
          <w:bookmarkStart w:id="36" w:name="fig-ethnicity"/>
          <w:p>
            <w:pPr>
              <w:jc w:val="center"/>
            </w:pPr>
            <w:r>
              <w:drawing>
                <wp:inline>
                  <wp:extent cx="5943600" cy="3396342"/>
                  <wp:effectExtent b="0" l="0" r="0" t="0"/>
                  <wp:docPr descr="" title="" id="34" name="Picture"/>
                  <a:graphic>
                    <a:graphicData uri="http://schemas.openxmlformats.org/drawingml/2006/picture">
                      <pic:pic>
                        <pic:nvPicPr>
                          <pic:cNvPr descr="com-report-template_files/figure-docx/fig-ethnicity-1.png" id="35"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6"/>
        </w:tc>
      </w:tr>
    </w:tbl>
    <w:p>
      <w:pPr>
        <w:pStyle w:val="BodyText"/>
      </w:pPr>
      <w:r>
        <w:t xml:space="preserve"> </w:t>
      </w:r>
    </w:p>
    <w:bookmarkStart w:id="37"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76%</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8%</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7%</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Asian</w:t>
            </w:r>
          </w:p>
        </w:tc>
        <w:tc>
          <w:tcPr/>
          <w:p>
            <w:pPr>
              <w:pStyle w:val="Compact"/>
              <w:jc w:val="left"/>
            </w:pPr>
            <w:r>
              <w:t xml:space="preserve">4%</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Other</w:t>
            </w:r>
          </w:p>
        </w:tc>
        <w:tc>
          <w:tcPr/>
          <w:p>
            <w:pPr>
              <w:pStyle w:val="Compact"/>
              <w:jc w:val="left"/>
            </w:pPr>
            <w:r>
              <w:t xml:space="preserve">5%</w:t>
            </w:r>
          </w:p>
        </w:tc>
        <w:tc>
          <w:tcPr/>
          <w:p>
            <w:pPr>
              <w:pStyle w:val="Compact"/>
              <w:jc w:val="left"/>
            </w:pPr>
            <w:r>
              <w:t xml:space="preserve">4%</w:t>
            </w:r>
          </w:p>
        </w:tc>
        <w:tc>
          <w:tcPr/>
          <w:p>
            <w:pPr>
              <w:pStyle w:val="Compact"/>
              <w:jc w:val="left"/>
            </w:pPr>
            <w:r>
              <w:t xml:space="preserve">4%</w:t>
            </w:r>
          </w:p>
        </w:tc>
      </w:tr>
    </w:tbl>
    <w:bookmarkEnd w:id="37"/>
    <w:p>
      <w:r>
        <w:br w:type="page"/>
      </w:r>
    </w:p>
    <w:bookmarkEnd w:id="38"/>
    <w:bookmarkStart w:id="44"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p>
      <w:pPr>
        <w:pStyle w:val="BodyText"/>
      </w:pPr>
      <w:r>
        <w:t xml:space="preserve">The local area is majority Catholic, but slightly less Catholic than the diocese and marginally less Catholic than the nation. Irreligiosity is comparable locally and nationally, despite being lower within the diocese than the national average.</w:t>
      </w:r>
    </w:p>
    <w:tbl>
      <w:tblPr>
        <w:tblStyle w:val="Table"/>
        <w:tblW w:type="pct" w:w="5000"/>
        <w:tblLook w:firstRow="0" w:lastRow="0" w:firstColumn="0" w:lastColumn="0" w:noHBand="0" w:noVBand="0" w:val="0000"/>
        <w:jc w:val="start"/>
      </w:tblPr>
      <w:tblGrid>
        <w:gridCol w:w="7920"/>
      </w:tblGrid>
      <w:tr>
        <w:tc>
          <w:tcPr/>
          <w:bookmarkStart w:id="42" w:name="fig-religion"/>
          <w:p>
            <w:pPr>
              <w:jc w:val="center"/>
            </w:pPr>
            <w:r>
              <w:drawing>
                <wp:inline>
                  <wp:extent cx="5943600" cy="3396342"/>
                  <wp:effectExtent b="0" l="0" r="0" t="0"/>
                  <wp:docPr descr="" title="" id="40" name="Picture"/>
                  <a:graphic>
                    <a:graphicData uri="http://schemas.openxmlformats.org/drawingml/2006/picture">
                      <pic:pic>
                        <pic:nvPicPr>
                          <pic:cNvPr descr="com-report-template_files/figure-docx/fig-religion-1.png" id="41"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2"/>
        </w:tc>
      </w:tr>
    </w:tbl>
    <w:p>
      <w:pPr>
        <w:pStyle w:val="BodyText"/>
      </w:pPr>
      <w:r>
        <w:t xml:space="preserve"> </w:t>
      </w:r>
    </w:p>
    <w:bookmarkStart w:id="43"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66%</w:t>
            </w:r>
          </w:p>
        </w:tc>
        <w:tc>
          <w:tcPr/>
          <w:p>
            <w:pPr>
              <w:pStyle w:val="Compact"/>
              <w:jc w:val="left"/>
            </w:pPr>
            <w:r>
              <w:t xml:space="preserve">76%</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15%</w:t>
            </w:r>
          </w:p>
        </w:tc>
        <w:tc>
          <w:tcPr/>
          <w:p>
            <w:pPr>
              <w:pStyle w:val="Compact"/>
              <w:jc w:val="left"/>
            </w:pPr>
            <w:r>
              <w:t xml:space="preserve">9%</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11%</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8%</w:t>
            </w:r>
          </w:p>
        </w:tc>
        <w:tc>
          <w:tcPr/>
          <w:p>
            <w:pPr>
              <w:pStyle w:val="Compact"/>
              <w:jc w:val="left"/>
            </w:pPr>
            <w:r>
              <w:t xml:space="preserve">5%</w:t>
            </w:r>
          </w:p>
        </w:tc>
        <w:tc>
          <w:tcPr/>
          <w:p>
            <w:pPr>
              <w:pStyle w:val="Compact"/>
              <w:jc w:val="left"/>
            </w:pPr>
            <w:r>
              <w:t xml:space="preserve">7%</w:t>
            </w:r>
          </w:p>
        </w:tc>
      </w:tr>
    </w:tbl>
    <w:bookmarkEnd w:id="43"/>
    <w:p>
      <w:r>
        <w:br w:type="page"/>
      </w:r>
    </w:p>
    <w:bookmarkEnd w:id="44"/>
    <w:bookmarkStart w:id="50"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p>
      <w:pPr>
        <w:pStyle w:val="BodyText"/>
      </w:pPr>
      <w:r>
        <w:t xml:space="preserve">Self reported general health outcomes are marginally worse in the local area than the national average; locally, three percent fewer people report their general health to be</w:t>
      </w:r>
      <w:r>
        <w:t xml:space="preserve"> </w:t>
      </w:r>
      <w:r>
        <w:t xml:space="preserve">‘</w:t>
      </w:r>
      <w:r>
        <w:t xml:space="preserve">very good</w:t>
      </w:r>
      <w:r>
        <w:t xml:space="preserve">’</w:t>
      </w:r>
      <w:r>
        <w:t xml:space="preserve"> </w:t>
      </w:r>
      <w:r>
        <w:t xml:space="preserve">than within the nation.</w:t>
      </w:r>
    </w:p>
    <w:tbl>
      <w:tblPr>
        <w:tblStyle w:val="Table"/>
        <w:tblW w:type="pct" w:w="5000"/>
        <w:tblLook w:firstRow="0" w:lastRow="0" w:firstColumn="0" w:lastColumn="0" w:noHBand="0" w:noVBand="0" w:val="0000"/>
        <w:jc w:val="start"/>
      </w:tblPr>
      <w:tblGrid>
        <w:gridCol w:w="7920"/>
      </w:tblGrid>
      <w:tr>
        <w:tc>
          <w:tcPr/>
          <w:bookmarkStart w:id="48" w:name="fig-general-health"/>
          <w:p>
            <w:pPr>
              <w:jc w:val="center"/>
            </w:pPr>
            <w:r>
              <w:drawing>
                <wp:inline>
                  <wp:extent cx="5943600" cy="3396342"/>
                  <wp:effectExtent b="0" l="0" r="0" t="0"/>
                  <wp:docPr descr="" title="" id="46" name="Picture"/>
                  <a:graphic>
                    <a:graphicData uri="http://schemas.openxmlformats.org/drawingml/2006/picture">
                      <pic:pic>
                        <pic:nvPicPr>
                          <pic:cNvPr descr="com-report-template_files/figure-docx/fig-general-health-1.png" id="47"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8"/>
        </w:tc>
      </w:tr>
    </w:tbl>
    <w:p>
      <w:pPr>
        <w:pStyle w:val="BodyText"/>
      </w:pPr>
      <w:r>
        <w:t xml:space="preserve"> </w:t>
      </w:r>
    </w:p>
    <w:bookmarkStart w:id="49"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11%</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33%</w:t>
            </w:r>
          </w:p>
        </w:tc>
        <w:tc>
          <w:tcPr/>
          <w:p>
            <w:pPr>
              <w:pStyle w:val="Compact"/>
              <w:jc w:val="left"/>
            </w:pPr>
            <w:r>
              <w:t xml:space="preserve">32%</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54%</w:t>
            </w:r>
          </w:p>
        </w:tc>
        <w:tc>
          <w:tcPr/>
          <w:p>
            <w:pPr>
              <w:pStyle w:val="Compact"/>
              <w:jc w:val="left"/>
            </w:pPr>
            <w:r>
              <w:t xml:space="preserve">56%</w:t>
            </w:r>
          </w:p>
        </w:tc>
        <w:tc>
          <w:tcPr/>
          <w:p>
            <w:pPr>
              <w:pStyle w:val="Compact"/>
              <w:jc w:val="left"/>
            </w:pPr>
            <w:r>
              <w:t xml:space="preserve">57%</w:t>
            </w:r>
          </w:p>
        </w:tc>
      </w:tr>
    </w:tbl>
    <w:bookmarkEnd w:id="49"/>
    <w:p>
      <w:r>
        <w:br w:type="page"/>
      </w:r>
    </w:p>
    <w:bookmarkEnd w:id="50"/>
    <w:bookmarkStart w:id="56" w:name="household-composition"/>
    <w:p>
      <w:pPr>
        <w:pStyle w:val="Heading3"/>
      </w:pPr>
      <w:r>
        <w:t xml:space="preserve">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w:t>
      </w:r>
    </w:p>
    <w:p>
      <w:pPr>
        <w:pStyle w:val="BodyText"/>
      </w:pPr>
      <w:r>
        <w:t xml:space="preserve">One-person households account for 30% of all local households, compared to 23% of households nationwide. Couples with children account for approximately a quarter of the local population, whereas in the national population they account for over 35% of all households. Non-family households are more prevalent in the local area than elsewhere, and account for over 1 in 10 local households.</w:t>
      </w:r>
    </w:p>
    <w:tbl>
      <w:tblPr>
        <w:tblStyle w:val="Table"/>
        <w:tblW w:type="pct" w:w="5000"/>
        <w:tblLook w:firstRow="0" w:lastRow="0" w:firstColumn="0" w:lastColumn="0" w:noHBand="0" w:noVBand="0" w:val="0000"/>
        <w:jc w:val="start"/>
      </w:tblPr>
      <w:tblGrid>
        <w:gridCol w:w="7920"/>
      </w:tblGrid>
      <w:tr>
        <w:tc>
          <w:tcPr/>
          <w:bookmarkStart w:id="54" w:name="fig-household-composition"/>
          <w:p>
            <w:pPr>
              <w:jc w:val="center"/>
            </w:pPr>
            <w:r>
              <w:drawing>
                <wp:inline>
                  <wp:extent cx="5943600" cy="3396342"/>
                  <wp:effectExtent b="0" l="0" r="0" t="0"/>
                  <wp:docPr descr="" title="" id="52" name="Picture"/>
                  <a:graphic>
                    <a:graphicData uri="http://schemas.openxmlformats.org/drawingml/2006/picture">
                      <pic:pic>
                        <pic:nvPicPr>
                          <pic:cNvPr descr="com-report-template_files/figure-docx/fig-household-composition-1.png" id="53" name="Picture"/>
                          <pic:cNvPicPr>
                            <a:picLocks noChangeArrowheads="1" noChangeAspect="1"/>
                          </pic:cNvPicPr>
                        </pic:nvPicPr>
                        <pic:blipFill>
                          <a:blip r:embed="rId51"/>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4"/>
        </w:tc>
      </w:tr>
    </w:tbl>
    <w:p>
      <w:pPr>
        <w:pStyle w:val="BodyText"/>
      </w:pPr>
      <w:r>
        <w:t xml:space="preserve"> </w:t>
      </w:r>
    </w:p>
    <w:bookmarkStart w:id="55"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One person</w:t>
            </w:r>
          </w:p>
        </w:tc>
        <w:tc>
          <w:tcPr/>
          <w:p>
            <w:pPr>
              <w:pStyle w:val="Compact"/>
              <w:jc w:val="left"/>
            </w:pPr>
            <w:r>
              <w:t xml:space="preserve">30%</w:t>
            </w:r>
          </w:p>
        </w:tc>
        <w:tc>
          <w:tcPr/>
          <w:p>
            <w:pPr>
              <w:pStyle w:val="Compact"/>
              <w:jc w:val="left"/>
            </w:pPr>
            <w:r>
              <w:t xml:space="preserve">26%</w:t>
            </w:r>
          </w:p>
        </w:tc>
        <w:tc>
          <w:tcPr/>
          <w:p>
            <w:pPr>
              <w:pStyle w:val="Compact"/>
              <w:jc w:val="left"/>
            </w:pPr>
            <w:r>
              <w:t xml:space="preserve">23%</w:t>
            </w:r>
          </w:p>
        </w:tc>
      </w:tr>
      <w:tr>
        <w:tc>
          <w:tcPr/>
          <w:p>
            <w:pPr>
              <w:pStyle w:val="Compact"/>
              <w:jc w:val="left"/>
            </w:pPr>
            <w:r>
              <w:t xml:space="preserve">Couple w/ children</w:t>
            </w:r>
          </w:p>
        </w:tc>
        <w:tc>
          <w:tcPr/>
          <w:p>
            <w:pPr>
              <w:pStyle w:val="Compact"/>
              <w:jc w:val="left"/>
            </w:pPr>
            <w:r>
              <w:t xml:space="preserve">26%</w:t>
            </w:r>
          </w:p>
        </w:tc>
        <w:tc>
          <w:tcPr/>
          <w:p>
            <w:pPr>
              <w:pStyle w:val="Compact"/>
              <w:jc w:val="left"/>
            </w:pPr>
            <w:r>
              <w:t xml:space="preserve">37%</w:t>
            </w:r>
          </w:p>
        </w:tc>
        <w:tc>
          <w:tcPr/>
          <w:p>
            <w:pPr>
              <w:pStyle w:val="Compact"/>
              <w:jc w:val="left"/>
            </w:pPr>
            <w:r>
              <w:t xml:space="preserve">36%</w:t>
            </w:r>
          </w:p>
        </w:tc>
      </w:tr>
      <w:tr>
        <w:tc>
          <w:tcPr/>
          <w:p>
            <w:pPr>
              <w:pStyle w:val="Compact"/>
              <w:jc w:val="left"/>
            </w:pPr>
            <w:r>
              <w:t xml:space="preserve">Couple (no children)</w:t>
            </w:r>
          </w:p>
        </w:tc>
        <w:tc>
          <w:tcPr/>
          <w:p>
            <w:pPr>
              <w:pStyle w:val="Compact"/>
              <w:jc w:val="left"/>
            </w:pPr>
            <w:r>
              <w:t xml:space="preserve">21%</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One parent family</w:t>
            </w:r>
          </w:p>
        </w:tc>
        <w:tc>
          <w:tcPr/>
          <w:p>
            <w:pPr>
              <w:pStyle w:val="Compact"/>
              <w:jc w:val="left"/>
            </w:pPr>
            <w:r>
              <w:t xml:space="preserve">11%</w:t>
            </w:r>
          </w:p>
        </w:tc>
        <w:tc>
          <w:tcPr/>
          <w:p>
            <w:pPr>
              <w:pStyle w:val="Compact"/>
              <w:jc w:val="left"/>
            </w:pPr>
            <w:r>
              <w:t xml:space="preserve">10%</w:t>
            </w:r>
          </w:p>
        </w:tc>
        <w:tc>
          <w:tcPr/>
          <w:p>
            <w:pPr>
              <w:pStyle w:val="Compact"/>
              <w:jc w:val="left"/>
            </w:pPr>
            <w:r>
              <w:t xml:space="preserve">11%</w:t>
            </w:r>
          </w:p>
        </w:tc>
      </w:tr>
      <w:tr>
        <w:tc>
          <w:tcPr/>
          <w:p>
            <w:pPr>
              <w:pStyle w:val="Compact"/>
              <w:jc w:val="left"/>
            </w:pPr>
            <w:r>
              <w:t xml:space="preserve">Non-family households</w:t>
            </w:r>
          </w:p>
        </w:tc>
        <w:tc>
          <w:tcPr/>
          <w:p>
            <w:pPr>
              <w:pStyle w:val="Compact"/>
              <w:jc w:val="left"/>
            </w:pPr>
            <w:r>
              <w:t xml:space="preserve">11%</w:t>
            </w:r>
          </w:p>
        </w:tc>
        <w:tc>
          <w:tcPr/>
          <w:p>
            <w:pPr>
              <w:pStyle w:val="Compact"/>
              <w:jc w:val="left"/>
            </w:pPr>
            <w:r>
              <w:t xml:space="preserve">5%</w:t>
            </w:r>
          </w:p>
        </w:tc>
        <w:tc>
          <w:tcPr/>
          <w:p>
            <w:pPr>
              <w:pStyle w:val="Compact"/>
              <w:jc w:val="left"/>
            </w:pPr>
            <w:r>
              <w:t xml:space="preserve">8%</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5"/>
    <w:p>
      <w:r>
        <w:br w:type="page"/>
      </w:r>
    </w:p>
    <w:bookmarkEnd w:id="56"/>
    <w:bookmarkEnd w:id="57"/>
    <w:bookmarkStart w:id="63"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58">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2" w:name="fig-deprivation-map"/>
          <w:p>
            <w:pPr>
              <w:jc w:val="center"/>
            </w:pPr>
            <w:r>
              <w:drawing>
                <wp:inline>
                  <wp:extent cx="4160520" cy="3581048"/>
                  <wp:effectExtent b="0" l="0" r="0" t="0"/>
                  <wp:docPr descr="" title="" id="60" name="Picture"/>
                  <a:graphic>
                    <a:graphicData uri="http://schemas.openxmlformats.org/drawingml/2006/picture">
                      <pic:pic>
                        <pic:nvPicPr>
                          <pic:cNvPr descr="imd-images/sligo.png" id="61" name="Picture"/>
                          <pic:cNvPicPr>
                            <a:picLocks noChangeArrowheads="1" noChangeAspect="1"/>
                          </pic:cNvPicPr>
                        </pic:nvPicPr>
                        <pic:blipFill>
                          <a:blip r:embed="rId59"/>
                          <a:stretch>
                            <a:fillRect/>
                          </a:stretch>
                        </pic:blipFill>
                        <pic:spPr bwMode="auto">
                          <a:xfrm>
                            <a:off x="0" y="0"/>
                            <a:ext cx="4160520" cy="35810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2"/>
        </w:tc>
      </w:tr>
    </w:tbl>
    <w:bookmarkEnd w:id="63"/>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59" Target="media/rId59.png" /><Relationship Type="http://schemas.openxmlformats.org/officeDocument/2006/relationships/hyperlink" Id="rId58"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58"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Sligo Centre of Mission</dc:title>
  <dc:creator>Church Army’s Research Team</dc:creator>
  <cp:keywords/>
  <dcterms:created xsi:type="dcterms:W3CDTF">2024-07-29T10:20:25Z</dcterms:created>
  <dcterms:modified xsi:type="dcterms:W3CDTF">2024-07-29T10:20:25Z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