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Pr>
        <w:jc w:val="center"/>
      </w:pPr>
      <w:r>
        <w:rPr>
          <w:b/>
          <w:sz w:val="56"/>
        </w:rPr>
        <w:t>e-PU10 400A AC/DC Charger</w:t>
      </w:r>
    </w:p>
    <w:p>
      <w:pPr>
        <w:jc w:val="center"/>
      </w:pPr>
      <w:r>
        <w:rPr>
          <w:b/>
          <w:sz w:val="36"/>
        </w:rPr>
        <w:t>Project plan</w:t>
      </w:r>
    </w:p>
    <w:p/>
    <w:p/>
    <w:tbl>
      <w:tblPr>
        <w:tblStyle w:val="TableGrid"/>
        <w:tblW w:type="auto" w:w="0"/>
        <w:tblLook w:firstColumn="1" w:firstRow="1" w:lastColumn="0" w:lastRow="0" w:noHBand="0" w:noVBand="1" w:val="04A0"/>
      </w:tblPr>
      <w:tblGrid>
        <w:gridCol w:w="4513"/>
        <w:gridCol w:w="4513"/>
      </w:tblGrid>
      <w:tr>
        <w:tc>
          <w:tcPr>
            <w:tcW w:type="dxa" w:w="2835"/>
          </w:tcPr>
          <w:p>
            <w:r/>
            <w:r>
              <w:t>VDL order number</w:t>
            </w:r>
          </w:p>
        </w:tc>
        <w:tc>
          <w:tcPr>
            <w:tcW w:type="dxa" w:w="5669"/>
          </w:tcPr>
          <w:p>
            <w:r/>
            <w:r/>
          </w:p>
        </w:tc>
      </w:tr>
      <w:tr>
        <w:tc>
          <w:tcPr>
            <w:tcW w:type="dxa" w:w="2835"/>
          </w:tcPr>
          <w:p>
            <w:r/>
            <w:r>
              <w:t>Customer</w:t>
            </w:r>
          </w:p>
        </w:tc>
        <w:tc>
          <w:tcPr>
            <w:tcW w:type="dxa" w:w="5669"/>
          </w:tcPr>
          <w:p>
            <w:r/>
            <w:r>
              <w:t>Internal</w:t>
            </w:r>
          </w:p>
        </w:tc>
      </w:tr>
      <w:tr>
        <w:tc>
          <w:tcPr>
            <w:tcW w:type="dxa" w:w="2835"/>
          </w:tcPr>
          <w:p>
            <w:r/>
            <w:r>
              <w:t>End User</w:t>
            </w:r>
          </w:p>
        </w:tc>
        <w:tc>
          <w:tcPr>
            <w:tcW w:type="dxa" w:w="5669"/>
          </w:tcPr>
          <w:p>
            <w:r/>
            <w:r>
              <w:t>Internal – e-PU10 product line</w:t>
            </w:r>
          </w:p>
        </w:tc>
      </w:tr>
      <w:tr>
        <w:tc>
          <w:tcPr>
            <w:tcW w:type="dxa" w:w="2835"/>
          </w:tcPr>
          <w:p>
            <w:r/>
            <w:r>
              <w:t>Item</w:t>
            </w:r>
          </w:p>
        </w:tc>
        <w:tc>
          <w:tcPr>
            <w:tcW w:type="dxa" w:w="5669"/>
          </w:tcPr>
          <w:p>
            <w:r/>
            <w:r>
              <w:t>400A AC/DC Charger (battery charger) for e-PU10 BESS</w:t>
            </w:r>
          </w:p>
        </w:tc>
      </w:tr>
      <w:tr>
        <w:tc>
          <w:tcPr>
            <w:tcW w:type="dxa" w:w="2835"/>
          </w:tcPr>
          <w:p>
            <w:r/>
            <w:r>
              <w:t>Project Lead</w:t>
            </w:r>
          </w:p>
        </w:tc>
        <w:tc>
          <w:tcPr>
            <w:tcW w:type="dxa" w:w="5669"/>
          </w:tcPr>
          <w:p>
            <w:r/>
            <w:r>
              <w:t>L. Rietkerk</w:t>
            </w:r>
          </w:p>
        </w:tc>
      </w:tr>
      <w:tr>
        <w:tc>
          <w:tcPr>
            <w:tcW w:type="dxa" w:w="2835"/>
          </w:tcPr>
          <w:p>
            <w:r/>
            <w:r>
              <w:t>Kickoff date</w:t>
            </w:r>
          </w:p>
        </w:tc>
        <w:tc>
          <w:tcPr>
            <w:tcW w:type="dxa" w:w="5669"/>
          </w:tcPr>
          <w:p>
            <w:r/>
            <w:r>
              <w:t>23-06-2026</w:t>
            </w:r>
          </w:p>
        </w:tc>
      </w:tr>
      <w:tr>
        <w:tc>
          <w:tcPr>
            <w:tcW w:type="dxa" w:w="2835"/>
          </w:tcPr>
          <w:p>
            <w:r/>
            <w:r>
              <w:t>Target completion</w:t>
            </w:r>
          </w:p>
        </w:tc>
        <w:tc>
          <w:tcPr>
            <w:tcW w:type="dxa" w:w="5669"/>
          </w:tcPr>
          <w:p>
            <w:r/>
            <w:r>
              <w:t>02-11-2026</w:t>
            </w:r>
          </w:p>
        </w:tc>
      </w:tr>
    </w:tbl>
    <w:p/>
    <w:p>
      <w:r>
        <w:br w:type="page"/>
      </w:r>
    </w:p>
    <w:p>
      <w:pPr>
        <w:pStyle w:val="Heading1"/>
      </w:pPr>
      <w:r>
        <w:t>Introduction</w:t>
      </w:r>
    </w:p>
    <w:p>
      <w:r>
        <w:t>The 400A AC/DC Charger project focuses on the development of a series-production ready battery charger option for the e-PU10 Battery Energy Storage System (BESS). The charger provides a galvanically isolated AC to DC charging path for the e-PU10 main battery (600 – 800 VDC) at a rated AC input of 400 A through a single Powerlock set.</w:t>
      </w:r>
    </w:p>
    <w:p>
      <w:r>
        <w:t>The development is driven by a direct client request for higher charging power on the e-PU10 platform, with strict requirements on reliability, serviceability, EMC behaviour and integration with the existing microgrid architecture. The product shall be ready for series production before November 2026 in order to align with the e-PU10V2 release.</w:t>
      </w:r>
    </w:p>
    <w:p>
      <w:r>
        <w:t>This document defines the scope, deliverables, planning, governance and acceptance criteria for the project. The plan follows the VDL TRL-based execution model and is tailored to the limited duration and well-bounded scope of this development.</w:t>
      </w:r>
    </w:p>
    <w:p>
      <w:pPr>
        <w:pStyle w:val="Heading2"/>
      </w:pPr>
      <w:r>
        <w:t>Abbreviations and Definitions</w:t>
      </w:r>
    </w:p>
    <w:tbl>
      <w:tblPr>
        <w:tblStyle w:val="TableGrid"/>
        <w:tblW w:type="auto" w:w="0"/>
        <w:tblLook w:firstColumn="1" w:firstRow="1" w:lastColumn="0" w:lastRow="0" w:noHBand="0" w:noVBand="1" w:val="04A0"/>
      </w:tblPr>
      <w:tblGrid>
        <w:gridCol w:w="4513"/>
        <w:gridCol w:w="4513"/>
      </w:tblGrid>
      <w:tr>
        <w:tc>
          <w:tcPr>
            <w:tcW w:type="dxa" w:w="4513"/>
          </w:tcPr>
          <w:p>
            <w:r/>
            <w:r>
              <w:rPr>
                <w:b/>
              </w:rPr>
              <w:t>Abbreviation</w:t>
            </w:r>
          </w:p>
        </w:tc>
        <w:tc>
          <w:tcPr>
            <w:tcW w:type="dxa" w:w="4513"/>
          </w:tcPr>
          <w:p>
            <w:r/>
            <w:r>
              <w:rPr>
                <w:b/>
              </w:rPr>
              <w:t>Definition</w:t>
            </w:r>
          </w:p>
        </w:tc>
      </w:tr>
      <w:tr>
        <w:tc>
          <w:tcPr>
            <w:tcW w:type="dxa" w:w="4513"/>
          </w:tcPr>
          <w:p>
            <w:r/>
            <w:r>
              <w:t>AC</w:t>
            </w:r>
          </w:p>
        </w:tc>
        <w:tc>
          <w:tcPr>
            <w:tcW w:type="dxa" w:w="4513"/>
          </w:tcPr>
          <w:p>
            <w:r/>
            <w:r>
              <w:t>Alternating Current</w:t>
            </w:r>
          </w:p>
        </w:tc>
      </w:tr>
      <w:tr>
        <w:tc>
          <w:tcPr>
            <w:tcW w:type="dxa" w:w="4513"/>
          </w:tcPr>
          <w:p>
            <w:r/>
            <w:r>
              <w:t>DC</w:t>
            </w:r>
          </w:p>
        </w:tc>
        <w:tc>
          <w:tcPr>
            <w:tcW w:type="dxa" w:w="4513"/>
          </w:tcPr>
          <w:p>
            <w:r/>
            <w:r>
              <w:t>Direct Current</w:t>
            </w:r>
          </w:p>
        </w:tc>
      </w:tr>
      <w:tr>
        <w:tc>
          <w:tcPr>
            <w:tcW w:type="dxa" w:w="4513"/>
          </w:tcPr>
          <w:p>
            <w:r/>
            <w:r>
              <w:t>BESS</w:t>
            </w:r>
          </w:p>
        </w:tc>
        <w:tc>
          <w:tcPr>
            <w:tcW w:type="dxa" w:w="4513"/>
          </w:tcPr>
          <w:p>
            <w:r/>
            <w:r>
              <w:t>Battery Energy Storage System</w:t>
            </w:r>
          </w:p>
        </w:tc>
      </w:tr>
      <w:tr>
        <w:tc>
          <w:tcPr>
            <w:tcW w:type="dxa" w:w="4513"/>
          </w:tcPr>
          <w:p>
            <w:r/>
            <w:r>
              <w:t>CE</w:t>
            </w:r>
          </w:p>
        </w:tc>
        <w:tc>
          <w:tcPr>
            <w:tcW w:type="dxa" w:w="4513"/>
          </w:tcPr>
          <w:p>
            <w:r/>
            <w:r>
              <w:t>Conformité Européenne</w:t>
            </w:r>
          </w:p>
        </w:tc>
      </w:tr>
      <w:tr>
        <w:tc>
          <w:tcPr>
            <w:tcW w:type="dxa" w:w="4513"/>
          </w:tcPr>
          <w:p>
            <w:r/>
            <w:r>
              <w:t>EMC</w:t>
            </w:r>
          </w:p>
        </w:tc>
        <w:tc>
          <w:tcPr>
            <w:tcW w:type="dxa" w:w="4513"/>
          </w:tcPr>
          <w:p>
            <w:r/>
            <w:r>
              <w:t>Electromagnetic Compatibility</w:t>
            </w:r>
          </w:p>
        </w:tc>
      </w:tr>
      <w:tr>
        <w:tc>
          <w:tcPr>
            <w:tcW w:type="dxa" w:w="4513"/>
          </w:tcPr>
          <w:p>
            <w:r/>
            <w:r>
              <w:t>PE</w:t>
            </w:r>
          </w:p>
        </w:tc>
        <w:tc>
          <w:tcPr>
            <w:tcW w:type="dxa" w:w="4513"/>
          </w:tcPr>
          <w:p>
            <w:r/>
            <w:r>
              <w:t>Protective Earth</w:t>
            </w:r>
          </w:p>
        </w:tc>
      </w:tr>
      <w:tr>
        <w:tc>
          <w:tcPr>
            <w:tcW w:type="dxa" w:w="4513"/>
          </w:tcPr>
          <w:p>
            <w:r/>
            <w:r>
              <w:t>PFC</w:t>
            </w:r>
          </w:p>
        </w:tc>
        <w:tc>
          <w:tcPr>
            <w:tcW w:type="dxa" w:w="4513"/>
          </w:tcPr>
          <w:p>
            <w:r/>
            <w:r>
              <w:t>Power Factor Correction</w:t>
            </w:r>
          </w:p>
        </w:tc>
      </w:tr>
      <w:tr>
        <w:tc>
          <w:tcPr>
            <w:tcW w:type="dxa" w:w="4513"/>
          </w:tcPr>
          <w:p>
            <w:r/>
            <w:r>
              <w:t>TRL</w:t>
            </w:r>
          </w:p>
        </w:tc>
        <w:tc>
          <w:tcPr>
            <w:tcW w:type="dxa" w:w="4513"/>
          </w:tcPr>
          <w:p>
            <w:r/>
            <w:r>
              <w:t>Technology Readiness Level</w:t>
            </w:r>
          </w:p>
        </w:tc>
      </w:tr>
      <w:tr>
        <w:tc>
          <w:tcPr>
            <w:tcW w:type="dxa" w:w="4513"/>
          </w:tcPr>
          <w:p>
            <w:r/>
            <w:r>
              <w:t>VDC</w:t>
            </w:r>
          </w:p>
        </w:tc>
        <w:tc>
          <w:tcPr>
            <w:tcW w:type="dxa" w:w="4513"/>
          </w:tcPr>
          <w:p>
            <w:r/>
            <w:r>
              <w:t>Volts Direct Current</w:t>
            </w:r>
          </w:p>
        </w:tc>
      </w:tr>
    </w:tbl>
    <w:p/>
    <w:p>
      <w:pPr>
        <w:pStyle w:val="Heading2"/>
      </w:pPr>
      <w:r>
        <w:t>Background</w:t>
      </w:r>
    </w:p>
    <w:p>
      <w:r>
        <w:t>The current e-PU10 platform charging options are limited in throughput and do not meet client demand for fast recharge cycles in mobile and semi-mobile deployments. A 400A single-Powerlock AC input charger with galvanic isolation removes earthing conflicts between the AC supply and the e-PU10 microgrid, while enabling significantly shorter recharge times. Liquid cooling is required to fit within the existing power module envelope and to keep total system heat dissipation below 7 kW (efficiency &gt; 97.5%).</w:t>
      </w:r>
    </w:p>
    <w:p>
      <w:pPr>
        <w:pStyle w:val="Heading2"/>
      </w:pPr>
      <w:r>
        <w:t>Objectives</w:t>
      </w:r>
    </w:p>
    <w:p>
      <w:r>
        <w:t>Main objectives are:</w:t>
      </w:r>
    </w:p>
    <w:p>
      <w:pPr>
        <w:pStyle w:val="ListParagraph"/>
      </w:pPr>
      <w:r/>
      <w:r>
        <w:t>•  Development of a 400A AC/DC charger with galvanic isolation, suitable for series production in the e-PU10</w:t>
      </w:r>
    </w:p>
    <w:p>
      <w:pPr>
        <w:pStyle w:val="ListParagraph"/>
      </w:pPr>
      <w:r/>
      <w:r>
        <w:t>•  Compliance with IEC 61439, NEN 1010 and all other applicable standards (EU)</w:t>
      </w:r>
    </w:p>
    <w:p>
      <w:pPr>
        <w:pStyle w:val="ListParagraph"/>
      </w:pPr>
      <w:r/>
      <w:r>
        <w:t>•  Liquid cooled, industrial EMC compliant (IEC 61000) design that fits within the e-PU10 power module envelope</w:t>
      </w:r>
    </w:p>
    <w:p>
      <w:pPr>
        <w:pStyle w:val="ListParagraph"/>
      </w:pPr>
      <w:r/>
      <w:r>
        <w:t>•  Continuous operation at 100% rated power under nominal conditions (25 °C)</w:t>
      </w:r>
    </w:p>
    <w:p>
      <w:pPr>
        <w:pStyle w:val="ListParagraph"/>
      </w:pPr>
      <w:r/>
      <w:r>
        <w:t>•  Material cost below 20 000 € per system</w:t>
      </w:r>
    </w:p>
    <w:p>
      <w:pPr>
        <w:pStyle w:val="ListParagraph"/>
      </w:pPr>
      <w:r/>
      <w:r>
        <w:t>•  Integration with e-PU10 controls via ModbusTCP (preferred), CAN, Profinet or EtherCAT</w:t>
      </w:r>
    </w:p>
    <w:p>
      <w:pPr>
        <w:pStyle w:val="ListParagraph"/>
      </w:pPr>
      <w:r/>
      <w:r>
        <w:t>•  Release of a series-ready product including documentation and sales material before November 2026</w:t>
      </w:r>
    </w:p>
    <w:p>
      <w:pPr>
        <w:pStyle w:val="Heading2"/>
      </w:pPr>
      <w:r>
        <w:t>Deliverables</w:t>
      </w:r>
    </w:p>
    <w:p>
      <w:pPr>
        <w:pStyle w:val="ListParagraph"/>
      </w:pPr>
      <w:r/>
      <w:r>
        <w:t>•  Validated 400A AC/DC charger prototype</w:t>
      </w:r>
    </w:p>
    <w:p>
      <w:pPr>
        <w:pStyle w:val="ListParagraph"/>
      </w:pPr>
      <w:r/>
      <w:r>
        <w:t>•  Mechanical and electrical detailed design package</w:t>
      </w:r>
    </w:p>
    <w:p>
      <w:pPr>
        <w:pStyle w:val="ListParagraph"/>
      </w:pPr>
      <w:r/>
      <w:r>
        <w:t>•  Build book and assembly instructions</w:t>
      </w:r>
    </w:p>
    <w:p>
      <w:pPr>
        <w:pStyle w:val="ListParagraph"/>
      </w:pPr>
      <w:r/>
      <w:r>
        <w:t>•  CE technical file (manual, design calculations, operating instructions)</w:t>
      </w:r>
    </w:p>
    <w:p>
      <w:pPr>
        <w:pStyle w:val="ListParagraph"/>
      </w:pPr>
      <w:r/>
      <w:r>
        <w:t>•  e-PU10 software integration package</w:t>
      </w:r>
    </w:p>
    <w:p>
      <w:pPr>
        <w:pStyle w:val="ListParagraph"/>
      </w:pPr>
      <w:r/>
      <w:r>
        <w:t>•  Test and validation report</w:t>
      </w:r>
    </w:p>
    <w:p>
      <w:pPr>
        <w:pStyle w:val="ListParagraph"/>
      </w:pPr>
      <w:r/>
      <w:r>
        <w:t>•  Sales one-pager and transfer to the sales matrix</w:t>
      </w:r>
    </w:p>
    <w:p>
      <w:pPr>
        <w:pStyle w:val="Heading1"/>
      </w:pPr>
      <w:r>
        <w:t>Project Scope</w:t>
      </w:r>
    </w:p>
    <w:p>
      <w:pPr>
        <w:pStyle w:val="Heading2"/>
      </w:pPr>
      <w:r>
        <w:t>General scope of supply</w:t>
      </w:r>
    </w:p>
    <w:p>
      <w:r>
        <w:t>The project covers the specification, conceptual and detailed design, prototype build, validation and series-production release of a 400A AC/DC charger option for the e-PU10 BESS. Existing e-PU10 mechanical, thermal and control interfaces are reused; the charger module is designed to integrate within the standard power module footprint without modification of surrounding subsystems.</w:t>
      </w:r>
    </w:p>
    <w:p>
      <w:r>
        <w:t>The system is unidirectional (AC → DC), liquid cooled, and provides galvanic isolation between AC and DC. The charger shall support a DC voltage range of at least 600 – 800 VDC and provide controllable output power down to 55 kW / 80 A as a minimum.</w:t>
      </w:r>
    </w:p>
    <w:p>
      <w:pPr>
        <w:pStyle w:val="Heading2"/>
      </w:pPr>
      <w:r>
        <w:t>Mandatory (Must-Have) Criteria</w:t>
      </w:r>
    </w:p>
    <w:p>
      <w:r>
        <w:t>The following requirements are mandatory and must be satisfied for the project to be considered successful:</w:t>
      </w:r>
    </w:p>
    <w:p>
      <w:pPr>
        <w:pStyle w:val="ListParagraph"/>
      </w:pPr>
      <w:r/>
      <w:r>
        <w:t>•  Galvanic isolation between AC and DC sides</w:t>
      </w:r>
    </w:p>
    <w:p>
      <w:pPr>
        <w:pStyle w:val="ListParagraph"/>
      </w:pPr>
      <w:r/>
      <w:r>
        <w:t>•  400 / 500 A Powerlock set (3P + PE) AC input</w:t>
      </w:r>
    </w:p>
    <w:p>
      <w:pPr>
        <w:pStyle w:val="ListParagraph"/>
      </w:pPr>
      <w:r/>
      <w:r>
        <w:t>•  Unidirectional AC → DC operation</w:t>
      </w:r>
    </w:p>
    <w:p>
      <w:pPr>
        <w:pStyle w:val="ListParagraph"/>
      </w:pPr>
      <w:r/>
      <w:r>
        <w:t>•  Liquid cooled</w:t>
      </w:r>
    </w:p>
    <w:p>
      <w:pPr>
        <w:pStyle w:val="ListParagraph"/>
      </w:pPr>
      <w:r/>
      <w:r>
        <w:t>•  DC voltage range of at least 600 – 800 VDC (wider acceptable)</w:t>
      </w:r>
    </w:p>
    <w:p>
      <w:pPr>
        <w:pStyle w:val="ListParagraph"/>
      </w:pPr>
      <w:r/>
      <w:r>
        <w:t>•  Material cost below 20 000 € per system</w:t>
      </w:r>
    </w:p>
    <w:p>
      <w:pPr>
        <w:pStyle w:val="ListParagraph"/>
      </w:pPr>
      <w:r/>
      <w:r>
        <w:t>•  Industrial control / monitoring protocol: ModbusTCP (preferred), CAN, Profinet or EtherCAT</w:t>
      </w:r>
    </w:p>
    <w:p>
      <w:pPr>
        <w:pStyle w:val="ListParagraph"/>
      </w:pPr>
      <w:r/>
      <w:r>
        <w:t>•  EU compliant (CE, IEC 61439, NEN 1010 and all other applicable standards)</w:t>
      </w:r>
    </w:p>
    <w:p>
      <w:pPr>
        <w:pStyle w:val="ListParagraph"/>
      </w:pPr>
      <w:r/>
      <w:r>
        <w:t>•  Suitable for mobile applications, vibration resistant</w:t>
      </w:r>
    </w:p>
    <w:p>
      <w:pPr>
        <w:pStyle w:val="ListParagraph"/>
      </w:pPr>
      <w:r/>
      <w:r>
        <w:t>•  Minimum settable power at least 55 kW / 80 A</w:t>
      </w:r>
    </w:p>
    <w:p>
      <w:pPr>
        <w:pStyle w:val="ListParagraph"/>
      </w:pPr>
      <w:r/>
      <w:r>
        <w:t>•  Acceptable inrush behaviour with C-type circuit breaker (C80) on AC source</w:t>
      </w:r>
    </w:p>
    <w:p>
      <w:pPr>
        <w:pStyle w:val="ListParagraph"/>
      </w:pPr>
      <w:r/>
      <w:r>
        <w:t>•  Compatible with the e-PU10 power module envelope and weight budget (&lt; 500 kg system weight)</w:t>
      </w:r>
    </w:p>
    <w:p>
      <w:pPr>
        <w:pStyle w:val="ListParagraph"/>
      </w:pPr>
      <w:r/>
      <w:r>
        <w:t>•  Total system heat production &lt; 7 kW (efficiency &gt; 97.5%)</w:t>
      </w:r>
    </w:p>
    <w:p>
      <w:pPr>
        <w:pStyle w:val="ListParagraph"/>
      </w:pPr>
      <w:r/>
      <w:r>
        <w:t>•  DC leakage current below e-PU10 battery precharge power capacity</w:t>
      </w:r>
    </w:p>
    <w:p>
      <w:pPr>
        <w:pStyle w:val="ListParagraph"/>
      </w:pPr>
      <w:r/>
      <w:r>
        <w:t>•  Industrial EMC (IEC 61000) or better</w:t>
      </w:r>
    </w:p>
    <w:p>
      <w:pPr>
        <w:pStyle w:val="Heading2"/>
      </w:pPr>
      <w:r>
        <w:t>Recommended (Nice-to-Have) Criteria</w:t>
      </w:r>
    </w:p>
    <w:p>
      <w:r>
        <w:t>The following requirements are not mandatory, but shall be pursued where technically and commercially feasible without compromising the must-have criteria:</w:t>
      </w:r>
    </w:p>
    <w:p>
      <w:pPr>
        <w:pStyle w:val="ListParagraph"/>
      </w:pPr>
      <w:r/>
      <w:r>
        <w:t>•  Modular setup in power steps of minimum 30 kW and maximum 100 kW</w:t>
      </w:r>
    </w:p>
    <w:p>
      <w:pPr>
        <w:pStyle w:val="ListParagraph"/>
      </w:pPr>
      <w:r/>
      <w:r>
        <w:t>•  Hot-swappable / serviceable without interrupting the BESS microgrid</w:t>
      </w:r>
    </w:p>
    <w:p>
      <w:pPr>
        <w:pStyle w:val="ListParagraph"/>
      </w:pPr>
      <w:r/>
      <w:r>
        <w:t>•  High intrinsic reliability (&gt; 98% uptime per system) through redundancy</w:t>
      </w:r>
    </w:p>
    <w:p>
      <w:pPr>
        <w:pStyle w:val="ListParagraph"/>
      </w:pPr>
      <w:r/>
      <w:r>
        <w:t>•  Active PFC power supply</w:t>
      </w:r>
    </w:p>
    <w:p>
      <w:pPr>
        <w:pStyle w:val="ListParagraph"/>
      </w:pPr>
      <w:r/>
      <w:r>
        <w:t>•  Lower minimum settable power: at least 20 kW / 32 A</w:t>
      </w:r>
    </w:p>
    <w:p>
      <w:pPr>
        <w:pStyle w:val="ListParagraph"/>
      </w:pPr>
      <w:r/>
      <w:r>
        <w:t>•  Acceptable inrush behaviour with B-type circuit breaker (B32) on AC source</w:t>
      </w:r>
    </w:p>
    <w:p>
      <w:pPr>
        <w:pStyle w:val="Heading2"/>
      </w:pPr>
      <w:r>
        <w:t>System Requirements</w:t>
      </w:r>
    </w:p>
    <w:tbl>
      <w:tblPr>
        <w:tblStyle w:val="TableGrid"/>
        <w:tblW w:type="auto" w:w="0"/>
        <w:tblLook w:firstColumn="1" w:firstRow="1" w:lastColumn="0" w:lastRow="0" w:noHBand="0" w:noVBand="1" w:val="04A0"/>
      </w:tblPr>
      <w:tblGrid>
        <w:gridCol w:w="4513"/>
        <w:gridCol w:w="4513"/>
      </w:tblGrid>
      <w:tr>
        <w:tc>
          <w:tcPr>
            <w:tcW w:type="dxa" w:w="4513"/>
          </w:tcPr>
          <w:p>
            <w:r/>
            <w:r>
              <w:rPr>
                <w:b/>
              </w:rPr>
              <w:t>Parameter</w:t>
            </w:r>
          </w:p>
        </w:tc>
        <w:tc>
          <w:tcPr>
            <w:tcW w:type="dxa" w:w="4513"/>
          </w:tcPr>
          <w:p>
            <w:r/>
            <w:r>
              <w:rPr>
                <w:b/>
              </w:rPr>
              <w:t>Target</w:t>
            </w:r>
          </w:p>
        </w:tc>
      </w:tr>
      <w:tr>
        <w:tc>
          <w:tcPr>
            <w:tcW w:type="dxa" w:w="4513"/>
          </w:tcPr>
          <w:p>
            <w:r/>
            <w:r>
              <w:t>AC input rating</w:t>
            </w:r>
          </w:p>
        </w:tc>
        <w:tc>
          <w:tcPr>
            <w:tcW w:type="dxa" w:w="4513"/>
          </w:tcPr>
          <w:p>
            <w:r/>
            <w:r>
              <w:t>400 A, 3P + PE, single Powerlock set</w:t>
            </w:r>
          </w:p>
        </w:tc>
      </w:tr>
      <w:tr>
        <w:tc>
          <w:tcPr>
            <w:tcW w:type="dxa" w:w="4513"/>
          </w:tcPr>
          <w:p>
            <w:r/>
            <w:r>
              <w:t>DC output voltage range</w:t>
            </w:r>
          </w:p>
        </w:tc>
        <w:tc>
          <w:tcPr>
            <w:tcW w:type="dxa" w:w="4513"/>
          </w:tcPr>
          <w:p>
            <w:r/>
            <w:r>
              <w:t>600 – 800 VDC (wider acceptable)</w:t>
            </w:r>
          </w:p>
        </w:tc>
      </w:tr>
      <w:tr>
        <w:tc>
          <w:tcPr>
            <w:tcW w:type="dxa" w:w="4513"/>
          </w:tcPr>
          <w:p>
            <w:r/>
            <w:r>
              <w:t>Topology</w:t>
            </w:r>
          </w:p>
        </w:tc>
        <w:tc>
          <w:tcPr>
            <w:tcW w:type="dxa" w:w="4513"/>
          </w:tcPr>
          <w:p>
            <w:r/>
            <w:r>
              <w:t>Unidirectional AC → DC, galvanically isolated</w:t>
            </w:r>
          </w:p>
        </w:tc>
      </w:tr>
      <w:tr>
        <w:tc>
          <w:tcPr>
            <w:tcW w:type="dxa" w:w="4513"/>
          </w:tcPr>
          <w:p>
            <w:r/>
            <w:r>
              <w:t>Minimum settable power</w:t>
            </w:r>
          </w:p>
        </w:tc>
        <w:tc>
          <w:tcPr>
            <w:tcW w:type="dxa" w:w="4513"/>
          </w:tcPr>
          <w:p>
            <w:r/>
            <w:r>
              <w:t>≤ 55 kW / 80 A (target ≤ 20 kW / 32 A)</w:t>
            </w:r>
          </w:p>
        </w:tc>
      </w:tr>
      <w:tr>
        <w:tc>
          <w:tcPr>
            <w:tcW w:type="dxa" w:w="4513"/>
          </w:tcPr>
          <w:p>
            <w:r/>
            <w:r>
              <w:t>Efficiency</w:t>
            </w:r>
          </w:p>
        </w:tc>
        <w:tc>
          <w:tcPr>
            <w:tcW w:type="dxa" w:w="4513"/>
          </w:tcPr>
          <w:p>
            <w:r/>
            <w:r>
              <w:t>&gt; 97.5%</w:t>
            </w:r>
          </w:p>
        </w:tc>
      </w:tr>
      <w:tr>
        <w:tc>
          <w:tcPr>
            <w:tcW w:type="dxa" w:w="4513"/>
          </w:tcPr>
          <w:p>
            <w:r/>
            <w:r>
              <w:t>Total system heat dissipation</w:t>
            </w:r>
          </w:p>
        </w:tc>
        <w:tc>
          <w:tcPr>
            <w:tcW w:type="dxa" w:w="4513"/>
          </w:tcPr>
          <w:p>
            <w:r/>
            <w:r>
              <w:t>&lt; 7 kW</w:t>
            </w:r>
          </w:p>
        </w:tc>
      </w:tr>
      <w:tr>
        <w:tc>
          <w:tcPr>
            <w:tcW w:type="dxa" w:w="4513"/>
          </w:tcPr>
          <w:p>
            <w:r/>
            <w:r>
              <w:t>Cooling</w:t>
            </w:r>
          </w:p>
        </w:tc>
        <w:tc>
          <w:tcPr>
            <w:tcW w:type="dxa" w:w="4513"/>
          </w:tcPr>
          <w:p>
            <w:r/>
            <w:r>
              <w:t>Liquid cooled</w:t>
            </w:r>
          </w:p>
        </w:tc>
      </w:tr>
      <w:tr>
        <w:tc>
          <w:tcPr>
            <w:tcW w:type="dxa" w:w="4513"/>
          </w:tcPr>
          <w:p>
            <w:r/>
            <w:r>
              <w:t>Communication</w:t>
            </w:r>
          </w:p>
        </w:tc>
        <w:tc>
          <w:tcPr>
            <w:tcW w:type="dxa" w:w="4513"/>
          </w:tcPr>
          <w:p>
            <w:r/>
            <w:r>
              <w:t>ModbusTCP (preferred), CAN, Profinet, EtherCAT</w:t>
            </w:r>
          </w:p>
        </w:tc>
      </w:tr>
      <w:tr>
        <w:tc>
          <w:tcPr>
            <w:tcW w:type="dxa" w:w="4513"/>
          </w:tcPr>
          <w:p>
            <w:r/>
            <w:r>
              <w:t>EMC</w:t>
            </w:r>
          </w:p>
        </w:tc>
        <w:tc>
          <w:tcPr>
            <w:tcW w:type="dxa" w:w="4513"/>
          </w:tcPr>
          <w:p>
            <w:r/>
            <w:r>
              <w:t>IEC 61000 industrial or better</w:t>
            </w:r>
          </w:p>
        </w:tc>
      </w:tr>
      <w:tr>
        <w:tc>
          <w:tcPr>
            <w:tcW w:type="dxa" w:w="4513"/>
          </w:tcPr>
          <w:p>
            <w:r/>
            <w:r>
              <w:t>Mechanical envelope</w:t>
            </w:r>
          </w:p>
        </w:tc>
        <w:tc>
          <w:tcPr>
            <w:tcW w:type="dxa" w:w="4513"/>
          </w:tcPr>
          <w:p>
            <w:r/>
            <w:r>
              <w:t>≤ e-PU10 power module size</w:t>
            </w:r>
          </w:p>
        </w:tc>
      </w:tr>
      <w:tr>
        <w:tc>
          <w:tcPr>
            <w:tcW w:type="dxa" w:w="4513"/>
          </w:tcPr>
          <w:p>
            <w:r/>
            <w:r>
              <w:t>System weight</w:t>
            </w:r>
          </w:p>
        </w:tc>
        <w:tc>
          <w:tcPr>
            <w:tcW w:type="dxa" w:w="4513"/>
          </w:tcPr>
          <w:p>
            <w:r/>
            <w:r>
              <w:t>&lt; 500 kg</w:t>
            </w:r>
          </w:p>
        </w:tc>
      </w:tr>
      <w:tr>
        <w:tc>
          <w:tcPr>
            <w:tcW w:type="dxa" w:w="4513"/>
          </w:tcPr>
          <w:p>
            <w:r/>
            <w:r>
              <w:t>Material cost target</w:t>
            </w:r>
          </w:p>
        </w:tc>
        <w:tc>
          <w:tcPr>
            <w:tcW w:type="dxa" w:w="4513"/>
          </w:tcPr>
          <w:p>
            <w:r/>
            <w:r>
              <w:t>&lt; 20 000 € per system</w:t>
            </w:r>
          </w:p>
        </w:tc>
      </w:tr>
      <w:tr>
        <w:tc>
          <w:tcPr>
            <w:tcW w:type="dxa" w:w="4513"/>
          </w:tcPr>
          <w:p>
            <w:r/>
            <w:r>
              <w:t>Compliance</w:t>
            </w:r>
          </w:p>
        </w:tc>
        <w:tc>
          <w:tcPr>
            <w:tcW w:type="dxa" w:w="4513"/>
          </w:tcPr>
          <w:p>
            <w:r/>
            <w:r>
              <w:t>CE, IEC 61439, NEN 1010</w:t>
            </w:r>
          </w:p>
        </w:tc>
      </w:tr>
      <w:tr>
        <w:tc>
          <w:tcPr>
            <w:tcW w:type="dxa" w:w="4513"/>
          </w:tcPr>
          <w:p>
            <w:r/>
            <w:r>
              <w:t>Reliability target</w:t>
            </w:r>
          </w:p>
        </w:tc>
        <w:tc>
          <w:tcPr>
            <w:tcW w:type="dxa" w:w="4513"/>
          </w:tcPr>
          <w:p>
            <w:r/>
            <w:r>
              <w:t>&gt; 98% uptime per system</w:t>
            </w:r>
          </w:p>
        </w:tc>
      </w:tr>
    </w:tbl>
    <w:p/>
    <w:p>
      <w:pPr>
        <w:pStyle w:val="Heading2"/>
      </w:pPr>
      <w:r>
        <w:t>Out of scope</w:t>
      </w:r>
    </w:p>
    <w:p>
      <w:pPr>
        <w:pStyle w:val="ListParagraph"/>
      </w:pPr>
      <w:r/>
      <w:r>
        <w:t>•  Modifications to the e-PU10 main battery or BMS</w:t>
      </w:r>
    </w:p>
    <w:p>
      <w:pPr>
        <w:pStyle w:val="ListParagraph"/>
      </w:pPr>
      <w:r/>
      <w:r>
        <w:t>•  Changes to the e-PU10 mechanical cabinet outside the charger module envelope</w:t>
      </w:r>
    </w:p>
    <w:p>
      <w:pPr>
        <w:pStyle w:val="ListParagraph"/>
      </w:pPr>
      <w:r/>
      <w:r>
        <w:t>•  Bidirectional (DC → AC) operation</w:t>
      </w:r>
    </w:p>
    <w:p>
      <w:pPr>
        <w:pStyle w:val="ListParagraph"/>
      </w:pPr>
      <w:r/>
      <w:r>
        <w:t>•  Field installation and commissioning at customer sites</w:t>
      </w:r>
    </w:p>
    <w:p>
      <w:pPr>
        <w:pStyle w:val="Heading1"/>
      </w:pPr>
      <w:r>
        <w:t>Activities</w:t>
      </w:r>
    </w:p>
    <w:p>
      <w:r>
        <w:t>Project execution follows the VDL TRL-based model. Given the limited duration and well-defined scope, the early TRL phases are merged and the field/pilot phase (TRL 7) is covered by integration testing on an existing e-PU10. Each TRL phase ends with a formal tollgate review.</w:t>
      </w:r>
    </w:p>
    <w:p>
      <w:pPr>
        <w:pStyle w:val="ListParagraph"/>
      </w:pPr>
      <w:r/>
      <w:r>
        <w:t>•  TRL 2 – Scope &amp; Market research: project scope, key results, technical specification, scope-change and risk analysis; component market research (suppliers, devices, pricing, documentation quality)</w:t>
      </w:r>
    </w:p>
    <w:p>
      <w:pPr>
        <w:pStyle w:val="ListParagraph"/>
      </w:pPr>
      <w:r/>
      <w:r>
        <w:t>•  TRL 3 – Conceptual design: component selection, single-line diagram, mechanical concept, cost-price and engineering impact estimate, material price estimation</w:t>
      </w:r>
    </w:p>
    <w:p>
      <w:pPr>
        <w:pStyle w:val="ListParagraph"/>
      </w:pPr>
      <w:r/>
      <w:r>
        <w:t>•  TRL 4/5 – Detailed design: mechanical and electrical detailed design, e-PU10 software integration, CE documentation drafting, build-book preparation</w:t>
      </w:r>
    </w:p>
    <w:p>
      <w:pPr>
        <w:pStyle w:val="ListParagraph"/>
      </w:pPr>
      <w:r/>
      <w:r>
        <w:t>•  TRL 6 – Prototype build &amp; test: prototype assembly, functional testing, performance validation against must-have criteria</w:t>
      </w:r>
    </w:p>
    <w:p>
      <w:pPr>
        <w:pStyle w:val="ListParagraph"/>
      </w:pPr>
      <w:r/>
      <w:r>
        <w:t>•  TRL 8 – Sales readiness: sales one-pager, technical data sheet</w:t>
      </w:r>
    </w:p>
    <w:p>
      <w:pPr>
        <w:pStyle w:val="ListParagraph"/>
      </w:pPr>
      <w:r/>
      <w:r>
        <w:t>•  TRL 9 – Product release: finalize documentation, transfer product to sales matrix</w:t>
      </w:r>
    </w:p>
    <w:p>
      <w:r>
        <w:t>Each TRL phase ends with a technical review and formal approval gate before continuation.</w:t>
      </w:r>
    </w:p>
    <w:p>
      <w:pPr>
        <w:pStyle w:val="Heading2"/>
      </w:pPr>
      <w:r>
        <w:t>Progress review</w:t>
      </w:r>
    </w:p>
    <w:p>
      <w:r>
        <w:t>Project progress is monitored through:</w:t>
      </w:r>
    </w:p>
    <w:p>
      <w:pPr>
        <w:pStyle w:val="ListParagraph"/>
      </w:pPr>
      <w:r/>
      <w:r>
        <w:t>•  Weekly project update meetings for technical alignment, planning and action tracking</w:t>
      </w:r>
    </w:p>
    <w:p>
      <w:pPr>
        <w:pStyle w:val="ListParagraph"/>
      </w:pPr>
      <w:r/>
      <w:r>
        <w:t>•  Bi-weekly engineering management progress review</w:t>
      </w:r>
    </w:p>
    <w:p>
      <w:pPr>
        <w:pStyle w:val="ListParagraph"/>
      </w:pPr>
      <w:r/>
      <w:r>
        <w:t>•  Formal TRL tollgate review at the end of each phase, documented using the standard TRL tollgate template</w:t>
      </w:r>
    </w:p>
    <w:p>
      <w:pPr>
        <w:pStyle w:val="ListParagraph"/>
      </w:pPr>
      <w:r/>
      <w:r>
        <w:t>•  Continuous updating of the planning and task tracking in GitHub</w:t>
      </w:r>
    </w:p>
    <w:p>
      <w:r>
        <w:t>Standard progress reporting includes technical progress, open actions and risks, budget and hours usage, and identification of roadblocks.</w:t>
      </w:r>
    </w:p>
    <w:p>
      <w:r>
        <w:t>All project information is stored in the VDL OneDrive during execution. Controlled documents (design files, 3D models, CE documentation) are migrated to PDM / G drive on release.</w:t>
      </w:r>
    </w:p>
    <w:p>
      <w:pPr>
        <w:pStyle w:val="Heading1"/>
      </w:pPr>
      <w:r>
        <w:t>Project Planning and Milestones</w:t>
      </w:r>
    </w:p>
    <w:p>
      <w:r>
        <w:t>The plan reflects a compact development effort of approximately 320 hours total (260 net engineering hours) executed across a small multi-disciplinary team. The milestone overview below aligns the TRL tollgates with the kickoff and target end date.</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rPr>
              <w:t>Milestone</w:t>
            </w:r>
          </w:p>
        </w:tc>
        <w:tc>
          <w:tcPr>
            <w:tcW w:type="dxa" w:w="2256"/>
          </w:tcPr>
          <w:p>
            <w:r/>
            <w:r>
              <w:rPr>
                <w:b/>
              </w:rPr>
              <w:t>TRL gate</w:t>
            </w:r>
          </w:p>
        </w:tc>
        <w:tc>
          <w:tcPr>
            <w:tcW w:type="dxa" w:w="2256"/>
          </w:tcPr>
          <w:p>
            <w:r/>
            <w:r>
              <w:rPr>
                <w:b/>
              </w:rPr>
              <w:t>Target date</w:t>
            </w:r>
          </w:p>
        </w:tc>
        <w:tc>
          <w:tcPr>
            <w:tcW w:type="dxa" w:w="2256"/>
          </w:tcPr>
          <w:p>
            <w:r/>
            <w:r>
              <w:rPr>
                <w:b/>
              </w:rPr>
              <w:t>Effort (h)</w:t>
            </w:r>
          </w:p>
        </w:tc>
      </w:tr>
      <w:tr>
        <w:tc>
          <w:tcPr>
            <w:tcW w:type="dxa" w:w="2256"/>
          </w:tcPr>
          <w:p>
            <w:r/>
            <w:r>
              <w:t>Kickoff</w:t>
            </w:r>
          </w:p>
        </w:tc>
        <w:tc>
          <w:tcPr>
            <w:tcW w:type="dxa" w:w="2256"/>
          </w:tcPr>
          <w:p>
            <w:r/>
            <w:r>
              <w:t>—</w:t>
            </w:r>
          </w:p>
        </w:tc>
        <w:tc>
          <w:tcPr>
            <w:tcW w:type="dxa" w:w="2256"/>
          </w:tcPr>
          <w:p>
            <w:r/>
            <w:r>
              <w:t>23-06-2026</w:t>
            </w:r>
          </w:p>
        </w:tc>
        <w:tc>
          <w:tcPr>
            <w:tcW w:type="dxa" w:w="2256"/>
          </w:tcPr>
          <w:p>
            <w:r/>
            <w:r>
              <w:t>—</w:t>
            </w:r>
          </w:p>
        </w:tc>
      </w:tr>
      <w:tr>
        <w:tc>
          <w:tcPr>
            <w:tcW w:type="dxa" w:w="2256"/>
          </w:tcPr>
          <w:p>
            <w:r/>
            <w:r>
              <w:t>Scope frozen &amp; market research complete</w:t>
            </w:r>
          </w:p>
        </w:tc>
        <w:tc>
          <w:tcPr>
            <w:tcW w:type="dxa" w:w="2256"/>
          </w:tcPr>
          <w:p>
            <w:r/>
            <w:r>
              <w:t>TRL 2</w:t>
            </w:r>
          </w:p>
        </w:tc>
        <w:tc>
          <w:tcPr>
            <w:tcW w:type="dxa" w:w="2256"/>
          </w:tcPr>
          <w:p>
            <w:r/>
            <w:r>
              <w:t>Week 3</w:t>
            </w:r>
          </w:p>
        </w:tc>
        <w:tc>
          <w:tcPr>
            <w:tcW w:type="dxa" w:w="2256"/>
          </w:tcPr>
          <w:p>
            <w:r/>
            <w:r>
              <w:t>32</w:t>
            </w:r>
          </w:p>
        </w:tc>
      </w:tr>
      <w:tr>
        <w:tc>
          <w:tcPr>
            <w:tcW w:type="dxa" w:w="2256"/>
          </w:tcPr>
          <w:p>
            <w:r/>
            <w:r>
              <w:t>Conceptual design approved</w:t>
            </w:r>
          </w:p>
        </w:tc>
        <w:tc>
          <w:tcPr>
            <w:tcW w:type="dxa" w:w="2256"/>
          </w:tcPr>
          <w:p>
            <w:r/>
            <w:r>
              <w:t>TRL 3</w:t>
            </w:r>
          </w:p>
        </w:tc>
        <w:tc>
          <w:tcPr>
            <w:tcW w:type="dxa" w:w="2256"/>
          </w:tcPr>
          <w:p>
            <w:r/>
            <w:r>
              <w:t>Week 5</w:t>
            </w:r>
          </w:p>
        </w:tc>
        <w:tc>
          <w:tcPr>
            <w:tcW w:type="dxa" w:w="2256"/>
          </w:tcPr>
          <w:p>
            <w:r/>
            <w:r>
              <w:t>20</w:t>
            </w:r>
          </w:p>
        </w:tc>
      </w:tr>
      <w:tr>
        <w:tc>
          <w:tcPr>
            <w:tcW w:type="dxa" w:w="2256"/>
          </w:tcPr>
          <w:p>
            <w:r/>
            <w:r>
              <w:t>Detailed design complete (mech/elec/sw/doc)</w:t>
            </w:r>
          </w:p>
        </w:tc>
        <w:tc>
          <w:tcPr>
            <w:tcW w:type="dxa" w:w="2256"/>
          </w:tcPr>
          <w:p>
            <w:r/>
            <w:r>
              <w:t>TRL 4/5</w:t>
            </w:r>
          </w:p>
        </w:tc>
        <w:tc>
          <w:tcPr>
            <w:tcW w:type="dxa" w:w="2256"/>
          </w:tcPr>
          <w:p>
            <w:r/>
            <w:r>
              <w:t>Week 12</w:t>
            </w:r>
          </w:p>
        </w:tc>
        <w:tc>
          <w:tcPr>
            <w:tcW w:type="dxa" w:w="2256"/>
          </w:tcPr>
          <w:p>
            <w:r/>
            <w:r>
              <w:t>180</w:t>
            </w:r>
          </w:p>
        </w:tc>
      </w:tr>
      <w:tr>
        <w:tc>
          <w:tcPr>
            <w:tcW w:type="dxa" w:w="2256"/>
          </w:tcPr>
          <w:p>
            <w:r/>
            <w:r>
              <w:t>Prototype built and tested</w:t>
            </w:r>
          </w:p>
        </w:tc>
        <w:tc>
          <w:tcPr>
            <w:tcW w:type="dxa" w:w="2256"/>
          </w:tcPr>
          <w:p>
            <w:r/>
            <w:r>
              <w:t>TRL 6</w:t>
            </w:r>
          </w:p>
        </w:tc>
        <w:tc>
          <w:tcPr>
            <w:tcW w:type="dxa" w:w="2256"/>
          </w:tcPr>
          <w:p>
            <w:r/>
            <w:r>
              <w:t>Week 16</w:t>
            </w:r>
          </w:p>
        </w:tc>
        <w:tc>
          <w:tcPr>
            <w:tcW w:type="dxa" w:w="2256"/>
          </w:tcPr>
          <w:p>
            <w:r/>
            <w:r>
              <w:t>56</w:t>
            </w:r>
          </w:p>
        </w:tc>
      </w:tr>
      <w:tr>
        <w:tc>
          <w:tcPr>
            <w:tcW w:type="dxa" w:w="2256"/>
          </w:tcPr>
          <w:p>
            <w:r/>
            <w:r>
              <w:t>Sales material ready</w:t>
            </w:r>
          </w:p>
        </w:tc>
        <w:tc>
          <w:tcPr>
            <w:tcW w:type="dxa" w:w="2256"/>
          </w:tcPr>
          <w:p>
            <w:r/>
            <w:r>
              <w:t>TRL 8</w:t>
            </w:r>
          </w:p>
        </w:tc>
        <w:tc>
          <w:tcPr>
            <w:tcW w:type="dxa" w:w="2256"/>
          </w:tcPr>
          <w:p>
            <w:r/>
            <w:r>
              <w:t>Week 18</w:t>
            </w:r>
          </w:p>
        </w:tc>
        <w:tc>
          <w:tcPr>
            <w:tcW w:type="dxa" w:w="2256"/>
          </w:tcPr>
          <w:p>
            <w:r/>
            <w:r>
              <w:t>8</w:t>
            </w:r>
          </w:p>
        </w:tc>
      </w:tr>
      <w:tr>
        <w:tc>
          <w:tcPr>
            <w:tcW w:type="dxa" w:w="2256"/>
          </w:tcPr>
          <w:p>
            <w:r/>
            <w:r>
              <w:t>Product released, transferred to sales matrix</w:t>
            </w:r>
          </w:p>
        </w:tc>
        <w:tc>
          <w:tcPr>
            <w:tcW w:type="dxa" w:w="2256"/>
          </w:tcPr>
          <w:p>
            <w:r/>
            <w:r>
              <w:t>TRL 9</w:t>
            </w:r>
          </w:p>
        </w:tc>
        <w:tc>
          <w:tcPr>
            <w:tcW w:type="dxa" w:w="2256"/>
          </w:tcPr>
          <w:p>
            <w:r/>
            <w:r>
              <w:t>02-11-2026</w:t>
            </w:r>
          </w:p>
        </w:tc>
        <w:tc>
          <w:tcPr>
            <w:tcW w:type="dxa" w:w="2256"/>
          </w:tcPr>
          <w:p>
            <w:r/>
            <w:r>
              <w:t>8</w:t>
            </w:r>
          </w:p>
        </w:tc>
      </w:tr>
    </w:tbl>
    <w:p/>
    <w:p>
      <w:pPr>
        <w:pStyle w:val="Heading1"/>
      </w:pPr>
      <w:r>
        <w:t>Project assessment and risk management</w:t>
      </w:r>
    </w:p>
    <w:p>
      <w:r>
        <w:t>Key technical and project risks include:</w:t>
      </w:r>
    </w:p>
    <w:p>
      <w:pPr>
        <w:pStyle w:val="ListParagraph"/>
      </w:pPr>
      <w:r/>
      <w:r>
        <w:t>•  Availability of suitable COTS 400A isolated AC/DC modules within the material cost target</w:t>
      </w:r>
    </w:p>
    <w:p>
      <w:pPr>
        <w:pStyle w:val="ListParagraph"/>
      </w:pPr>
      <w:r/>
      <w:r>
        <w:t>•  Thermal performance of the liquid-cooled design within the e-PU10 envelope (&lt; 7 kW heat, &gt; 97.5% efficiency)</w:t>
      </w:r>
    </w:p>
    <w:p>
      <w:pPr>
        <w:pStyle w:val="ListParagraph"/>
      </w:pPr>
      <w:r/>
      <w:r>
        <w:t>•  EMC compliance under industrial conditions (IEC 61000)</w:t>
      </w:r>
    </w:p>
    <w:p>
      <w:pPr>
        <w:pStyle w:val="ListParagraph"/>
      </w:pPr>
      <w:r/>
      <w:r>
        <w:t>•  Inrush behaviour compatibility with C-type (and ideally B-type) circuit breakers</w:t>
      </w:r>
    </w:p>
    <w:p>
      <w:pPr>
        <w:pStyle w:val="ListParagraph"/>
      </w:pPr>
      <w:r/>
      <w:r>
        <w:t>•  Integration and communication reliability with the e-PU10 controls</w:t>
      </w:r>
    </w:p>
    <w:p>
      <w:pPr>
        <w:pStyle w:val="ListParagraph"/>
      </w:pPr>
      <w:r/>
      <w:r>
        <w:t>•  Dependency on the e-PU10V2 development timeline</w:t>
      </w:r>
    </w:p>
    <w:p>
      <w:pPr>
        <w:pStyle w:val="ListParagraph"/>
      </w:pPr>
      <w:r/>
      <w:r>
        <w:t>•  Supplier lead times for power electronics and Powerlock connectors</w:t>
      </w:r>
    </w:p>
    <w:p>
      <w:pPr>
        <w:pStyle w:val="ListParagraph"/>
      </w:pPr>
      <w:r/>
      <w:r>
        <w:t>•  CE / IEC 61439 / NEN 1010 documentation completeness</w:t>
      </w:r>
    </w:p>
    <w:p>
      <w:r>
        <w:t>Risk mitigation is achieved through:</w:t>
      </w:r>
    </w:p>
    <w:p>
      <w:pPr>
        <w:pStyle w:val="ListParagraph"/>
      </w:pPr>
      <w:r/>
      <w:r>
        <w:t>•  Early supplier engagement and market research during TRL 2</w:t>
      </w:r>
    </w:p>
    <w:p>
      <w:pPr>
        <w:pStyle w:val="ListParagraph"/>
      </w:pPr>
      <w:r/>
      <w:r>
        <w:t>•  Conservative thermal and EMC margins in the conceptual design</w:t>
      </w:r>
    </w:p>
    <w:p>
      <w:pPr>
        <w:pStyle w:val="ListParagraph"/>
      </w:pPr>
      <w:r/>
      <w:r>
        <w:t>•  Incremental TRL-based validation with formal tollgates</w:t>
      </w:r>
    </w:p>
    <w:p>
      <w:pPr>
        <w:pStyle w:val="ListParagraph"/>
      </w:pPr>
      <w:r/>
      <w:r>
        <w:t>•  Continuous alignment with the e-PU10V2 development team</w:t>
      </w:r>
    </w:p>
    <w:p>
      <w:pPr>
        <w:pStyle w:val="ListParagraph"/>
      </w:pPr>
      <w:r/>
      <w:r>
        <w:t>•  Progressive compliance verification during detailed design</w:t>
      </w:r>
    </w:p>
    <w:p>
      <w:pPr>
        <w:pStyle w:val="Heading1"/>
      </w:pPr>
      <w:r>
        <w:t>Cost, Budgets &amp; Engineering team</w:t>
      </w:r>
    </w:p>
    <w:p>
      <w:r>
        <w:t>Project cost is driven by engineering hours, prototype hardware and validation effort. Material cost per series unit is a hard constraint:</w:t>
      </w:r>
    </w:p>
    <w:p>
      <w:pPr>
        <w:pStyle w:val="ListParagraph"/>
      </w:pPr>
      <w:r/>
      <w:r>
        <w:t>•  Material cost per system &lt; 20 000 €</w:t>
      </w:r>
    </w:p>
    <w:p>
      <w:pPr>
        <w:pStyle w:val="ListParagraph"/>
      </w:pPr>
      <w:r/>
      <w:r>
        <w:t>•  Total engineering effort: 260 net / 320 gross hours</w:t>
      </w:r>
    </w:p>
    <w:p>
      <w:pPr>
        <w:pStyle w:val="Heading2"/>
      </w:pPr>
      <w:r>
        <w:t>Engineering Team</w:t>
      </w:r>
    </w:p>
    <w:p>
      <w:r>
        <w:t>Required disciplines:</w:t>
      </w:r>
    </w:p>
    <w:p>
      <w:pPr>
        <w:pStyle w:val="ListParagraph"/>
      </w:pPr>
      <w:r/>
      <w:r>
        <w:t>•  Project Lead (Lennard)</w:t>
      </w:r>
    </w:p>
    <w:p>
      <w:pPr>
        <w:pStyle w:val="ListParagraph"/>
      </w:pPr>
      <w:r/>
      <w:r>
        <w:t>•  Electrical engineer (power electronics)</w:t>
      </w:r>
    </w:p>
    <w:p>
      <w:pPr>
        <w:pStyle w:val="ListParagraph"/>
      </w:pPr>
      <w:r/>
      <w:r>
        <w:t>•  Mechanical engineer (cooling and integration)</w:t>
      </w:r>
    </w:p>
    <w:p>
      <w:pPr>
        <w:pStyle w:val="ListParagraph"/>
      </w:pPr>
      <w:r/>
      <w:r>
        <w:t>•  Software engineer (e-PU10 integration)</w:t>
      </w:r>
    </w:p>
    <w:p>
      <w:pPr>
        <w:pStyle w:val="ListParagraph"/>
      </w:pPr>
      <w:r/>
      <w:r>
        <w:t>•  Safety / compliance engineer (CE, IEC 61439, NEN 1010)</w:t>
      </w:r>
    </w:p>
    <w:p>
      <w:pPr>
        <w:pStyle w:val="ListParagraph"/>
      </w:pPr>
      <w:r/>
      <w:r>
        <w:t>•  Test and validation engineer</w:t>
      </w:r>
    </w:p>
    <w:p>
      <w:pPr>
        <w:pStyle w:val="Heading2"/>
      </w:pPr>
      <w:r>
        <w:t>Requirements / Prerequisites</w:t>
      </w:r>
    </w:p>
    <w:p>
      <w:r>
        <w:t>Before execution the following prerequisites must be in place:</w:t>
      </w:r>
    </w:p>
    <w:p>
      <w:pPr>
        <w:pStyle w:val="ListParagraph"/>
      </w:pPr>
      <w:r/>
      <w:r>
        <w:t>•  Approved project number and budget allocation</w:t>
      </w:r>
    </w:p>
    <w:p>
      <w:pPr>
        <w:pStyle w:val="ListParagraph"/>
      </w:pPr>
      <w:r/>
      <w:r>
        <w:t>•  Availability of an e-PU10 (V1 or V2) test platform for integration</w:t>
      </w:r>
    </w:p>
    <w:p>
      <w:pPr>
        <w:pStyle w:val="ListParagraph"/>
      </w:pPr>
      <w:r/>
      <w:r>
        <w:t>•  Established GitHub project and planning</w:t>
      </w:r>
    </w:p>
    <w:p>
      <w:pPr>
        <w:pStyle w:val="ListParagraph"/>
      </w:pPr>
      <w:r/>
      <w:r>
        <w:t>•  Defined PLM and document control structure</w:t>
      </w:r>
    </w:p>
    <w:p>
      <w:pPr>
        <w:pStyle w:val="ListParagraph"/>
      </w:pPr>
      <w:r/>
      <w:r>
        <w:t>•  Assigned engineering team and role allocation</w:t>
      </w:r>
    </w:p>
    <w:p>
      <w:pPr>
        <w:pStyle w:val="Heading1"/>
      </w:pPr>
      <w:r>
        <w:t>Scope of work company departments and communication</w:t>
      </w:r>
    </w:p>
    <w:p>
      <w:pPr>
        <w:pStyle w:val="Heading2"/>
      </w:pPr>
      <w:r>
        <w:t>Scope of engineering</w:t>
      </w:r>
    </w:p>
    <w:p>
      <w:r>
        <w:t>Responsible for system design, integration, testing and technical documentation:</w:t>
      </w:r>
    </w:p>
    <w:p>
      <w:pPr>
        <w:pStyle w:val="ListParagraph"/>
      </w:pPr>
      <w:r/>
      <w:r>
        <w:t>•  Electrical and mechanical design of the charger module</w:t>
      </w:r>
    </w:p>
    <w:p>
      <w:pPr>
        <w:pStyle w:val="ListParagraph"/>
      </w:pPr>
      <w:r/>
      <w:r>
        <w:t>•  e-PU10 software integration and communication</w:t>
      </w:r>
    </w:p>
    <w:p>
      <w:pPr>
        <w:pStyle w:val="ListParagraph"/>
      </w:pPr>
      <w:r/>
      <w:r>
        <w:t>•  Test specification and execution</w:t>
      </w:r>
    </w:p>
    <w:p>
      <w:pPr>
        <w:pStyle w:val="ListParagraph"/>
      </w:pPr>
      <w:r/>
      <w:r>
        <w:t>•  Supplier technical coordination</w:t>
      </w:r>
    </w:p>
    <w:p>
      <w:pPr>
        <w:pStyle w:val="ListParagraph"/>
      </w:pPr>
      <w:r/>
      <w:r>
        <w:t>•  Documentation and technical reporting</w:t>
      </w:r>
    </w:p>
    <w:p>
      <w:pPr>
        <w:pStyle w:val="Heading2"/>
      </w:pPr>
      <w:r>
        <w:t>Scope of Quality</w:t>
      </w:r>
    </w:p>
    <w:p>
      <w:r>
        <w:t>Responsible for compliance and certification:</w:t>
      </w:r>
    </w:p>
    <w:p>
      <w:pPr>
        <w:pStyle w:val="ListParagraph"/>
      </w:pPr>
      <w:r/>
      <w:r>
        <w:t>•  CE technical file preparation and verification</w:t>
      </w:r>
    </w:p>
    <w:p>
      <w:pPr>
        <w:pStyle w:val="ListParagraph"/>
      </w:pPr>
      <w:r/>
      <w:r>
        <w:t>•  IEC 61439 / NEN 1010 compliance verification</w:t>
      </w:r>
    </w:p>
    <w:p>
      <w:pPr>
        <w:pStyle w:val="ListParagraph"/>
      </w:pPr>
      <w:r/>
      <w:r>
        <w:t>•  Safety assessment and documentation</w:t>
      </w:r>
    </w:p>
    <w:p>
      <w:pPr>
        <w:pStyle w:val="Heading2"/>
      </w:pPr>
      <w:r>
        <w:t>Scope of operations and procurement</w:t>
      </w:r>
    </w:p>
    <w:p>
      <w:r>
        <w:t>Responsible for sourcing, assembly and production readiness:</w:t>
      </w:r>
    </w:p>
    <w:p>
      <w:pPr>
        <w:pStyle w:val="ListParagraph"/>
      </w:pPr>
      <w:r/>
      <w:r>
        <w:t>•  Procurement of power electronics, Powerlock set and cooling components</w:t>
      </w:r>
    </w:p>
    <w:p>
      <w:pPr>
        <w:pStyle w:val="ListParagraph"/>
      </w:pPr>
      <w:r/>
      <w:r>
        <w:t>•  Supplier coordination and lead-time tracking</w:t>
      </w:r>
    </w:p>
    <w:p>
      <w:pPr>
        <w:pStyle w:val="ListParagraph"/>
      </w:pPr>
      <w:r/>
      <w:r>
        <w:t>•  Prototype assembly support and workshop preparation</w:t>
      </w:r>
    </w:p>
    <w:p>
      <w:pPr>
        <w:pStyle w:val="ListParagraph"/>
      </w:pPr>
      <w:r/>
      <w:r>
        <w:t>•  Preparation for series production transfer</w:t>
      </w:r>
    </w:p>
    <w:p>
      <w:pPr>
        <w:pStyle w:val="Heading2"/>
      </w:pPr>
      <w:r>
        <w:t>Communication</w:t>
      </w:r>
    </w:p>
    <w:p>
      <w:r>
        <w:t>Communication is structured to support fast execution with minimal overhead:</w:t>
      </w:r>
    </w:p>
    <w:p>
      <w:pPr>
        <w:pStyle w:val="ListParagraph"/>
      </w:pPr>
      <w:r/>
      <w:r>
        <w:t>•  Daily informal alignment within the engineering team</w:t>
      </w:r>
    </w:p>
    <w:p>
      <w:pPr>
        <w:pStyle w:val="ListParagraph"/>
      </w:pPr>
      <w:r/>
      <w:r>
        <w:t>•  Weekly project update meeting with all involved engineers</w:t>
      </w:r>
    </w:p>
    <w:p>
      <w:pPr>
        <w:pStyle w:val="ListParagraph"/>
      </w:pPr>
      <w:r/>
      <w:r>
        <w:t>•  Bi-weekly engineering management progress review</w:t>
      </w:r>
    </w:p>
    <w:p>
      <w:pPr>
        <w:pStyle w:val="ListParagraph"/>
      </w:pPr>
      <w:r/>
      <w:r>
        <w:t>•  Formal tollgate review after every TRL milestone</w:t>
      </w:r>
    </w:p>
    <w:p>
      <w:pPr>
        <w:pStyle w:val="ListParagraph"/>
      </w:pPr>
      <w:r/>
      <w:r>
        <w:t>•  Action tracking in GitHub planning</w:t>
      </w:r>
    </w:p>
    <w:p>
      <w:pPr>
        <w:pStyle w:val="Heading1"/>
      </w:pPr>
      <w:r>
        <w:t>Acceptance Criteria</w:t>
      </w:r>
    </w:p>
    <w:p>
      <w:r>
        <w:t>The product is accepted for release when the following criteria are met:</w:t>
      </w:r>
    </w:p>
    <w:p>
      <w:pPr>
        <w:pStyle w:val="ListParagraph"/>
      </w:pPr>
      <w:r/>
      <w:r>
        <w:t>•  Solution is CE certified and compliant with IEC 61439 and NEN 1010</w:t>
      </w:r>
    </w:p>
    <w:p>
      <w:pPr>
        <w:pStyle w:val="ListParagraph"/>
      </w:pPr>
      <w:r/>
      <w:r>
        <w:t>•  Solution is fail-safe and reliable, with redundancy where applicable</w:t>
      </w:r>
    </w:p>
    <w:p>
      <w:pPr>
        <w:pStyle w:val="ListParagraph"/>
      </w:pPr>
      <w:r/>
      <w:r>
        <w:t>•  100% of rated power can be used continuously under nominal conditions (25 °C)</w:t>
      </w:r>
    </w:p>
    <w:p>
      <w:pPr>
        <w:pStyle w:val="ListParagraph"/>
      </w:pPr>
      <w:r/>
      <w:r>
        <w:t>•  Easy to maintain (hot-swappable as a nice-to-have)</w:t>
      </w:r>
    </w:p>
    <w:p>
      <w:pPr>
        <w:pStyle w:val="ListParagraph"/>
      </w:pPr>
      <w:r/>
      <w:r>
        <w:t>•  All stated mandatory technical specifications are validated by test</w:t>
      </w:r>
    </w:p>
    <w:p>
      <w:pPr>
        <w:pStyle w:val="ListParagraph"/>
      </w:pPr>
      <w:r/>
      <w:r>
        <w:t>•  Complete documentation set (build book, CE file, manuals, sales one-pager) is released</w:t>
      </w:r>
    </w:p>
    <w:p>
      <w:pPr>
        <w:pStyle w:val="Heading1"/>
      </w:pPr>
      <w:r>
        <w:t>Dependencies</w:t>
      </w:r>
    </w:p>
    <w:p>
      <w:pPr>
        <w:pStyle w:val="ListParagraph"/>
      </w:pPr>
      <w:r/>
      <w:r>
        <w:t>•  e-PU10V2 development (mechanical envelope, control interface, thermal interface)</w:t>
      </w:r>
    </w:p>
    <w:p>
      <w:pPr>
        <w:pStyle w:val="ListParagraph"/>
      </w:pPr>
      <w:r/>
      <w:r>
        <w:t>•  Availability of an e-PU10 test platform during TRL 6</w:t>
      </w:r>
    </w:p>
    <w:p>
      <w:pPr>
        <w:pStyle w:val="ListParagraph"/>
      </w:pPr>
      <w:r/>
      <w:r>
        <w:t>•  Supplier lead times for isolated AC/DC modules and Powerlock connectors</w:t>
      </w:r>
    </w:p>
    <w:p>
      <w:pPr>
        <w:pStyle w:val="Heading1"/>
      </w:pPr>
      <w:r>
        <w:t>Assumptions</w:t>
      </w:r>
    </w:p>
    <w:p>
      <w:pPr>
        <w:pStyle w:val="ListParagraph"/>
      </w:pPr>
      <w:r/>
      <w:r>
        <w:t>•  The e-PU10V2 mechanical and control interfaces are frozen before the start of TRL 4/5</w:t>
      </w:r>
    </w:p>
    <w:p>
      <w:pPr>
        <w:pStyle w:val="ListParagraph"/>
      </w:pPr>
      <w:r/>
      <w:r>
        <w:t>•  Suitable 400A isolated AC/DC modules are commercially available within the material-cost target</w:t>
      </w:r>
    </w:p>
    <w:p>
      <w:pPr>
        <w:pStyle w:val="ListParagraph"/>
      </w:pPr>
      <w:r/>
      <w:r>
        <w:t>•  Existing e-PU10 liquid cooling capacity is sufficient for the additional charger heat load</w:t>
      </w:r>
    </w:p>
    <w:p>
      <w:pPr>
        <w:pStyle w:val="ListParagraph"/>
      </w:pPr>
      <w:r/>
      <w:r>
        <w:t>•  Engineering capacity across the disciplines listed above is available according to plan</w:t>
      </w:r>
    </w:p>
    <w:p>
      <w:pPr>
        <w:pStyle w:val="Heading1"/>
      </w:pPr>
      <w:r>
        <w:t>Tollgate review and accreditation</w:t>
      </w:r>
    </w:p>
    <w:p>
      <w:r>
        <w:t>After completion of each TRL phase a formal tollgate review is performed to assess technical maturity, compliance with requirements and readiness to proceed to the next stage. The review is based on objective evidence from test results, design documentation and subsystem validation, and confirms that all mandatory deliverables for the respective phase have been completed.</w:t>
      </w:r>
    </w:p>
    <w:p>
      <w:r>
        <w:t>Key assessment criteria:</w:t>
      </w:r>
    </w:p>
    <w:p>
      <w:pPr>
        <w:pStyle w:val="ListParagraph"/>
      </w:pPr>
      <w:r/>
      <w:r>
        <w:t>•  Completion of TRL-specific deliverables as defined in this project plan</w:t>
      </w:r>
    </w:p>
    <w:p>
      <w:pPr>
        <w:pStyle w:val="ListParagraph"/>
      </w:pPr>
      <w:r/>
      <w:r>
        <w:t>•  Successful implementation and verification of key system functions relevant for the TRL phase</w:t>
      </w:r>
    </w:p>
    <w:p>
      <w:pPr>
        <w:pStyle w:val="ListParagraph"/>
      </w:pPr>
      <w:r/>
      <w:r>
        <w:t>•  Resolution of critical technical issues identified during the previous phase</w:t>
      </w:r>
    </w:p>
    <w:p>
      <w:pPr>
        <w:pStyle w:val="ListParagraph"/>
      </w:pPr>
      <w:r/>
      <w:r>
        <w:t>•  Completion of required test activities and documentation updates</w:t>
      </w:r>
    </w:p>
    <w:p>
      <w:r>
        <w:t>Each tollgate concludes with one of the following outcomes:</w:t>
      </w:r>
    </w:p>
    <w:p>
      <w:pPr>
        <w:pStyle w:val="ListParagraph"/>
      </w:pPr>
      <w:r/>
      <w:r>
        <w:t>•  Approved – TRL phase completed and project may proceed to the next TRL</w:t>
      </w:r>
    </w:p>
    <w:p>
      <w:pPr>
        <w:pStyle w:val="ListParagraph"/>
      </w:pPr>
      <w:r/>
      <w:r>
        <w:t>•  Approved with actions – TRL completed with non-blocking open items, tracked and documented</w:t>
      </w:r>
    </w:p>
    <w:p>
      <w:pPr>
        <w:pStyle w:val="ListParagraph"/>
      </w:pPr>
      <w:r/>
      <w:r>
        <w:t>•  Not approved – TRL criteria are not met, additional work required before continuation</w:t>
      </w:r>
    </w:p>
    <w:sectPr w:rsidR="5794AE4F" w:rsidSect="009E778B">
      <w:headerReference w:type="default" r:id="rId17"/>
      <w:footerReference w:type="default" r:id="rId18"/>
      <w:headerReference w:type="first" r:id="rId19"/>
      <w:footerReference w:type="first" r:id="rId20"/>
      <w:pgSz w:w="11906" w:h="16838"/>
      <w:pgMar w:top="1440" w:right="1440" w:bottom="1440"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Visscher, Robert" w:date="2026-06-03T15:56:00Z" w:initials="RV">
    <w:p w14:paraId="10A7D296" w14:textId="77777777" w:rsidR="009579F9" w:rsidRDefault="009579F9" w:rsidP="009579F9">
      <w:pPr>
        <w:pStyle w:val="CommentText1"/>
      </w:pPr>
      <w:r>
        <w:rPr>
          <w:rStyle w:val="CommentReference1"/>
        </w:rPr>
        <w:annotationRef/>
      </w:r>
      <w:r>
        <w:t>Deliverables?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A7D2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35CD6B" w16cex:dateUtc="2026-06-03T13:56:00Z">
    <w16cex:extLst>
      <w16:ext w16:uri="{CE6994B0-6A32-4C9F-8C6B-6E91EDA988CE}">
        <cr:reactions xmlns:cr="http://schemas.microsoft.com/office/comments/2020/reactions">
          <cr:reaction reactionType="1">
            <cr:reactionInfo dateUtc="2026-06-04T07:17:14Z">
              <cr:user userId="S::l.rietkerk@vdlenergysystems.com::6c6a7446-4139-42d8-9d5d-049e4429a79b" userProvider="AD" userName="Rietkerk, Lennard"/>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A7D296" w16cid:durableId="1535CD6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98530" w14:textId="77777777" w:rsidR="00264BF7" w:rsidRDefault="00264BF7">
      <w:pPr>
        <w:spacing w:after="0" w:line="240" w:lineRule="auto"/>
      </w:pPr>
      <w:r>
        <w:separator/>
      </w:r>
    </w:p>
  </w:endnote>
  <w:endnote w:type="continuationSeparator" w:id="0">
    <w:p w14:paraId="6B7F9F22" w14:textId="77777777" w:rsidR="00264BF7" w:rsidRDefault="00264B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Arial Black">
    <w:panose1 w:val="020B0A04020102020204"/>
    <w:charset w:val="00"/>
    <w:family w:val="swiss"/>
    <w:pitch w:val="variable"/>
    <w:sig w:usb0="A00002AF" w:usb1="400078FB" w:usb2="00000000" w:usb3="00000000" w:csb0="0000009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8600C" w14:textId="37E3B419" w:rsidR="3390CE8B" w:rsidRDefault="3390CE8B" w:rsidP="3390CE8B">
    <w:pPr>
      <w:pStyle w:val="Footer"/>
      <w:jc w:val="right"/>
    </w:pPr>
  </w:p>
  <w:tbl>
    <w:tblPr>
      <w:tblW w:w="10066" w:type="dxa"/>
      <w:tblCellMar>
        <w:left w:w="85" w:type="dxa"/>
        <w:bottom w:w="28" w:type="dxa"/>
        <w:right w:w="85" w:type="dxa"/>
      </w:tblCellMar>
      <w:tblLook w:val="00A0" w:firstRow="1" w:lastRow="0" w:firstColumn="1" w:lastColumn="0" w:noHBand="0" w:noVBand="0"/>
    </w:tblPr>
    <w:tblGrid>
      <w:gridCol w:w="4075"/>
      <w:gridCol w:w="525"/>
      <w:gridCol w:w="3990"/>
      <w:gridCol w:w="567"/>
      <w:gridCol w:w="909"/>
    </w:tblGrid>
    <w:tr w:rsidR="002A2E3E" w14:paraId="1657659E" w14:textId="77777777">
      <w:tc>
        <w:tcPr>
          <w:tcW w:w="4075" w:type="dxa"/>
          <w:tcBorders>
            <w:top w:val="single" w:sz="6" w:space="0" w:color="auto"/>
            <w:right w:val="single" w:sz="4" w:space="0" w:color="auto"/>
          </w:tcBorders>
        </w:tcPr>
        <w:p w14:paraId="663DBD86" w14:textId="77777777" w:rsidR="002A2E3E" w:rsidRDefault="002A2E3E" w:rsidP="002A2E3E">
          <w:pPr>
            <w:pStyle w:val="LeftNormal"/>
            <w:rPr>
              <w:sz w:val="16"/>
              <w:szCs w:val="16"/>
            </w:rPr>
          </w:pPr>
          <w:r>
            <w:rPr>
              <w:sz w:val="16"/>
              <w:szCs w:val="16"/>
            </w:rPr>
            <w:t>Title</w:t>
          </w:r>
        </w:p>
      </w:tc>
      <w:tc>
        <w:tcPr>
          <w:tcW w:w="525" w:type="dxa"/>
          <w:tcBorders>
            <w:top w:val="single" w:sz="6" w:space="0" w:color="auto"/>
            <w:left w:val="single" w:sz="4" w:space="0" w:color="auto"/>
          </w:tcBorders>
        </w:tcPr>
        <w:p w14:paraId="699CA7A0" w14:textId="77777777" w:rsidR="002A2E3E" w:rsidRDefault="002A2E3E" w:rsidP="002A2E3E">
          <w:pPr>
            <w:pStyle w:val="LeftNormal"/>
            <w:jc w:val="center"/>
            <w:rPr>
              <w:sz w:val="16"/>
              <w:szCs w:val="16"/>
            </w:rPr>
          </w:pPr>
          <w:r>
            <w:rPr>
              <w:sz w:val="16"/>
              <w:szCs w:val="16"/>
            </w:rPr>
            <w:t>Size</w:t>
          </w:r>
        </w:p>
      </w:tc>
      <w:tc>
        <w:tcPr>
          <w:tcW w:w="3990" w:type="dxa"/>
          <w:tcBorders>
            <w:top w:val="single" w:sz="6" w:space="0" w:color="auto"/>
          </w:tcBorders>
        </w:tcPr>
        <w:p w14:paraId="39D79F2F" w14:textId="77777777" w:rsidR="002A2E3E" w:rsidRDefault="002A2E3E" w:rsidP="002A2E3E">
          <w:pPr>
            <w:pStyle w:val="LeftNormal"/>
            <w:rPr>
              <w:sz w:val="16"/>
              <w:szCs w:val="16"/>
            </w:rPr>
          </w:pPr>
          <w:r>
            <w:rPr>
              <w:sz w:val="16"/>
              <w:szCs w:val="16"/>
            </w:rPr>
            <w:t>Document no.</w:t>
          </w:r>
        </w:p>
      </w:tc>
      <w:tc>
        <w:tcPr>
          <w:tcW w:w="567" w:type="dxa"/>
          <w:tcBorders>
            <w:top w:val="single" w:sz="6" w:space="0" w:color="auto"/>
          </w:tcBorders>
        </w:tcPr>
        <w:p w14:paraId="2002A3CB" w14:textId="77777777" w:rsidR="002A2E3E" w:rsidRDefault="002A2E3E" w:rsidP="002A2E3E">
          <w:pPr>
            <w:pStyle w:val="LeftNormal"/>
            <w:rPr>
              <w:sz w:val="16"/>
              <w:szCs w:val="16"/>
            </w:rPr>
          </w:pPr>
          <w:r>
            <w:rPr>
              <w:sz w:val="16"/>
              <w:szCs w:val="16"/>
            </w:rPr>
            <w:t>Rev.</w:t>
          </w:r>
        </w:p>
      </w:tc>
      <w:tc>
        <w:tcPr>
          <w:tcW w:w="909" w:type="dxa"/>
          <w:tcBorders>
            <w:top w:val="single" w:sz="6" w:space="0" w:color="auto"/>
          </w:tcBorders>
        </w:tcPr>
        <w:p w14:paraId="205274CB" w14:textId="77777777" w:rsidR="002A2E3E" w:rsidRDefault="002A2E3E" w:rsidP="002A2E3E">
          <w:pPr>
            <w:pStyle w:val="LeftNormal"/>
            <w:rPr>
              <w:sz w:val="16"/>
              <w:szCs w:val="16"/>
            </w:rPr>
          </w:pPr>
          <w:r>
            <w:rPr>
              <w:sz w:val="16"/>
              <w:szCs w:val="16"/>
            </w:rPr>
            <w:t>Page</w:t>
          </w:r>
        </w:p>
      </w:tc>
    </w:tr>
    <w:tr w:rsidR="002A2E3E" w14:paraId="47CE2F73" w14:textId="77777777">
      <w:tc>
        <w:tcPr>
          <w:tcW w:w="4075" w:type="dxa"/>
          <w:tcBorders>
            <w:right w:val="single" w:sz="4" w:space="0" w:color="auto"/>
          </w:tcBorders>
          <w:vAlign w:val="center"/>
        </w:tcPr>
        <w:p w14:paraId="31E21805" w14:textId="3ED1E01C" w:rsidR="002A2E3E" w:rsidRPr="002A2E3E" w:rsidRDefault="002A2E3E" w:rsidP="002A2E3E">
          <w:pPr>
            <w:pStyle w:val="LeftNormal"/>
            <w:rPr>
              <w:b/>
              <w:bCs/>
              <w:szCs w:val="22"/>
              <w:lang w:val="nl-NL"/>
            </w:rPr>
          </w:pPr>
          <w:r w:rsidRPr="002A2E3E">
            <w:rPr>
              <w:b/>
              <w:bCs/>
              <w:szCs w:val="22"/>
              <w:lang w:val="nl-NL"/>
            </w:rPr>
            <w:t>e-PU Cabinet V2</w:t>
          </w:r>
        </w:p>
      </w:tc>
      <w:tc>
        <w:tcPr>
          <w:tcW w:w="525" w:type="dxa"/>
          <w:tcBorders>
            <w:left w:val="single" w:sz="4" w:space="0" w:color="auto"/>
          </w:tcBorders>
          <w:vAlign w:val="center"/>
        </w:tcPr>
        <w:p w14:paraId="49C04571" w14:textId="77777777" w:rsidR="002A2E3E" w:rsidRDefault="002A2E3E" w:rsidP="002A2E3E">
          <w:pPr>
            <w:pStyle w:val="LeftNormal"/>
            <w:rPr>
              <w:szCs w:val="22"/>
            </w:rPr>
          </w:pPr>
          <w:r>
            <w:rPr>
              <w:szCs w:val="22"/>
            </w:rPr>
            <w:t>A4</w:t>
          </w:r>
        </w:p>
      </w:tc>
      <w:tc>
        <w:tcPr>
          <w:tcW w:w="3990" w:type="dxa"/>
          <w:vAlign w:val="center"/>
        </w:tcPr>
        <w:p w14:paraId="7034E0C8" w14:textId="459A8E43" w:rsidR="002A2E3E" w:rsidRDefault="002A2E3E" w:rsidP="002A2E3E">
          <w:pPr>
            <w:pStyle w:val="LeftNormal"/>
            <w:rPr>
              <w:b/>
              <w:sz w:val="18"/>
              <w:szCs w:val="18"/>
            </w:rPr>
          </w:pPr>
          <w:r>
            <w:rPr>
              <w:szCs w:val="16"/>
            </w:rPr>
            <w:t>0000000</w:t>
          </w:r>
        </w:p>
      </w:tc>
      <w:tc>
        <w:tcPr>
          <w:tcW w:w="567" w:type="dxa"/>
          <w:vAlign w:val="center"/>
        </w:tcPr>
        <w:p w14:paraId="37A0459A" w14:textId="77777777" w:rsidR="002A2E3E" w:rsidRDefault="002A2E3E" w:rsidP="002A2E3E">
          <w:pPr>
            <w:pStyle w:val="LeftNormal"/>
            <w:rPr>
              <w:szCs w:val="22"/>
            </w:rPr>
          </w:pPr>
          <w:r>
            <w:rPr>
              <w:szCs w:val="22"/>
            </w:rPr>
            <w:fldChar w:fldCharType="begin"/>
          </w:r>
          <w:r>
            <w:rPr>
              <w:szCs w:val="22"/>
            </w:rPr>
            <w:instrText xml:space="preserve"> REF DocumentRevision \h  \* MERGEFORMAT </w:instrText>
          </w:r>
          <w:r>
            <w:rPr>
              <w:szCs w:val="22"/>
            </w:rPr>
          </w:r>
          <w:r>
            <w:rPr>
              <w:szCs w:val="22"/>
            </w:rPr>
            <w:fldChar w:fldCharType="separate"/>
          </w:r>
          <w:r>
            <w:t>A</w:t>
          </w:r>
          <w:r>
            <w:rPr>
              <w:szCs w:val="22"/>
            </w:rPr>
            <w:fldChar w:fldCharType="end"/>
          </w:r>
        </w:p>
      </w:tc>
      <w:tc>
        <w:tcPr>
          <w:tcW w:w="909" w:type="dxa"/>
          <w:vAlign w:val="center"/>
        </w:tcPr>
        <w:p w14:paraId="1A9B02FC" w14:textId="77777777" w:rsidR="002A2E3E" w:rsidRDefault="002A2E3E" w:rsidP="002A2E3E">
          <w:pPr>
            <w:pStyle w:val="LeftNormal"/>
            <w:rPr>
              <w:szCs w:val="22"/>
            </w:rPr>
          </w:pPr>
          <w:r>
            <w:fldChar w:fldCharType="begin"/>
          </w:r>
          <w:r>
            <w:instrText xml:space="preserve"> PAGE </w:instrText>
          </w:r>
          <w:r>
            <w:fldChar w:fldCharType="separate"/>
          </w:r>
          <w:r>
            <w:t>2</w:t>
          </w:r>
          <w:r>
            <w:fldChar w:fldCharType="end"/>
          </w:r>
          <w: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16</w:t>
          </w:r>
          <w:r>
            <w:rPr>
              <w:rStyle w:val="PageNumber"/>
            </w:rPr>
            <w:fldChar w:fldCharType="end"/>
          </w:r>
        </w:p>
      </w:tc>
    </w:tr>
  </w:tbl>
  <w:p w14:paraId="4BFF2791" w14:textId="0BD383BB" w:rsidR="002A2E3E" w:rsidRDefault="002A2E3E" w:rsidP="002A2E3E">
    <w:pPr>
      <w:pStyle w:val="LeftNormal"/>
      <w:tabs>
        <w:tab w:val="right" w:pos="9900"/>
      </w:tabs>
      <w:rPr>
        <w:sz w:val="16"/>
        <w:szCs w:val="16"/>
      </w:rPr>
    </w:pPr>
    <w:r>
      <w:rPr>
        <w:sz w:val="16"/>
        <w:szCs w:val="16"/>
      </w:rPr>
      <w:tab/>
      <w:t>All Rights Reserved</w:t>
    </w:r>
  </w:p>
  <w:p w14:paraId="077069FF" w14:textId="1D1482B1" w:rsidR="3390CE8B" w:rsidRPr="002A2E3E" w:rsidRDefault="3390CE8B" w:rsidP="3390CE8B">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6" w:type="dxa"/>
      <w:tblLayout w:type="fixed"/>
      <w:tblCellMar>
        <w:left w:w="85" w:type="dxa"/>
        <w:bottom w:w="28" w:type="dxa"/>
        <w:right w:w="85" w:type="dxa"/>
      </w:tblCellMar>
      <w:tblLook w:val="00A0" w:firstRow="1" w:lastRow="0" w:firstColumn="1" w:lastColumn="0" w:noHBand="0" w:noVBand="0"/>
    </w:tblPr>
    <w:tblGrid>
      <w:gridCol w:w="944"/>
      <w:gridCol w:w="984"/>
      <w:gridCol w:w="1349"/>
      <w:gridCol w:w="1668"/>
      <w:gridCol w:w="540"/>
      <w:gridCol w:w="3153"/>
      <w:gridCol w:w="519"/>
      <w:gridCol w:w="909"/>
    </w:tblGrid>
    <w:tr w:rsidR="002A2E3E" w14:paraId="1DB5E0E6" w14:textId="77777777">
      <w:tc>
        <w:tcPr>
          <w:tcW w:w="944" w:type="dxa"/>
          <w:tcBorders>
            <w:top w:val="single" w:sz="6" w:space="0" w:color="auto"/>
          </w:tcBorders>
          <w:vAlign w:val="center"/>
        </w:tcPr>
        <w:p w14:paraId="7E6B8877" w14:textId="77777777" w:rsidR="002A2E3E" w:rsidRDefault="002A2E3E" w:rsidP="002A2E3E">
          <w:pPr>
            <w:pStyle w:val="LeftNormal"/>
            <w:rPr>
              <w:sz w:val="16"/>
              <w:szCs w:val="16"/>
            </w:rPr>
          </w:pPr>
        </w:p>
      </w:tc>
      <w:tc>
        <w:tcPr>
          <w:tcW w:w="984" w:type="dxa"/>
          <w:tcBorders>
            <w:top w:val="single" w:sz="6" w:space="0" w:color="auto"/>
          </w:tcBorders>
          <w:vAlign w:val="center"/>
        </w:tcPr>
        <w:p w14:paraId="7E5F3124" w14:textId="77777777" w:rsidR="002A2E3E" w:rsidRDefault="002A2E3E" w:rsidP="002A2E3E">
          <w:pPr>
            <w:pStyle w:val="LeftNormal"/>
            <w:rPr>
              <w:sz w:val="16"/>
              <w:szCs w:val="16"/>
            </w:rPr>
          </w:pPr>
          <w:r>
            <w:rPr>
              <w:sz w:val="16"/>
              <w:szCs w:val="16"/>
            </w:rPr>
            <w:t>Date</w:t>
          </w:r>
        </w:p>
      </w:tc>
      <w:tc>
        <w:tcPr>
          <w:tcW w:w="1349" w:type="dxa"/>
          <w:tcBorders>
            <w:top w:val="single" w:sz="6" w:space="0" w:color="auto"/>
          </w:tcBorders>
          <w:vAlign w:val="center"/>
        </w:tcPr>
        <w:p w14:paraId="24ED3248" w14:textId="77777777" w:rsidR="002A2E3E" w:rsidRDefault="002A2E3E" w:rsidP="002A2E3E">
          <w:pPr>
            <w:pStyle w:val="LeftNormal"/>
            <w:rPr>
              <w:sz w:val="16"/>
              <w:szCs w:val="16"/>
            </w:rPr>
          </w:pPr>
          <w:r>
            <w:rPr>
              <w:sz w:val="16"/>
              <w:szCs w:val="16"/>
            </w:rPr>
            <w:t>Name</w:t>
          </w:r>
        </w:p>
      </w:tc>
      <w:tc>
        <w:tcPr>
          <w:tcW w:w="1668" w:type="dxa"/>
          <w:tcBorders>
            <w:top w:val="single" w:sz="6" w:space="0" w:color="auto"/>
            <w:right w:val="single" w:sz="6" w:space="0" w:color="auto"/>
          </w:tcBorders>
          <w:vAlign w:val="center"/>
        </w:tcPr>
        <w:p w14:paraId="3AAEC5E7" w14:textId="77777777" w:rsidR="002A2E3E" w:rsidRDefault="002A2E3E" w:rsidP="002A2E3E">
          <w:pPr>
            <w:pStyle w:val="LeftNormal"/>
            <w:ind w:left="-16"/>
            <w:rPr>
              <w:sz w:val="16"/>
              <w:szCs w:val="16"/>
            </w:rPr>
          </w:pPr>
          <w:r>
            <w:rPr>
              <w:sz w:val="16"/>
              <w:szCs w:val="16"/>
            </w:rPr>
            <w:t>Dept.</w:t>
          </w:r>
        </w:p>
      </w:tc>
      <w:tc>
        <w:tcPr>
          <w:tcW w:w="5121" w:type="dxa"/>
          <w:gridSpan w:val="4"/>
          <w:tcBorders>
            <w:top w:val="single" w:sz="6" w:space="0" w:color="auto"/>
            <w:left w:val="single" w:sz="6" w:space="0" w:color="auto"/>
          </w:tcBorders>
          <w:vAlign w:val="center"/>
        </w:tcPr>
        <w:p w14:paraId="5DEB0F46" w14:textId="77777777" w:rsidR="002A2E3E" w:rsidRDefault="002A2E3E" w:rsidP="002A2E3E">
          <w:pPr>
            <w:pStyle w:val="LeftNormal"/>
            <w:rPr>
              <w:sz w:val="16"/>
              <w:szCs w:val="16"/>
            </w:rPr>
          </w:pPr>
          <w:r>
            <w:rPr>
              <w:sz w:val="16"/>
              <w:szCs w:val="16"/>
            </w:rPr>
            <w:t>Title</w:t>
          </w:r>
        </w:p>
      </w:tc>
    </w:tr>
    <w:tr w:rsidR="002A2E3E" w:rsidRPr="00977F78" w14:paraId="0B3F87A2" w14:textId="77777777">
      <w:tc>
        <w:tcPr>
          <w:tcW w:w="944" w:type="dxa"/>
          <w:vAlign w:val="center"/>
        </w:tcPr>
        <w:p w14:paraId="6581A3AE" w14:textId="77777777" w:rsidR="002A2E3E" w:rsidRDefault="002A2E3E" w:rsidP="002A2E3E">
          <w:pPr>
            <w:pStyle w:val="LeftNormal"/>
            <w:rPr>
              <w:sz w:val="16"/>
              <w:szCs w:val="16"/>
            </w:rPr>
          </w:pPr>
          <w:r>
            <w:rPr>
              <w:sz w:val="16"/>
              <w:szCs w:val="16"/>
            </w:rPr>
            <w:t>Prepared</w:t>
          </w:r>
        </w:p>
      </w:tc>
      <w:tc>
        <w:tcPr>
          <w:tcW w:w="984" w:type="dxa"/>
          <w:vAlign w:val="center"/>
        </w:tcPr>
        <w:p w14:paraId="39713908" w14:textId="1F1A4462" w:rsidR="002A2E3E" w:rsidRDefault="002A2E3E" w:rsidP="002A2E3E">
          <w:pPr>
            <w:pStyle w:val="LeftNormal"/>
            <w:rPr>
              <w:sz w:val="14"/>
              <w:szCs w:val="14"/>
            </w:rPr>
          </w:pPr>
          <w:r>
            <w:rPr>
              <w:sz w:val="14"/>
              <w:szCs w:val="14"/>
            </w:rPr>
            <w:t>01-06-2026</w:t>
          </w:r>
        </w:p>
      </w:tc>
      <w:tc>
        <w:tcPr>
          <w:tcW w:w="1349" w:type="dxa"/>
          <w:vAlign w:val="center"/>
        </w:tcPr>
        <w:p w14:paraId="47A5B42F" w14:textId="78DF4E61" w:rsidR="002A2E3E" w:rsidRDefault="002A2E3E" w:rsidP="002A2E3E">
          <w:pPr>
            <w:pStyle w:val="LeftNormal"/>
            <w:rPr>
              <w:sz w:val="14"/>
              <w:szCs w:val="14"/>
            </w:rPr>
          </w:pPr>
          <w:r>
            <w:rPr>
              <w:sz w:val="14"/>
              <w:szCs w:val="14"/>
            </w:rPr>
            <w:t>L. Rietkerk</w:t>
          </w:r>
        </w:p>
      </w:tc>
      <w:tc>
        <w:tcPr>
          <w:tcW w:w="1668" w:type="dxa"/>
          <w:tcBorders>
            <w:right w:val="single" w:sz="6" w:space="0" w:color="auto"/>
          </w:tcBorders>
          <w:tcMar>
            <w:left w:w="28" w:type="dxa"/>
            <w:right w:w="28" w:type="dxa"/>
          </w:tcMar>
        </w:tcPr>
        <w:p w14:paraId="3AFE4578" w14:textId="77777777" w:rsidR="002A2E3E" w:rsidRDefault="002A2E3E" w:rsidP="002A2E3E">
          <w:pPr>
            <w:pStyle w:val="LeftNormal"/>
            <w:rPr>
              <w:sz w:val="14"/>
              <w:szCs w:val="14"/>
              <w:lang w:val="es-ES"/>
            </w:rPr>
          </w:pPr>
          <w:r>
            <w:rPr>
              <w:sz w:val="14"/>
              <w:szCs w:val="14"/>
              <w:lang w:val="es-ES"/>
            </w:rPr>
            <w:t>Engineering</w:t>
          </w:r>
        </w:p>
      </w:tc>
      <w:tc>
        <w:tcPr>
          <w:tcW w:w="5121" w:type="dxa"/>
          <w:gridSpan w:val="4"/>
          <w:vMerge w:val="restart"/>
          <w:tcBorders>
            <w:left w:val="single" w:sz="6" w:space="0" w:color="auto"/>
          </w:tcBorders>
          <w:vAlign w:val="center"/>
        </w:tcPr>
        <w:p w14:paraId="47BBD0A1" w14:textId="733C72F4" w:rsidR="002A2E3E" w:rsidRPr="00977F78" w:rsidRDefault="002A2E3E" w:rsidP="002A2E3E">
          <w:pPr>
            <w:pStyle w:val="LeftNormal"/>
            <w:rPr>
              <w:szCs w:val="22"/>
              <w:lang w:val="nl-NL"/>
            </w:rPr>
          </w:pPr>
          <w:r>
            <w:rPr>
              <w:rFonts w:cs="Arial"/>
              <w:szCs w:val="22"/>
              <w:lang w:val="nl-NL"/>
            </w:rPr>
            <w:t>e-PU Cabinet V2</w:t>
          </w:r>
        </w:p>
      </w:tc>
    </w:tr>
    <w:tr w:rsidR="002A2E3E" w14:paraId="6424C4E3" w14:textId="77777777">
      <w:tc>
        <w:tcPr>
          <w:tcW w:w="944" w:type="dxa"/>
          <w:vAlign w:val="center"/>
        </w:tcPr>
        <w:p w14:paraId="1F430ED8" w14:textId="77777777" w:rsidR="002A2E3E" w:rsidRDefault="002A2E3E" w:rsidP="002A2E3E">
          <w:pPr>
            <w:pStyle w:val="LeftNormal"/>
            <w:rPr>
              <w:sz w:val="16"/>
              <w:szCs w:val="16"/>
            </w:rPr>
          </w:pPr>
          <w:r>
            <w:rPr>
              <w:sz w:val="16"/>
              <w:szCs w:val="16"/>
            </w:rPr>
            <w:t>Checked</w:t>
          </w:r>
        </w:p>
      </w:tc>
      <w:tc>
        <w:tcPr>
          <w:tcW w:w="984" w:type="dxa"/>
          <w:vAlign w:val="center"/>
        </w:tcPr>
        <w:p w14:paraId="6A9D48C3" w14:textId="77777777" w:rsidR="002A2E3E" w:rsidRDefault="002A2E3E" w:rsidP="002A2E3E">
          <w:pPr>
            <w:pStyle w:val="LeftNormal"/>
            <w:rPr>
              <w:sz w:val="14"/>
              <w:szCs w:val="14"/>
            </w:rPr>
          </w:pPr>
        </w:p>
      </w:tc>
      <w:tc>
        <w:tcPr>
          <w:tcW w:w="1349" w:type="dxa"/>
          <w:vAlign w:val="center"/>
        </w:tcPr>
        <w:p w14:paraId="2EFD47F1" w14:textId="77777777" w:rsidR="002A2E3E" w:rsidRDefault="002A2E3E" w:rsidP="002A2E3E">
          <w:pPr>
            <w:pStyle w:val="LeftNormal"/>
            <w:rPr>
              <w:sz w:val="14"/>
              <w:szCs w:val="14"/>
            </w:rPr>
          </w:pPr>
        </w:p>
      </w:tc>
      <w:tc>
        <w:tcPr>
          <w:tcW w:w="1668" w:type="dxa"/>
          <w:tcBorders>
            <w:right w:val="single" w:sz="6" w:space="0" w:color="auto"/>
          </w:tcBorders>
          <w:tcMar>
            <w:left w:w="28" w:type="dxa"/>
            <w:right w:w="28" w:type="dxa"/>
          </w:tcMar>
        </w:tcPr>
        <w:p w14:paraId="45BDBFFE" w14:textId="77777777" w:rsidR="002A2E3E" w:rsidRDefault="002A2E3E" w:rsidP="002A2E3E">
          <w:pPr>
            <w:pStyle w:val="LeftNormal"/>
            <w:rPr>
              <w:sz w:val="14"/>
              <w:szCs w:val="14"/>
              <w:lang w:val="es-ES"/>
            </w:rPr>
          </w:pPr>
        </w:p>
      </w:tc>
      <w:tc>
        <w:tcPr>
          <w:tcW w:w="5121" w:type="dxa"/>
          <w:gridSpan w:val="4"/>
          <w:vMerge/>
          <w:tcBorders>
            <w:left w:val="single" w:sz="6" w:space="0" w:color="auto"/>
          </w:tcBorders>
        </w:tcPr>
        <w:p w14:paraId="1B7B4C24" w14:textId="77777777" w:rsidR="002A2E3E" w:rsidRDefault="002A2E3E" w:rsidP="002A2E3E">
          <w:pPr>
            <w:pStyle w:val="LeftNormal"/>
            <w:rPr>
              <w:sz w:val="16"/>
              <w:szCs w:val="16"/>
            </w:rPr>
          </w:pPr>
        </w:p>
      </w:tc>
    </w:tr>
    <w:tr w:rsidR="002A2E3E" w14:paraId="7D206606" w14:textId="77777777">
      <w:tc>
        <w:tcPr>
          <w:tcW w:w="944" w:type="dxa"/>
          <w:vAlign w:val="center"/>
        </w:tcPr>
        <w:p w14:paraId="71A22110" w14:textId="77777777" w:rsidR="002A2E3E" w:rsidRDefault="002A2E3E" w:rsidP="002A2E3E">
          <w:pPr>
            <w:pStyle w:val="LeftNormal"/>
            <w:rPr>
              <w:sz w:val="16"/>
              <w:szCs w:val="16"/>
            </w:rPr>
          </w:pPr>
        </w:p>
      </w:tc>
      <w:tc>
        <w:tcPr>
          <w:tcW w:w="984" w:type="dxa"/>
          <w:vAlign w:val="center"/>
        </w:tcPr>
        <w:p w14:paraId="73DB5287" w14:textId="77777777" w:rsidR="002A2E3E" w:rsidRDefault="002A2E3E" w:rsidP="002A2E3E">
          <w:pPr>
            <w:pStyle w:val="LeftNormal"/>
            <w:rPr>
              <w:sz w:val="14"/>
              <w:szCs w:val="14"/>
            </w:rPr>
          </w:pPr>
        </w:p>
      </w:tc>
      <w:tc>
        <w:tcPr>
          <w:tcW w:w="1349" w:type="dxa"/>
          <w:vAlign w:val="center"/>
        </w:tcPr>
        <w:p w14:paraId="3FF9FEA7" w14:textId="77777777" w:rsidR="002A2E3E" w:rsidRDefault="002A2E3E" w:rsidP="002A2E3E">
          <w:pPr>
            <w:pStyle w:val="LeftNormal"/>
            <w:rPr>
              <w:sz w:val="14"/>
              <w:szCs w:val="14"/>
            </w:rPr>
          </w:pPr>
        </w:p>
      </w:tc>
      <w:tc>
        <w:tcPr>
          <w:tcW w:w="1668" w:type="dxa"/>
          <w:tcBorders>
            <w:right w:val="single" w:sz="6" w:space="0" w:color="auto"/>
          </w:tcBorders>
        </w:tcPr>
        <w:p w14:paraId="74AB1F03" w14:textId="77777777" w:rsidR="002A2E3E" w:rsidRDefault="002A2E3E" w:rsidP="002A2E3E">
          <w:pPr>
            <w:pStyle w:val="LeftNormal"/>
            <w:rPr>
              <w:sz w:val="14"/>
              <w:szCs w:val="14"/>
            </w:rPr>
          </w:pPr>
        </w:p>
      </w:tc>
      <w:tc>
        <w:tcPr>
          <w:tcW w:w="5121" w:type="dxa"/>
          <w:gridSpan w:val="4"/>
          <w:vMerge/>
          <w:tcBorders>
            <w:left w:val="single" w:sz="6" w:space="0" w:color="auto"/>
          </w:tcBorders>
        </w:tcPr>
        <w:p w14:paraId="63D1A7D4" w14:textId="77777777" w:rsidR="002A2E3E" w:rsidRDefault="002A2E3E" w:rsidP="002A2E3E">
          <w:pPr>
            <w:pStyle w:val="LeftNormal"/>
            <w:rPr>
              <w:sz w:val="16"/>
              <w:szCs w:val="16"/>
            </w:rPr>
          </w:pPr>
        </w:p>
      </w:tc>
    </w:tr>
    <w:tr w:rsidR="002A2E3E" w14:paraId="5681F751" w14:textId="77777777">
      <w:tc>
        <w:tcPr>
          <w:tcW w:w="4945" w:type="dxa"/>
          <w:gridSpan w:val="4"/>
          <w:vMerge w:val="restart"/>
          <w:tcBorders>
            <w:top w:val="single" w:sz="6" w:space="0" w:color="auto"/>
            <w:right w:val="single" w:sz="6" w:space="0" w:color="auto"/>
          </w:tcBorders>
          <w:vAlign w:val="center"/>
        </w:tcPr>
        <w:p w14:paraId="5EF6F79A" w14:textId="77777777" w:rsidR="002A2E3E" w:rsidRDefault="002A2E3E" w:rsidP="002A2E3E">
          <w:pPr>
            <w:pStyle w:val="LeftNormal"/>
            <w:jc w:val="center"/>
            <w:rPr>
              <w:b/>
              <w:sz w:val="20"/>
              <w:szCs w:val="20"/>
            </w:rPr>
          </w:pPr>
          <w:r>
            <w:rPr>
              <w:b/>
              <w:sz w:val="20"/>
              <w:szCs w:val="20"/>
            </w:rPr>
            <w:t>VDL Groep</w:t>
          </w:r>
        </w:p>
      </w:tc>
      <w:tc>
        <w:tcPr>
          <w:tcW w:w="540" w:type="dxa"/>
          <w:tcBorders>
            <w:top w:val="single" w:sz="6" w:space="0" w:color="auto"/>
            <w:left w:val="single" w:sz="6" w:space="0" w:color="auto"/>
          </w:tcBorders>
        </w:tcPr>
        <w:p w14:paraId="4385BFDD" w14:textId="77777777" w:rsidR="002A2E3E" w:rsidRDefault="002A2E3E" w:rsidP="002A2E3E">
          <w:pPr>
            <w:pStyle w:val="LeftNormal"/>
            <w:rPr>
              <w:sz w:val="16"/>
              <w:szCs w:val="16"/>
            </w:rPr>
          </w:pPr>
          <w:r>
            <w:rPr>
              <w:sz w:val="16"/>
              <w:szCs w:val="16"/>
            </w:rPr>
            <w:t>Size</w:t>
          </w:r>
        </w:p>
      </w:tc>
      <w:tc>
        <w:tcPr>
          <w:tcW w:w="3153" w:type="dxa"/>
          <w:tcBorders>
            <w:top w:val="single" w:sz="6" w:space="0" w:color="auto"/>
          </w:tcBorders>
        </w:tcPr>
        <w:p w14:paraId="7D1E50DB" w14:textId="77777777" w:rsidR="002A2E3E" w:rsidRDefault="002A2E3E" w:rsidP="002A2E3E">
          <w:pPr>
            <w:pStyle w:val="LeftNormal"/>
            <w:rPr>
              <w:sz w:val="16"/>
              <w:szCs w:val="16"/>
            </w:rPr>
          </w:pPr>
          <w:r>
            <w:rPr>
              <w:sz w:val="16"/>
              <w:szCs w:val="16"/>
            </w:rPr>
            <w:t>Document no.</w:t>
          </w:r>
        </w:p>
      </w:tc>
      <w:tc>
        <w:tcPr>
          <w:tcW w:w="519" w:type="dxa"/>
          <w:tcBorders>
            <w:top w:val="single" w:sz="6" w:space="0" w:color="auto"/>
          </w:tcBorders>
        </w:tcPr>
        <w:p w14:paraId="0F10DE05" w14:textId="77777777" w:rsidR="002A2E3E" w:rsidRDefault="002A2E3E" w:rsidP="002A2E3E">
          <w:pPr>
            <w:pStyle w:val="LeftNormal"/>
            <w:rPr>
              <w:sz w:val="16"/>
              <w:szCs w:val="16"/>
            </w:rPr>
          </w:pPr>
          <w:r>
            <w:rPr>
              <w:sz w:val="16"/>
              <w:szCs w:val="16"/>
            </w:rPr>
            <w:t>Rev.</w:t>
          </w:r>
        </w:p>
      </w:tc>
      <w:tc>
        <w:tcPr>
          <w:tcW w:w="909" w:type="dxa"/>
          <w:tcBorders>
            <w:top w:val="single" w:sz="6" w:space="0" w:color="auto"/>
          </w:tcBorders>
        </w:tcPr>
        <w:p w14:paraId="15220E0E" w14:textId="77777777" w:rsidR="002A2E3E" w:rsidRDefault="002A2E3E" w:rsidP="002A2E3E">
          <w:pPr>
            <w:pStyle w:val="LeftNormal"/>
            <w:rPr>
              <w:sz w:val="16"/>
              <w:szCs w:val="16"/>
            </w:rPr>
          </w:pPr>
          <w:r>
            <w:rPr>
              <w:sz w:val="16"/>
              <w:szCs w:val="16"/>
            </w:rPr>
            <w:t>Page</w:t>
          </w:r>
        </w:p>
      </w:tc>
    </w:tr>
    <w:tr w:rsidR="002A2E3E" w14:paraId="48DB1318" w14:textId="77777777">
      <w:tc>
        <w:tcPr>
          <w:tcW w:w="4945" w:type="dxa"/>
          <w:gridSpan w:val="4"/>
          <w:vMerge/>
          <w:tcBorders>
            <w:right w:val="single" w:sz="6" w:space="0" w:color="auto"/>
          </w:tcBorders>
        </w:tcPr>
        <w:p w14:paraId="52F9BC29" w14:textId="77777777" w:rsidR="002A2E3E" w:rsidRDefault="002A2E3E" w:rsidP="002A2E3E">
          <w:pPr>
            <w:pStyle w:val="LeftNormal"/>
            <w:rPr>
              <w:sz w:val="16"/>
              <w:szCs w:val="16"/>
            </w:rPr>
          </w:pPr>
        </w:p>
      </w:tc>
      <w:tc>
        <w:tcPr>
          <w:tcW w:w="540" w:type="dxa"/>
          <w:tcBorders>
            <w:left w:val="single" w:sz="6" w:space="0" w:color="auto"/>
          </w:tcBorders>
        </w:tcPr>
        <w:p w14:paraId="51B453A6" w14:textId="77777777" w:rsidR="002A2E3E" w:rsidRDefault="002A2E3E" w:rsidP="002A2E3E">
          <w:pPr>
            <w:pStyle w:val="LeftNormal"/>
          </w:pPr>
          <w:r>
            <w:t>A4</w:t>
          </w:r>
        </w:p>
      </w:tc>
      <w:tc>
        <w:tcPr>
          <w:tcW w:w="3153" w:type="dxa"/>
          <w:tcMar>
            <w:right w:w="28" w:type="dxa"/>
          </w:tcMar>
          <w:vAlign w:val="center"/>
        </w:tcPr>
        <w:p w14:paraId="0DF9F095" w14:textId="448D61B6" w:rsidR="002A2E3E" w:rsidRPr="00CD1323" w:rsidRDefault="002A2E3E" w:rsidP="002A2E3E">
          <w:pPr>
            <w:pStyle w:val="LeftNormal"/>
            <w:rPr>
              <w:sz w:val="16"/>
              <w:szCs w:val="16"/>
            </w:rPr>
          </w:pPr>
          <w:r>
            <w:rPr>
              <w:szCs w:val="16"/>
            </w:rPr>
            <w:t>00000000</w:t>
          </w:r>
        </w:p>
      </w:tc>
      <w:tc>
        <w:tcPr>
          <w:tcW w:w="519" w:type="dxa"/>
        </w:tcPr>
        <w:p w14:paraId="488F3F79" w14:textId="77777777" w:rsidR="002A2E3E" w:rsidRDefault="002A2E3E" w:rsidP="002A2E3E">
          <w:pPr>
            <w:pStyle w:val="LeftNormal"/>
          </w:pPr>
          <w:bookmarkStart w:id="47" w:name="DocumentRevision"/>
          <w:r>
            <w:t>A</w:t>
          </w:r>
          <w:bookmarkEnd w:id="47"/>
        </w:p>
      </w:tc>
      <w:tc>
        <w:tcPr>
          <w:tcW w:w="909" w:type="dxa"/>
        </w:tcPr>
        <w:p w14:paraId="3A82D967" w14:textId="120BF686" w:rsidR="002A2E3E" w:rsidRDefault="002A2E3E" w:rsidP="002A2E3E">
          <w:pPr>
            <w:pStyle w:val="LeftNormal"/>
          </w:pPr>
          <w:r>
            <w:fldChar w:fldCharType="begin"/>
          </w:r>
          <w:r>
            <w:instrText>PAGE</w:instrText>
          </w:r>
          <w:r>
            <w:fldChar w:fldCharType="separate"/>
          </w:r>
          <w:r>
            <w:rPr>
              <w:noProof/>
            </w:rPr>
            <w:t>1</w:t>
          </w:r>
          <w:r>
            <w:fldChar w:fldCharType="end"/>
          </w:r>
          <w:r>
            <w:t xml:space="preserve"> of </w:t>
          </w:r>
          <w:r>
            <w:fldChar w:fldCharType="begin"/>
          </w:r>
          <w:r>
            <w:instrText>NUMPAGES</w:instrText>
          </w:r>
          <w:r>
            <w:fldChar w:fldCharType="separate"/>
          </w:r>
          <w:r>
            <w:rPr>
              <w:noProof/>
            </w:rPr>
            <w:t>2</w:t>
          </w:r>
          <w:r>
            <w:fldChar w:fldCharType="end"/>
          </w:r>
        </w:p>
      </w:tc>
    </w:tr>
  </w:tbl>
  <w:p w14:paraId="7AD6CC7A" w14:textId="2FB425F9" w:rsidR="3390CE8B" w:rsidRDefault="3390CE8B" w:rsidP="3390CE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EACB9F" w14:textId="77777777" w:rsidR="00264BF7" w:rsidRDefault="00264BF7">
      <w:pPr>
        <w:spacing w:after="0" w:line="240" w:lineRule="auto"/>
      </w:pPr>
      <w:r>
        <w:separator/>
      </w:r>
    </w:p>
  </w:footnote>
  <w:footnote w:type="continuationSeparator" w:id="0">
    <w:p w14:paraId="3FF9B6B7" w14:textId="77777777" w:rsidR="00264BF7" w:rsidRDefault="00264B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94" w:type="dxa"/>
      <w:tblCellMar>
        <w:left w:w="0" w:type="dxa"/>
        <w:right w:w="0" w:type="dxa"/>
      </w:tblCellMar>
      <w:tblLook w:val="01E0" w:firstRow="1" w:lastRow="1" w:firstColumn="1" w:lastColumn="1" w:noHBand="0" w:noVBand="0"/>
    </w:tblPr>
    <w:tblGrid>
      <w:gridCol w:w="6350"/>
      <w:gridCol w:w="3744"/>
    </w:tblGrid>
    <w:tr w:rsidR="002A2E3E" w14:paraId="2E211AB8" w14:textId="77777777" w:rsidTr="002A2E3E">
      <w:trPr>
        <w:trHeight w:val="454"/>
      </w:trPr>
      <w:tc>
        <w:tcPr>
          <w:tcW w:w="6350" w:type="dxa"/>
          <w:vMerge w:val="restart"/>
          <w:tcMar>
            <w:left w:w="113" w:type="dxa"/>
          </w:tcMar>
        </w:tcPr>
        <w:p w14:paraId="5D452FB0" w14:textId="77777777" w:rsidR="002A2E3E" w:rsidRDefault="002A2E3E" w:rsidP="002A2E3E">
          <w:pPr>
            <w:pStyle w:val="LeftNormal"/>
            <w:rPr>
              <w:noProof/>
            </w:rPr>
          </w:pPr>
          <w:r>
            <w:rPr>
              <w:noProof/>
              <w:lang w:val="nl-NL" w:eastAsia="nl-NL"/>
            </w:rPr>
            <w:drawing>
              <wp:inline distT="0" distB="0" distL="0" distR="0" wp14:anchorId="02BCBC7D" wp14:editId="1D97C7C7">
                <wp:extent cx="1035325" cy="504000"/>
                <wp:effectExtent l="0" t="0" r="0" b="0"/>
                <wp:docPr id="1038503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L-Logo_svg.png"/>
                        <pic:cNvPicPr/>
                      </pic:nvPicPr>
                      <pic:blipFill>
                        <a:blip r:embed="rId1">
                          <a:extLst>
                            <a:ext uri="{28A0092B-C50C-407E-A947-70E740481C1C}">
                              <a14:useLocalDpi xmlns:a14="http://schemas.microsoft.com/office/drawing/2010/main" val="0"/>
                            </a:ext>
                          </a:extLst>
                        </a:blip>
                        <a:stretch>
                          <a:fillRect/>
                        </a:stretch>
                      </pic:blipFill>
                      <pic:spPr>
                        <a:xfrm>
                          <a:off x="0" y="0"/>
                          <a:ext cx="1035325" cy="504000"/>
                        </a:xfrm>
                        <a:prstGeom prst="rect">
                          <a:avLst/>
                        </a:prstGeom>
                      </pic:spPr>
                    </pic:pic>
                  </a:graphicData>
                </a:graphic>
              </wp:inline>
            </w:drawing>
          </w:r>
        </w:p>
      </w:tc>
      <w:tc>
        <w:tcPr>
          <w:tcW w:w="3744" w:type="dxa"/>
        </w:tcPr>
        <w:p w14:paraId="4243625B" w14:textId="77777777" w:rsidR="002A2E3E" w:rsidRDefault="002A2E3E" w:rsidP="002A2E3E">
          <w:pPr>
            <w:pStyle w:val="LeftNormal"/>
            <w:rPr>
              <w:sz w:val="32"/>
              <w:szCs w:val="32"/>
            </w:rPr>
          </w:pPr>
        </w:p>
      </w:tc>
    </w:tr>
    <w:tr w:rsidR="002A2E3E" w14:paraId="667C586E" w14:textId="77777777" w:rsidTr="002A2E3E">
      <w:trPr>
        <w:trHeight w:val="284"/>
      </w:trPr>
      <w:tc>
        <w:tcPr>
          <w:tcW w:w="6350" w:type="dxa"/>
          <w:vMerge/>
          <w:tcMar>
            <w:left w:w="113" w:type="dxa"/>
          </w:tcMar>
        </w:tcPr>
        <w:p w14:paraId="470AE0A1" w14:textId="77777777" w:rsidR="002A2E3E" w:rsidRDefault="002A2E3E" w:rsidP="002A2E3E">
          <w:pPr>
            <w:pStyle w:val="LeftNormal"/>
          </w:pPr>
        </w:p>
      </w:tc>
      <w:tc>
        <w:tcPr>
          <w:tcW w:w="3744" w:type="dxa"/>
          <w:vAlign w:val="center"/>
        </w:tcPr>
        <w:p w14:paraId="07586DE3" w14:textId="77777777" w:rsidR="002A2E3E" w:rsidRDefault="002A2E3E" w:rsidP="002A2E3E">
          <w:pPr>
            <w:pStyle w:val="LeftNormal"/>
            <w:rPr>
              <w:b/>
              <w:sz w:val="20"/>
              <w:szCs w:val="20"/>
            </w:rPr>
          </w:pPr>
        </w:p>
      </w:tc>
    </w:tr>
    <w:tr w:rsidR="002A2E3E" w14:paraId="42496C96" w14:textId="77777777" w:rsidTr="002A2E3E">
      <w:trPr>
        <w:trHeight w:val="284"/>
      </w:trPr>
      <w:tc>
        <w:tcPr>
          <w:tcW w:w="6350" w:type="dxa"/>
          <w:vMerge/>
          <w:tcMar>
            <w:left w:w="113" w:type="dxa"/>
          </w:tcMar>
        </w:tcPr>
        <w:p w14:paraId="4B59724A" w14:textId="77777777" w:rsidR="002A2E3E" w:rsidRDefault="002A2E3E" w:rsidP="002A2E3E">
          <w:pPr>
            <w:pStyle w:val="LeftNormal"/>
          </w:pPr>
        </w:p>
      </w:tc>
      <w:tc>
        <w:tcPr>
          <w:tcW w:w="3744" w:type="dxa"/>
          <w:vAlign w:val="center"/>
        </w:tcPr>
        <w:p w14:paraId="4182642A" w14:textId="77777777" w:rsidR="002A2E3E" w:rsidRDefault="002A2E3E" w:rsidP="002A2E3E">
          <w:pPr>
            <w:pStyle w:val="LeftNormal"/>
            <w:rPr>
              <w:sz w:val="18"/>
              <w:szCs w:val="18"/>
            </w:rPr>
          </w:pPr>
          <w:r w:rsidRPr="006D66AC">
            <w:rPr>
              <w:rFonts w:ascii="Arial Black" w:hAnsi="Arial Black"/>
              <w:b/>
              <w:color w:val="0064A3"/>
              <w:szCs w:val="20"/>
            </w:rPr>
            <w:t>VDL Energy Systems</w:t>
          </w:r>
        </w:p>
      </w:tc>
    </w:tr>
    <w:tr w:rsidR="002A2E3E" w14:paraId="5D0ACF3A" w14:textId="77777777" w:rsidTr="002A2E3E">
      <w:trPr>
        <w:trHeight w:val="284"/>
      </w:trPr>
      <w:tc>
        <w:tcPr>
          <w:tcW w:w="6350" w:type="dxa"/>
          <w:vMerge/>
        </w:tcPr>
        <w:p w14:paraId="15D77B5B" w14:textId="77777777" w:rsidR="002A2E3E" w:rsidRDefault="002A2E3E" w:rsidP="002A2E3E">
          <w:pPr>
            <w:pStyle w:val="LeftNormal"/>
          </w:pPr>
        </w:p>
      </w:tc>
      <w:tc>
        <w:tcPr>
          <w:tcW w:w="3744" w:type="dxa"/>
          <w:vAlign w:val="center"/>
        </w:tcPr>
        <w:p w14:paraId="06A402C4" w14:textId="77777777" w:rsidR="002A2E3E" w:rsidRDefault="002A2E3E" w:rsidP="002A2E3E">
          <w:pPr>
            <w:pStyle w:val="LeftNormal"/>
            <w:rPr>
              <w:b/>
            </w:rPr>
          </w:pPr>
          <w:r>
            <w:rPr>
              <w:sz w:val="18"/>
              <w:szCs w:val="18"/>
            </w:rPr>
            <w:t>Engineering Department</w:t>
          </w:r>
        </w:p>
      </w:tc>
    </w:tr>
  </w:tbl>
  <w:p w14:paraId="3868BC55" w14:textId="457C52EA" w:rsidR="3390CE8B" w:rsidRPr="002A2E3E" w:rsidRDefault="3390CE8B" w:rsidP="3390CE8B">
    <w:pPr>
      <w:pStyle w:val="Heade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94" w:type="dxa"/>
      <w:tblCellMar>
        <w:left w:w="0" w:type="dxa"/>
        <w:right w:w="0" w:type="dxa"/>
      </w:tblCellMar>
      <w:tblLook w:val="01E0" w:firstRow="1" w:lastRow="1" w:firstColumn="1" w:lastColumn="1" w:noHBand="0" w:noVBand="0"/>
    </w:tblPr>
    <w:tblGrid>
      <w:gridCol w:w="6350"/>
      <w:gridCol w:w="3744"/>
    </w:tblGrid>
    <w:tr w:rsidR="002A2E3E" w14:paraId="49CF6200" w14:textId="77777777" w:rsidTr="002A2E3E">
      <w:trPr>
        <w:trHeight w:val="454"/>
      </w:trPr>
      <w:tc>
        <w:tcPr>
          <w:tcW w:w="6350" w:type="dxa"/>
          <w:vMerge w:val="restart"/>
          <w:tcMar>
            <w:left w:w="113" w:type="dxa"/>
          </w:tcMar>
        </w:tcPr>
        <w:p w14:paraId="22639617" w14:textId="77777777" w:rsidR="002A2E3E" w:rsidRDefault="002A2E3E" w:rsidP="002A2E3E">
          <w:pPr>
            <w:pStyle w:val="LeftNormal"/>
            <w:rPr>
              <w:noProof/>
            </w:rPr>
          </w:pPr>
          <w:r>
            <w:rPr>
              <w:noProof/>
              <w:lang w:val="nl-NL" w:eastAsia="nl-NL"/>
            </w:rPr>
            <w:drawing>
              <wp:inline distT="0" distB="0" distL="0" distR="0" wp14:anchorId="4A7BFE1F" wp14:editId="11D0C8B3">
                <wp:extent cx="1035325" cy="504000"/>
                <wp:effectExtent l="0" t="0" r="0" b="0"/>
                <wp:docPr id="19935087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DL-Logo_svg.png"/>
                        <pic:cNvPicPr/>
                      </pic:nvPicPr>
                      <pic:blipFill>
                        <a:blip r:embed="rId1">
                          <a:extLst>
                            <a:ext uri="{28A0092B-C50C-407E-A947-70E740481C1C}">
                              <a14:useLocalDpi xmlns:a14="http://schemas.microsoft.com/office/drawing/2010/main" val="0"/>
                            </a:ext>
                          </a:extLst>
                        </a:blip>
                        <a:stretch>
                          <a:fillRect/>
                        </a:stretch>
                      </pic:blipFill>
                      <pic:spPr>
                        <a:xfrm>
                          <a:off x="0" y="0"/>
                          <a:ext cx="1035325" cy="504000"/>
                        </a:xfrm>
                        <a:prstGeom prst="rect">
                          <a:avLst/>
                        </a:prstGeom>
                      </pic:spPr>
                    </pic:pic>
                  </a:graphicData>
                </a:graphic>
              </wp:inline>
            </w:drawing>
          </w:r>
        </w:p>
      </w:tc>
      <w:tc>
        <w:tcPr>
          <w:tcW w:w="3744" w:type="dxa"/>
        </w:tcPr>
        <w:p w14:paraId="6181C0D4" w14:textId="77777777" w:rsidR="002A2E3E" w:rsidRDefault="002A2E3E" w:rsidP="002A2E3E">
          <w:pPr>
            <w:pStyle w:val="LeftNormal"/>
            <w:rPr>
              <w:sz w:val="32"/>
              <w:szCs w:val="32"/>
            </w:rPr>
          </w:pPr>
        </w:p>
      </w:tc>
    </w:tr>
    <w:tr w:rsidR="002A2E3E" w14:paraId="465B5665" w14:textId="77777777" w:rsidTr="002A2E3E">
      <w:trPr>
        <w:trHeight w:val="284"/>
      </w:trPr>
      <w:tc>
        <w:tcPr>
          <w:tcW w:w="6350" w:type="dxa"/>
          <w:vMerge/>
          <w:tcMar>
            <w:left w:w="113" w:type="dxa"/>
          </w:tcMar>
        </w:tcPr>
        <w:p w14:paraId="33EF83CD" w14:textId="77777777" w:rsidR="002A2E3E" w:rsidRDefault="002A2E3E" w:rsidP="002A2E3E">
          <w:pPr>
            <w:pStyle w:val="LeftNormal"/>
          </w:pPr>
        </w:p>
      </w:tc>
      <w:tc>
        <w:tcPr>
          <w:tcW w:w="3744" w:type="dxa"/>
          <w:vAlign w:val="center"/>
        </w:tcPr>
        <w:p w14:paraId="06A0153C" w14:textId="77777777" w:rsidR="002A2E3E" w:rsidRDefault="002A2E3E" w:rsidP="002A2E3E">
          <w:pPr>
            <w:pStyle w:val="LeftNormal"/>
            <w:rPr>
              <w:b/>
              <w:sz w:val="20"/>
              <w:szCs w:val="20"/>
            </w:rPr>
          </w:pPr>
        </w:p>
      </w:tc>
    </w:tr>
    <w:tr w:rsidR="002A2E3E" w14:paraId="5B53C21E" w14:textId="77777777" w:rsidTr="002A2E3E">
      <w:trPr>
        <w:trHeight w:val="284"/>
      </w:trPr>
      <w:tc>
        <w:tcPr>
          <w:tcW w:w="6350" w:type="dxa"/>
          <w:vMerge/>
          <w:tcMar>
            <w:left w:w="113" w:type="dxa"/>
          </w:tcMar>
        </w:tcPr>
        <w:p w14:paraId="390E31FD" w14:textId="77777777" w:rsidR="002A2E3E" w:rsidRDefault="002A2E3E" w:rsidP="002A2E3E">
          <w:pPr>
            <w:pStyle w:val="LeftNormal"/>
          </w:pPr>
        </w:p>
      </w:tc>
      <w:tc>
        <w:tcPr>
          <w:tcW w:w="3744" w:type="dxa"/>
          <w:vAlign w:val="center"/>
        </w:tcPr>
        <w:p w14:paraId="70A093D2" w14:textId="77777777" w:rsidR="002A2E3E" w:rsidRDefault="002A2E3E" w:rsidP="002A2E3E">
          <w:pPr>
            <w:pStyle w:val="LeftNormal"/>
            <w:rPr>
              <w:sz w:val="18"/>
              <w:szCs w:val="18"/>
            </w:rPr>
          </w:pPr>
          <w:r w:rsidRPr="006D66AC">
            <w:rPr>
              <w:rFonts w:ascii="Arial Black" w:hAnsi="Arial Black"/>
              <w:b/>
              <w:color w:val="0064A3"/>
              <w:szCs w:val="20"/>
            </w:rPr>
            <w:t>VDL Energy Systems</w:t>
          </w:r>
        </w:p>
      </w:tc>
    </w:tr>
    <w:tr w:rsidR="002A2E3E" w14:paraId="23B0A378" w14:textId="77777777" w:rsidTr="002A2E3E">
      <w:trPr>
        <w:trHeight w:val="284"/>
      </w:trPr>
      <w:tc>
        <w:tcPr>
          <w:tcW w:w="6350" w:type="dxa"/>
          <w:vMerge/>
        </w:tcPr>
        <w:p w14:paraId="374AE938" w14:textId="77777777" w:rsidR="002A2E3E" w:rsidRDefault="002A2E3E" w:rsidP="002A2E3E">
          <w:pPr>
            <w:pStyle w:val="LeftNormal"/>
          </w:pPr>
        </w:p>
      </w:tc>
      <w:tc>
        <w:tcPr>
          <w:tcW w:w="3744" w:type="dxa"/>
          <w:vAlign w:val="center"/>
        </w:tcPr>
        <w:p w14:paraId="4FE1C789" w14:textId="77777777" w:rsidR="002A2E3E" w:rsidRDefault="002A2E3E" w:rsidP="002A2E3E">
          <w:pPr>
            <w:pStyle w:val="LeftNormal"/>
            <w:rPr>
              <w:b/>
            </w:rPr>
          </w:pPr>
          <w:r>
            <w:rPr>
              <w:sz w:val="18"/>
              <w:szCs w:val="18"/>
            </w:rPr>
            <w:t>Engineering Department</w:t>
          </w:r>
        </w:p>
      </w:tc>
    </w:tr>
  </w:tbl>
  <w:p w14:paraId="4B02AE1E" w14:textId="68A17789" w:rsidR="3390CE8B" w:rsidRDefault="3390CE8B" w:rsidP="3390CE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921777"/>
    <w:multiLevelType w:val="hybridMultilevel"/>
    <w:tmpl w:val="FEA49B4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70791602"/>
    <w:multiLevelType w:val="hybridMultilevel"/>
    <w:tmpl w:val="2542BD8E"/>
    <w:lvl w:ilvl="0" w:tplc="590CA908">
      <w:start w:val="1"/>
      <w:numFmt w:val="bullet"/>
      <w:lvlText w:val="-"/>
      <w:lvlJc w:val="left"/>
      <w:pPr>
        <w:ind w:left="1065" w:hanging="360"/>
      </w:pPr>
      <w:rPr>
        <w:rFonts w:ascii="Aptos" w:eastAsiaTheme="minorHAnsi" w:hAnsi="Aptos" w:cstheme="minorBidi" w:hint="default"/>
      </w:rPr>
    </w:lvl>
    <w:lvl w:ilvl="1" w:tplc="04130003">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2" w15:restartNumberingAfterBreak="0">
    <w:nsid w:val="7B960184"/>
    <w:multiLevelType w:val="hybridMultilevel"/>
    <w:tmpl w:val="4202D5B0"/>
    <w:lvl w:ilvl="0" w:tplc="73285DB2">
      <w:start w:val="1"/>
      <w:numFmt w:val="decimal"/>
      <w:lvlText w:val="%1."/>
      <w:lvlJc w:val="left"/>
      <w:pPr>
        <w:ind w:left="720" w:hanging="360"/>
      </w:pPr>
      <w:rPr>
        <w:rFonts w:asciiTheme="minorHAnsi" w:eastAsiaTheme="minorHAnsi" w:hAnsiTheme="minorHAnsi" w:cstheme="minorBidi"/>
      </w:r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8195048">
    <w:abstractNumId w:val="0"/>
  </w:num>
  <w:num w:numId="2" w16cid:durableId="801919731">
    <w:abstractNumId w:val="2"/>
  </w:num>
  <w:num w:numId="3" w16cid:durableId="181915163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sscher, Robert">
    <w15:presenceInfo w15:providerId="AD" w15:userId="S::R.Visscher@vdlenergysystems.com::a2032409-e079-4a71-96e5-7287db0ec9d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396"/>
    <w:rsid w:val="0001398E"/>
    <w:rsid w:val="000156CB"/>
    <w:rsid w:val="00015CBB"/>
    <w:rsid w:val="00021470"/>
    <w:rsid w:val="00023CEF"/>
    <w:rsid w:val="00026622"/>
    <w:rsid w:val="0003004D"/>
    <w:rsid w:val="00031FEE"/>
    <w:rsid w:val="000347C7"/>
    <w:rsid w:val="00044982"/>
    <w:rsid w:val="000468CD"/>
    <w:rsid w:val="000503D7"/>
    <w:rsid w:val="00053B22"/>
    <w:rsid w:val="00056973"/>
    <w:rsid w:val="00061F17"/>
    <w:rsid w:val="000654B3"/>
    <w:rsid w:val="000729B1"/>
    <w:rsid w:val="000741CC"/>
    <w:rsid w:val="000749E9"/>
    <w:rsid w:val="00082EBE"/>
    <w:rsid w:val="000835CE"/>
    <w:rsid w:val="00084E1C"/>
    <w:rsid w:val="00086020"/>
    <w:rsid w:val="000A211A"/>
    <w:rsid w:val="000A32C0"/>
    <w:rsid w:val="000A3AA7"/>
    <w:rsid w:val="000A5214"/>
    <w:rsid w:val="000B1558"/>
    <w:rsid w:val="000B4CEC"/>
    <w:rsid w:val="000C0BB2"/>
    <w:rsid w:val="000C2003"/>
    <w:rsid w:val="000C320A"/>
    <w:rsid w:val="000C328D"/>
    <w:rsid w:val="000C59F5"/>
    <w:rsid w:val="000D7E35"/>
    <w:rsid w:val="000E0A42"/>
    <w:rsid w:val="000E38FF"/>
    <w:rsid w:val="000E7E65"/>
    <w:rsid w:val="000F2724"/>
    <w:rsid w:val="000F62DD"/>
    <w:rsid w:val="00101975"/>
    <w:rsid w:val="00103F28"/>
    <w:rsid w:val="00105AA8"/>
    <w:rsid w:val="001130CE"/>
    <w:rsid w:val="00114544"/>
    <w:rsid w:val="00114A44"/>
    <w:rsid w:val="00117021"/>
    <w:rsid w:val="00120485"/>
    <w:rsid w:val="00120795"/>
    <w:rsid w:val="00122832"/>
    <w:rsid w:val="001237E3"/>
    <w:rsid w:val="00126563"/>
    <w:rsid w:val="001269BD"/>
    <w:rsid w:val="00136C12"/>
    <w:rsid w:val="00137BCE"/>
    <w:rsid w:val="0014020C"/>
    <w:rsid w:val="001439C5"/>
    <w:rsid w:val="00145CA3"/>
    <w:rsid w:val="00147144"/>
    <w:rsid w:val="0014748D"/>
    <w:rsid w:val="00150488"/>
    <w:rsid w:val="0015162D"/>
    <w:rsid w:val="00153CF7"/>
    <w:rsid w:val="00155C56"/>
    <w:rsid w:val="00156F8E"/>
    <w:rsid w:val="00157E81"/>
    <w:rsid w:val="00160885"/>
    <w:rsid w:val="00161C8F"/>
    <w:rsid w:val="00166881"/>
    <w:rsid w:val="00171D91"/>
    <w:rsid w:val="00171F90"/>
    <w:rsid w:val="001729C1"/>
    <w:rsid w:val="00175433"/>
    <w:rsid w:val="0017656C"/>
    <w:rsid w:val="0018096F"/>
    <w:rsid w:val="001821E8"/>
    <w:rsid w:val="0018628B"/>
    <w:rsid w:val="0019462F"/>
    <w:rsid w:val="0019582F"/>
    <w:rsid w:val="001A7824"/>
    <w:rsid w:val="001B068B"/>
    <w:rsid w:val="001B6226"/>
    <w:rsid w:val="001C07B6"/>
    <w:rsid w:val="001C50AC"/>
    <w:rsid w:val="001D1CD0"/>
    <w:rsid w:val="001D2B4C"/>
    <w:rsid w:val="001D307F"/>
    <w:rsid w:val="001E0FA2"/>
    <w:rsid w:val="001E3717"/>
    <w:rsid w:val="001E52DF"/>
    <w:rsid w:val="001E5D16"/>
    <w:rsid w:val="001F19AB"/>
    <w:rsid w:val="001F741F"/>
    <w:rsid w:val="0020051B"/>
    <w:rsid w:val="00203A3A"/>
    <w:rsid w:val="00205AA7"/>
    <w:rsid w:val="0020748F"/>
    <w:rsid w:val="002113EA"/>
    <w:rsid w:val="00211563"/>
    <w:rsid w:val="00212C3E"/>
    <w:rsid w:val="00213DEB"/>
    <w:rsid w:val="0021717A"/>
    <w:rsid w:val="002204FF"/>
    <w:rsid w:val="0022361C"/>
    <w:rsid w:val="002238CC"/>
    <w:rsid w:val="0022616E"/>
    <w:rsid w:val="002300B1"/>
    <w:rsid w:val="00231EB1"/>
    <w:rsid w:val="00233CCE"/>
    <w:rsid w:val="002408E5"/>
    <w:rsid w:val="00242032"/>
    <w:rsid w:val="00243A44"/>
    <w:rsid w:val="00247FB7"/>
    <w:rsid w:val="00252ACF"/>
    <w:rsid w:val="002538B6"/>
    <w:rsid w:val="002542C4"/>
    <w:rsid w:val="0026047A"/>
    <w:rsid w:val="00260536"/>
    <w:rsid w:val="0026117C"/>
    <w:rsid w:val="00264BF7"/>
    <w:rsid w:val="0026574D"/>
    <w:rsid w:val="00267177"/>
    <w:rsid w:val="00281FCA"/>
    <w:rsid w:val="00283318"/>
    <w:rsid w:val="002902EC"/>
    <w:rsid w:val="00290A7E"/>
    <w:rsid w:val="002915D9"/>
    <w:rsid w:val="0029300B"/>
    <w:rsid w:val="00294D05"/>
    <w:rsid w:val="002A18E0"/>
    <w:rsid w:val="002A1B55"/>
    <w:rsid w:val="002A2E3E"/>
    <w:rsid w:val="002B33E5"/>
    <w:rsid w:val="002C0818"/>
    <w:rsid w:val="002C1911"/>
    <w:rsid w:val="002C4157"/>
    <w:rsid w:val="002C4DE6"/>
    <w:rsid w:val="002C6609"/>
    <w:rsid w:val="002C6FD5"/>
    <w:rsid w:val="002D32DE"/>
    <w:rsid w:val="002D4077"/>
    <w:rsid w:val="002D5525"/>
    <w:rsid w:val="002D6565"/>
    <w:rsid w:val="002E0CB2"/>
    <w:rsid w:val="002E5901"/>
    <w:rsid w:val="002F063B"/>
    <w:rsid w:val="002F16AE"/>
    <w:rsid w:val="002F20F2"/>
    <w:rsid w:val="002F2B4C"/>
    <w:rsid w:val="002F410F"/>
    <w:rsid w:val="002F62AB"/>
    <w:rsid w:val="002F6822"/>
    <w:rsid w:val="003129D7"/>
    <w:rsid w:val="00313AEA"/>
    <w:rsid w:val="00321107"/>
    <w:rsid w:val="00322002"/>
    <w:rsid w:val="003228B4"/>
    <w:rsid w:val="0033067B"/>
    <w:rsid w:val="00330F61"/>
    <w:rsid w:val="003310DF"/>
    <w:rsid w:val="0033345B"/>
    <w:rsid w:val="0033565F"/>
    <w:rsid w:val="003359EC"/>
    <w:rsid w:val="00336298"/>
    <w:rsid w:val="00352DBE"/>
    <w:rsid w:val="00352F7A"/>
    <w:rsid w:val="00355DD2"/>
    <w:rsid w:val="00356F7C"/>
    <w:rsid w:val="00357CD9"/>
    <w:rsid w:val="00363D29"/>
    <w:rsid w:val="00365B60"/>
    <w:rsid w:val="00365FAC"/>
    <w:rsid w:val="0037538D"/>
    <w:rsid w:val="003801AA"/>
    <w:rsid w:val="00386167"/>
    <w:rsid w:val="00386A5C"/>
    <w:rsid w:val="00391BD4"/>
    <w:rsid w:val="003929BA"/>
    <w:rsid w:val="003962FD"/>
    <w:rsid w:val="003A04D5"/>
    <w:rsid w:val="003A22E6"/>
    <w:rsid w:val="003A5973"/>
    <w:rsid w:val="003A6FAA"/>
    <w:rsid w:val="003B05F7"/>
    <w:rsid w:val="003B55B4"/>
    <w:rsid w:val="003B71B4"/>
    <w:rsid w:val="003C4044"/>
    <w:rsid w:val="003C6458"/>
    <w:rsid w:val="003C66AC"/>
    <w:rsid w:val="003D3AA5"/>
    <w:rsid w:val="003D4759"/>
    <w:rsid w:val="003D4F97"/>
    <w:rsid w:val="003E3B5B"/>
    <w:rsid w:val="003F0F46"/>
    <w:rsid w:val="003F4A04"/>
    <w:rsid w:val="003F71CD"/>
    <w:rsid w:val="00400612"/>
    <w:rsid w:val="004043F7"/>
    <w:rsid w:val="00415343"/>
    <w:rsid w:val="0042457F"/>
    <w:rsid w:val="00424B3F"/>
    <w:rsid w:val="00434103"/>
    <w:rsid w:val="0045326D"/>
    <w:rsid w:val="00456913"/>
    <w:rsid w:val="004615D0"/>
    <w:rsid w:val="00466C6F"/>
    <w:rsid w:val="00471028"/>
    <w:rsid w:val="00475CEB"/>
    <w:rsid w:val="00475DE6"/>
    <w:rsid w:val="00476E44"/>
    <w:rsid w:val="0047767F"/>
    <w:rsid w:val="00481C6E"/>
    <w:rsid w:val="00483C0E"/>
    <w:rsid w:val="00491833"/>
    <w:rsid w:val="00495285"/>
    <w:rsid w:val="004953EC"/>
    <w:rsid w:val="00495522"/>
    <w:rsid w:val="004977B6"/>
    <w:rsid w:val="004A0058"/>
    <w:rsid w:val="004A39BD"/>
    <w:rsid w:val="004A6EA1"/>
    <w:rsid w:val="004B13E8"/>
    <w:rsid w:val="004B2095"/>
    <w:rsid w:val="004B49D4"/>
    <w:rsid w:val="004B7762"/>
    <w:rsid w:val="004C18DA"/>
    <w:rsid w:val="004C323F"/>
    <w:rsid w:val="004C635C"/>
    <w:rsid w:val="004D0426"/>
    <w:rsid w:val="004D28AF"/>
    <w:rsid w:val="004D5D42"/>
    <w:rsid w:val="004E036D"/>
    <w:rsid w:val="004E79D7"/>
    <w:rsid w:val="004F178B"/>
    <w:rsid w:val="004F29EC"/>
    <w:rsid w:val="004F3A44"/>
    <w:rsid w:val="004F520E"/>
    <w:rsid w:val="00503D4B"/>
    <w:rsid w:val="0050492C"/>
    <w:rsid w:val="00506C7A"/>
    <w:rsid w:val="00513D9F"/>
    <w:rsid w:val="0052086F"/>
    <w:rsid w:val="0053026B"/>
    <w:rsid w:val="0053043A"/>
    <w:rsid w:val="00533DF5"/>
    <w:rsid w:val="00536229"/>
    <w:rsid w:val="00540B9F"/>
    <w:rsid w:val="00546F62"/>
    <w:rsid w:val="00551399"/>
    <w:rsid w:val="00557E60"/>
    <w:rsid w:val="0056468D"/>
    <w:rsid w:val="00574220"/>
    <w:rsid w:val="00580722"/>
    <w:rsid w:val="00582489"/>
    <w:rsid w:val="00586115"/>
    <w:rsid w:val="0059090B"/>
    <w:rsid w:val="005917AD"/>
    <w:rsid w:val="005929EF"/>
    <w:rsid w:val="00592C38"/>
    <w:rsid w:val="0059585E"/>
    <w:rsid w:val="005B151D"/>
    <w:rsid w:val="005B312B"/>
    <w:rsid w:val="005C31D3"/>
    <w:rsid w:val="005C7DF1"/>
    <w:rsid w:val="005D17E2"/>
    <w:rsid w:val="005D1BAC"/>
    <w:rsid w:val="005D2A2B"/>
    <w:rsid w:val="005D709F"/>
    <w:rsid w:val="005E5772"/>
    <w:rsid w:val="005F254D"/>
    <w:rsid w:val="005F3381"/>
    <w:rsid w:val="005F64A2"/>
    <w:rsid w:val="005F772F"/>
    <w:rsid w:val="00606CEF"/>
    <w:rsid w:val="0060751A"/>
    <w:rsid w:val="00610F8E"/>
    <w:rsid w:val="00612027"/>
    <w:rsid w:val="00613DE5"/>
    <w:rsid w:val="00614019"/>
    <w:rsid w:val="006157EA"/>
    <w:rsid w:val="00630EB8"/>
    <w:rsid w:val="00637AC1"/>
    <w:rsid w:val="00637C88"/>
    <w:rsid w:val="00643AA0"/>
    <w:rsid w:val="00644CD9"/>
    <w:rsid w:val="0064544E"/>
    <w:rsid w:val="0065580A"/>
    <w:rsid w:val="00655CE8"/>
    <w:rsid w:val="00664476"/>
    <w:rsid w:val="006665C7"/>
    <w:rsid w:val="006666DD"/>
    <w:rsid w:val="00672666"/>
    <w:rsid w:val="0067650F"/>
    <w:rsid w:val="006806CA"/>
    <w:rsid w:val="00683869"/>
    <w:rsid w:val="00683A04"/>
    <w:rsid w:val="00694CEF"/>
    <w:rsid w:val="00695720"/>
    <w:rsid w:val="006A3214"/>
    <w:rsid w:val="006A4975"/>
    <w:rsid w:val="006A5FEB"/>
    <w:rsid w:val="006B2397"/>
    <w:rsid w:val="006B5D06"/>
    <w:rsid w:val="006B6E51"/>
    <w:rsid w:val="006C63ED"/>
    <w:rsid w:val="006D0574"/>
    <w:rsid w:val="006D0B0E"/>
    <w:rsid w:val="006D2134"/>
    <w:rsid w:val="006D3D9F"/>
    <w:rsid w:val="006E1814"/>
    <w:rsid w:val="006E4EA4"/>
    <w:rsid w:val="006F66CB"/>
    <w:rsid w:val="006F79C4"/>
    <w:rsid w:val="007018BC"/>
    <w:rsid w:val="00701BC2"/>
    <w:rsid w:val="007020FF"/>
    <w:rsid w:val="0070327B"/>
    <w:rsid w:val="00703354"/>
    <w:rsid w:val="007110B3"/>
    <w:rsid w:val="00713EC5"/>
    <w:rsid w:val="0071755B"/>
    <w:rsid w:val="00726066"/>
    <w:rsid w:val="00726D70"/>
    <w:rsid w:val="00731725"/>
    <w:rsid w:val="007351CB"/>
    <w:rsid w:val="00735AAC"/>
    <w:rsid w:val="00735EAB"/>
    <w:rsid w:val="00742B4D"/>
    <w:rsid w:val="007479FB"/>
    <w:rsid w:val="00751263"/>
    <w:rsid w:val="0075295A"/>
    <w:rsid w:val="00752EE5"/>
    <w:rsid w:val="0075712A"/>
    <w:rsid w:val="00757926"/>
    <w:rsid w:val="00760A3D"/>
    <w:rsid w:val="00762CC2"/>
    <w:rsid w:val="0076353E"/>
    <w:rsid w:val="00763EFA"/>
    <w:rsid w:val="00770B30"/>
    <w:rsid w:val="00770FF9"/>
    <w:rsid w:val="00775C36"/>
    <w:rsid w:val="00780531"/>
    <w:rsid w:val="00785B17"/>
    <w:rsid w:val="0078686C"/>
    <w:rsid w:val="007919E9"/>
    <w:rsid w:val="007A0473"/>
    <w:rsid w:val="007A3B5C"/>
    <w:rsid w:val="007A5004"/>
    <w:rsid w:val="007B5B8A"/>
    <w:rsid w:val="007C1414"/>
    <w:rsid w:val="007C5FF1"/>
    <w:rsid w:val="007D038A"/>
    <w:rsid w:val="007D1B4F"/>
    <w:rsid w:val="007D3DA3"/>
    <w:rsid w:val="007D45E5"/>
    <w:rsid w:val="007D4EA2"/>
    <w:rsid w:val="007E1D12"/>
    <w:rsid w:val="007E5EC1"/>
    <w:rsid w:val="007E6112"/>
    <w:rsid w:val="007E69CE"/>
    <w:rsid w:val="007F3B15"/>
    <w:rsid w:val="007F7D3D"/>
    <w:rsid w:val="00800311"/>
    <w:rsid w:val="00801222"/>
    <w:rsid w:val="00802298"/>
    <w:rsid w:val="008054A2"/>
    <w:rsid w:val="00805963"/>
    <w:rsid w:val="0080610A"/>
    <w:rsid w:val="008100F9"/>
    <w:rsid w:val="00820AB4"/>
    <w:rsid w:val="00830781"/>
    <w:rsid w:val="008315CB"/>
    <w:rsid w:val="00831B8E"/>
    <w:rsid w:val="00831C4E"/>
    <w:rsid w:val="00833FB4"/>
    <w:rsid w:val="008365FB"/>
    <w:rsid w:val="00841CEE"/>
    <w:rsid w:val="00842554"/>
    <w:rsid w:val="00843A2A"/>
    <w:rsid w:val="00847E27"/>
    <w:rsid w:val="008520A9"/>
    <w:rsid w:val="00854492"/>
    <w:rsid w:val="0085605A"/>
    <w:rsid w:val="00860F87"/>
    <w:rsid w:val="008619DD"/>
    <w:rsid w:val="008637E3"/>
    <w:rsid w:val="0088190E"/>
    <w:rsid w:val="00882EFA"/>
    <w:rsid w:val="00883703"/>
    <w:rsid w:val="008913D6"/>
    <w:rsid w:val="00891BE8"/>
    <w:rsid w:val="00892510"/>
    <w:rsid w:val="00894A87"/>
    <w:rsid w:val="008A2DAE"/>
    <w:rsid w:val="008A51A3"/>
    <w:rsid w:val="008A7BB9"/>
    <w:rsid w:val="008B6F15"/>
    <w:rsid w:val="008C2714"/>
    <w:rsid w:val="008C7EA6"/>
    <w:rsid w:val="008D16EE"/>
    <w:rsid w:val="008D43EE"/>
    <w:rsid w:val="008D4ADD"/>
    <w:rsid w:val="008F09AD"/>
    <w:rsid w:val="008F368B"/>
    <w:rsid w:val="008F40F1"/>
    <w:rsid w:val="008F7F73"/>
    <w:rsid w:val="00901F4A"/>
    <w:rsid w:val="00903C18"/>
    <w:rsid w:val="0090757A"/>
    <w:rsid w:val="0091290F"/>
    <w:rsid w:val="00917CAF"/>
    <w:rsid w:val="00920254"/>
    <w:rsid w:val="00923083"/>
    <w:rsid w:val="009303F4"/>
    <w:rsid w:val="00931A1C"/>
    <w:rsid w:val="00942CC5"/>
    <w:rsid w:val="00946CFB"/>
    <w:rsid w:val="00953FE5"/>
    <w:rsid w:val="00956366"/>
    <w:rsid w:val="0095656B"/>
    <w:rsid w:val="009579F9"/>
    <w:rsid w:val="00960F24"/>
    <w:rsid w:val="00964AB7"/>
    <w:rsid w:val="009733AE"/>
    <w:rsid w:val="00980D82"/>
    <w:rsid w:val="00986247"/>
    <w:rsid w:val="009A1FC0"/>
    <w:rsid w:val="009A3C6E"/>
    <w:rsid w:val="009A6C03"/>
    <w:rsid w:val="009A6D58"/>
    <w:rsid w:val="009B15DD"/>
    <w:rsid w:val="009B408D"/>
    <w:rsid w:val="009C381F"/>
    <w:rsid w:val="009C5965"/>
    <w:rsid w:val="009D16CC"/>
    <w:rsid w:val="009D4F89"/>
    <w:rsid w:val="009D7AB6"/>
    <w:rsid w:val="009D7DA5"/>
    <w:rsid w:val="009E04FC"/>
    <w:rsid w:val="009E1740"/>
    <w:rsid w:val="009E3C59"/>
    <w:rsid w:val="009E7094"/>
    <w:rsid w:val="009E778B"/>
    <w:rsid w:val="009F2DB0"/>
    <w:rsid w:val="009F5A22"/>
    <w:rsid w:val="00A01D7F"/>
    <w:rsid w:val="00A03F38"/>
    <w:rsid w:val="00A06790"/>
    <w:rsid w:val="00A10AB7"/>
    <w:rsid w:val="00A128A4"/>
    <w:rsid w:val="00A15410"/>
    <w:rsid w:val="00A16F93"/>
    <w:rsid w:val="00A22BDB"/>
    <w:rsid w:val="00A2375F"/>
    <w:rsid w:val="00A24C5A"/>
    <w:rsid w:val="00A27E0A"/>
    <w:rsid w:val="00A30FC1"/>
    <w:rsid w:val="00A34088"/>
    <w:rsid w:val="00A34284"/>
    <w:rsid w:val="00A359A3"/>
    <w:rsid w:val="00A41DB7"/>
    <w:rsid w:val="00A41EA5"/>
    <w:rsid w:val="00A4290A"/>
    <w:rsid w:val="00A44431"/>
    <w:rsid w:val="00A4760A"/>
    <w:rsid w:val="00A512A2"/>
    <w:rsid w:val="00A550DF"/>
    <w:rsid w:val="00A56EA8"/>
    <w:rsid w:val="00A56EF8"/>
    <w:rsid w:val="00A56F08"/>
    <w:rsid w:val="00A571C9"/>
    <w:rsid w:val="00A607FD"/>
    <w:rsid w:val="00A64624"/>
    <w:rsid w:val="00A67A97"/>
    <w:rsid w:val="00A708E3"/>
    <w:rsid w:val="00A7215B"/>
    <w:rsid w:val="00A809AF"/>
    <w:rsid w:val="00A81B72"/>
    <w:rsid w:val="00A82A91"/>
    <w:rsid w:val="00A9377F"/>
    <w:rsid w:val="00A93FF4"/>
    <w:rsid w:val="00AB5F98"/>
    <w:rsid w:val="00AC2EF2"/>
    <w:rsid w:val="00AC5704"/>
    <w:rsid w:val="00AC6AE7"/>
    <w:rsid w:val="00AD1FC3"/>
    <w:rsid w:val="00AD2A52"/>
    <w:rsid w:val="00AD489B"/>
    <w:rsid w:val="00AD4E7E"/>
    <w:rsid w:val="00AD70DB"/>
    <w:rsid w:val="00AE4FEB"/>
    <w:rsid w:val="00AE6E7F"/>
    <w:rsid w:val="00B104A3"/>
    <w:rsid w:val="00B118E3"/>
    <w:rsid w:val="00B11936"/>
    <w:rsid w:val="00B14156"/>
    <w:rsid w:val="00B1534F"/>
    <w:rsid w:val="00B45FC8"/>
    <w:rsid w:val="00B54A52"/>
    <w:rsid w:val="00B550B4"/>
    <w:rsid w:val="00B55296"/>
    <w:rsid w:val="00B552BD"/>
    <w:rsid w:val="00B55451"/>
    <w:rsid w:val="00B55754"/>
    <w:rsid w:val="00B61709"/>
    <w:rsid w:val="00B61B46"/>
    <w:rsid w:val="00B6428F"/>
    <w:rsid w:val="00B71FE7"/>
    <w:rsid w:val="00B72EED"/>
    <w:rsid w:val="00B76A5E"/>
    <w:rsid w:val="00B77E87"/>
    <w:rsid w:val="00B80175"/>
    <w:rsid w:val="00B96FEA"/>
    <w:rsid w:val="00BA066F"/>
    <w:rsid w:val="00BA1B0D"/>
    <w:rsid w:val="00BA72C9"/>
    <w:rsid w:val="00BB4EB6"/>
    <w:rsid w:val="00BC247A"/>
    <w:rsid w:val="00BC3802"/>
    <w:rsid w:val="00BC443A"/>
    <w:rsid w:val="00BD0296"/>
    <w:rsid w:val="00BD4E6B"/>
    <w:rsid w:val="00BE6FD6"/>
    <w:rsid w:val="00BE792D"/>
    <w:rsid w:val="00BE7AC0"/>
    <w:rsid w:val="00BF15D4"/>
    <w:rsid w:val="00BF18C0"/>
    <w:rsid w:val="00BF191D"/>
    <w:rsid w:val="00BF44E9"/>
    <w:rsid w:val="00BF605F"/>
    <w:rsid w:val="00C05F67"/>
    <w:rsid w:val="00C07EA7"/>
    <w:rsid w:val="00C12917"/>
    <w:rsid w:val="00C14706"/>
    <w:rsid w:val="00C15940"/>
    <w:rsid w:val="00C17332"/>
    <w:rsid w:val="00C2119D"/>
    <w:rsid w:val="00C24F24"/>
    <w:rsid w:val="00C25C6A"/>
    <w:rsid w:val="00C264BF"/>
    <w:rsid w:val="00C37492"/>
    <w:rsid w:val="00C41672"/>
    <w:rsid w:val="00C438AB"/>
    <w:rsid w:val="00C439BC"/>
    <w:rsid w:val="00C457BC"/>
    <w:rsid w:val="00C47AD6"/>
    <w:rsid w:val="00C5036E"/>
    <w:rsid w:val="00C50D31"/>
    <w:rsid w:val="00C5323C"/>
    <w:rsid w:val="00C56F92"/>
    <w:rsid w:val="00C6248A"/>
    <w:rsid w:val="00C63711"/>
    <w:rsid w:val="00C65F3B"/>
    <w:rsid w:val="00C70481"/>
    <w:rsid w:val="00C71162"/>
    <w:rsid w:val="00C71B59"/>
    <w:rsid w:val="00C75C82"/>
    <w:rsid w:val="00C9274D"/>
    <w:rsid w:val="00C93396"/>
    <w:rsid w:val="00C97000"/>
    <w:rsid w:val="00CA1D45"/>
    <w:rsid w:val="00CA2754"/>
    <w:rsid w:val="00CA2783"/>
    <w:rsid w:val="00CB244B"/>
    <w:rsid w:val="00CB6B53"/>
    <w:rsid w:val="00CB77DB"/>
    <w:rsid w:val="00CC3EF7"/>
    <w:rsid w:val="00CC6175"/>
    <w:rsid w:val="00CD00EB"/>
    <w:rsid w:val="00CD03A3"/>
    <w:rsid w:val="00CD132E"/>
    <w:rsid w:val="00CD31B4"/>
    <w:rsid w:val="00CD4CA0"/>
    <w:rsid w:val="00CD63FC"/>
    <w:rsid w:val="00CF3E1F"/>
    <w:rsid w:val="00CF4727"/>
    <w:rsid w:val="00CF7887"/>
    <w:rsid w:val="00D07D0F"/>
    <w:rsid w:val="00D121A2"/>
    <w:rsid w:val="00D15D43"/>
    <w:rsid w:val="00D22272"/>
    <w:rsid w:val="00D228BA"/>
    <w:rsid w:val="00D2349D"/>
    <w:rsid w:val="00D261DD"/>
    <w:rsid w:val="00D35C3A"/>
    <w:rsid w:val="00D35F51"/>
    <w:rsid w:val="00D369B2"/>
    <w:rsid w:val="00D41101"/>
    <w:rsid w:val="00D50453"/>
    <w:rsid w:val="00D50F5D"/>
    <w:rsid w:val="00D55978"/>
    <w:rsid w:val="00D55A6F"/>
    <w:rsid w:val="00D563A2"/>
    <w:rsid w:val="00D62826"/>
    <w:rsid w:val="00D632A8"/>
    <w:rsid w:val="00D63749"/>
    <w:rsid w:val="00D64220"/>
    <w:rsid w:val="00D7450C"/>
    <w:rsid w:val="00D84FFE"/>
    <w:rsid w:val="00D85B58"/>
    <w:rsid w:val="00D917E1"/>
    <w:rsid w:val="00D96B4E"/>
    <w:rsid w:val="00D97DBE"/>
    <w:rsid w:val="00DA0576"/>
    <w:rsid w:val="00DA0EC2"/>
    <w:rsid w:val="00DA1B66"/>
    <w:rsid w:val="00DA1CF1"/>
    <w:rsid w:val="00DA2499"/>
    <w:rsid w:val="00DA69A5"/>
    <w:rsid w:val="00DB062F"/>
    <w:rsid w:val="00DB1EBD"/>
    <w:rsid w:val="00DB2032"/>
    <w:rsid w:val="00DB4E64"/>
    <w:rsid w:val="00DC38EE"/>
    <w:rsid w:val="00DD6495"/>
    <w:rsid w:val="00DE46DE"/>
    <w:rsid w:val="00DE4F88"/>
    <w:rsid w:val="00DF3648"/>
    <w:rsid w:val="00DF3BB3"/>
    <w:rsid w:val="00DF69E3"/>
    <w:rsid w:val="00E0417B"/>
    <w:rsid w:val="00E05F10"/>
    <w:rsid w:val="00E12EB8"/>
    <w:rsid w:val="00E13386"/>
    <w:rsid w:val="00E147D4"/>
    <w:rsid w:val="00E157AA"/>
    <w:rsid w:val="00E203E5"/>
    <w:rsid w:val="00E25DE1"/>
    <w:rsid w:val="00E31FE3"/>
    <w:rsid w:val="00E3504B"/>
    <w:rsid w:val="00E35F53"/>
    <w:rsid w:val="00E42B4F"/>
    <w:rsid w:val="00E43B83"/>
    <w:rsid w:val="00E46543"/>
    <w:rsid w:val="00E50691"/>
    <w:rsid w:val="00E56BDC"/>
    <w:rsid w:val="00E603AD"/>
    <w:rsid w:val="00E617CF"/>
    <w:rsid w:val="00E65F10"/>
    <w:rsid w:val="00E70501"/>
    <w:rsid w:val="00E714A6"/>
    <w:rsid w:val="00E73B1B"/>
    <w:rsid w:val="00E80EF1"/>
    <w:rsid w:val="00E828CE"/>
    <w:rsid w:val="00E84326"/>
    <w:rsid w:val="00E84BA7"/>
    <w:rsid w:val="00E8730A"/>
    <w:rsid w:val="00E92395"/>
    <w:rsid w:val="00E92DD7"/>
    <w:rsid w:val="00E93B9F"/>
    <w:rsid w:val="00E9479B"/>
    <w:rsid w:val="00E960C4"/>
    <w:rsid w:val="00EA18F1"/>
    <w:rsid w:val="00EA5132"/>
    <w:rsid w:val="00EA798C"/>
    <w:rsid w:val="00EB11BD"/>
    <w:rsid w:val="00EB23F9"/>
    <w:rsid w:val="00EB2942"/>
    <w:rsid w:val="00EB2D20"/>
    <w:rsid w:val="00EB4026"/>
    <w:rsid w:val="00EB58FB"/>
    <w:rsid w:val="00EC57EE"/>
    <w:rsid w:val="00ED04CB"/>
    <w:rsid w:val="00ED080B"/>
    <w:rsid w:val="00ED11CF"/>
    <w:rsid w:val="00EE45DE"/>
    <w:rsid w:val="00EE7AD0"/>
    <w:rsid w:val="00EF48E5"/>
    <w:rsid w:val="00F0125E"/>
    <w:rsid w:val="00F07E1F"/>
    <w:rsid w:val="00F11F92"/>
    <w:rsid w:val="00F128A0"/>
    <w:rsid w:val="00F15355"/>
    <w:rsid w:val="00F20D29"/>
    <w:rsid w:val="00F3145F"/>
    <w:rsid w:val="00F350CF"/>
    <w:rsid w:val="00F37118"/>
    <w:rsid w:val="00F4078E"/>
    <w:rsid w:val="00F438AE"/>
    <w:rsid w:val="00F46F18"/>
    <w:rsid w:val="00F51DFE"/>
    <w:rsid w:val="00F5258E"/>
    <w:rsid w:val="00F54FD8"/>
    <w:rsid w:val="00F61CCB"/>
    <w:rsid w:val="00F73773"/>
    <w:rsid w:val="00F81ED8"/>
    <w:rsid w:val="00F929EF"/>
    <w:rsid w:val="00F97D93"/>
    <w:rsid w:val="00FA9AEA"/>
    <w:rsid w:val="00FB2EF0"/>
    <w:rsid w:val="00FB4847"/>
    <w:rsid w:val="00FC0D0B"/>
    <w:rsid w:val="00FC3B45"/>
    <w:rsid w:val="00FD1285"/>
    <w:rsid w:val="00FD2BBC"/>
    <w:rsid w:val="00FD5A01"/>
    <w:rsid w:val="00FE641D"/>
    <w:rsid w:val="00FE718E"/>
    <w:rsid w:val="00FF1381"/>
    <w:rsid w:val="00FF301B"/>
    <w:rsid w:val="0178CDB4"/>
    <w:rsid w:val="01AD6B29"/>
    <w:rsid w:val="02AA9B0D"/>
    <w:rsid w:val="0308FF5F"/>
    <w:rsid w:val="03D2961E"/>
    <w:rsid w:val="054AB68F"/>
    <w:rsid w:val="058CD2C3"/>
    <w:rsid w:val="05905DB9"/>
    <w:rsid w:val="059D3366"/>
    <w:rsid w:val="05FE1158"/>
    <w:rsid w:val="060D7A53"/>
    <w:rsid w:val="06767A7D"/>
    <w:rsid w:val="0698C51A"/>
    <w:rsid w:val="07AF53D1"/>
    <w:rsid w:val="081BC5A8"/>
    <w:rsid w:val="0822B1E2"/>
    <w:rsid w:val="084174A9"/>
    <w:rsid w:val="08AF7174"/>
    <w:rsid w:val="08ED3646"/>
    <w:rsid w:val="09A82571"/>
    <w:rsid w:val="09EFA8D6"/>
    <w:rsid w:val="0A49A558"/>
    <w:rsid w:val="0ABBF316"/>
    <w:rsid w:val="0AFD9F10"/>
    <w:rsid w:val="0B046D64"/>
    <w:rsid w:val="0B047FEF"/>
    <w:rsid w:val="0B4566E1"/>
    <w:rsid w:val="0C2FCFF2"/>
    <w:rsid w:val="0C407985"/>
    <w:rsid w:val="0CB68428"/>
    <w:rsid w:val="0D424155"/>
    <w:rsid w:val="0D7757A7"/>
    <w:rsid w:val="0D8B922B"/>
    <w:rsid w:val="0DA72773"/>
    <w:rsid w:val="0DC3271B"/>
    <w:rsid w:val="0E0F5D55"/>
    <w:rsid w:val="0EE8025C"/>
    <w:rsid w:val="0F89E50C"/>
    <w:rsid w:val="0FE082B0"/>
    <w:rsid w:val="10349A53"/>
    <w:rsid w:val="10AEAD76"/>
    <w:rsid w:val="1196B326"/>
    <w:rsid w:val="11D29B43"/>
    <w:rsid w:val="1323CEE7"/>
    <w:rsid w:val="13326303"/>
    <w:rsid w:val="13C729B6"/>
    <w:rsid w:val="14615F16"/>
    <w:rsid w:val="14D9F926"/>
    <w:rsid w:val="15454E62"/>
    <w:rsid w:val="157D2B43"/>
    <w:rsid w:val="158229F2"/>
    <w:rsid w:val="15B016EE"/>
    <w:rsid w:val="161E5A80"/>
    <w:rsid w:val="164D44A1"/>
    <w:rsid w:val="167CA168"/>
    <w:rsid w:val="182C3A8A"/>
    <w:rsid w:val="1897DEF3"/>
    <w:rsid w:val="18B6A055"/>
    <w:rsid w:val="1910952D"/>
    <w:rsid w:val="19299F1E"/>
    <w:rsid w:val="19EBFD66"/>
    <w:rsid w:val="19FEF0B3"/>
    <w:rsid w:val="1A789B8D"/>
    <w:rsid w:val="1A8572E7"/>
    <w:rsid w:val="1B7EF217"/>
    <w:rsid w:val="1BCB7B8C"/>
    <w:rsid w:val="1BE62CA0"/>
    <w:rsid w:val="1C275BDC"/>
    <w:rsid w:val="1C3F568A"/>
    <w:rsid w:val="1C4CF65D"/>
    <w:rsid w:val="1CE23F7D"/>
    <w:rsid w:val="1D243A02"/>
    <w:rsid w:val="1D5E2785"/>
    <w:rsid w:val="1D8535F6"/>
    <w:rsid w:val="1E0B8B09"/>
    <w:rsid w:val="1E18A84D"/>
    <w:rsid w:val="1E7D1D28"/>
    <w:rsid w:val="1EA81C4B"/>
    <w:rsid w:val="1EBBF2C5"/>
    <w:rsid w:val="1F0C5FD1"/>
    <w:rsid w:val="20A0C726"/>
    <w:rsid w:val="212023D6"/>
    <w:rsid w:val="218F9C0F"/>
    <w:rsid w:val="21B0A130"/>
    <w:rsid w:val="21C9FAB4"/>
    <w:rsid w:val="21EA723B"/>
    <w:rsid w:val="22135A3A"/>
    <w:rsid w:val="225231AF"/>
    <w:rsid w:val="227DC67E"/>
    <w:rsid w:val="22BCADB1"/>
    <w:rsid w:val="22D5272B"/>
    <w:rsid w:val="232B386D"/>
    <w:rsid w:val="234CD20D"/>
    <w:rsid w:val="235E7419"/>
    <w:rsid w:val="248AF62A"/>
    <w:rsid w:val="24B605B1"/>
    <w:rsid w:val="24C1B2A9"/>
    <w:rsid w:val="24F7585A"/>
    <w:rsid w:val="25095B5F"/>
    <w:rsid w:val="2511D3F0"/>
    <w:rsid w:val="2540A1F6"/>
    <w:rsid w:val="254DAC6A"/>
    <w:rsid w:val="257DD33E"/>
    <w:rsid w:val="259A8EC3"/>
    <w:rsid w:val="25CAA7EA"/>
    <w:rsid w:val="25D6F2FD"/>
    <w:rsid w:val="2661C1B2"/>
    <w:rsid w:val="26864AC5"/>
    <w:rsid w:val="26A3DF08"/>
    <w:rsid w:val="26F94BCC"/>
    <w:rsid w:val="28DBA636"/>
    <w:rsid w:val="28E50692"/>
    <w:rsid w:val="295F3EAB"/>
    <w:rsid w:val="2999CE8A"/>
    <w:rsid w:val="29BB8D0F"/>
    <w:rsid w:val="2A0C1A19"/>
    <w:rsid w:val="2A3C4BE1"/>
    <w:rsid w:val="2A496884"/>
    <w:rsid w:val="2A5B3CC4"/>
    <w:rsid w:val="2A9F2742"/>
    <w:rsid w:val="2AEE4CB7"/>
    <w:rsid w:val="2B4B78A9"/>
    <w:rsid w:val="2B8B8D8C"/>
    <w:rsid w:val="2B962B3D"/>
    <w:rsid w:val="2C3EC4EE"/>
    <w:rsid w:val="2C6C041C"/>
    <w:rsid w:val="2CE44743"/>
    <w:rsid w:val="2D20E83A"/>
    <w:rsid w:val="2D32672A"/>
    <w:rsid w:val="2D3C7E70"/>
    <w:rsid w:val="2DBD1CD5"/>
    <w:rsid w:val="2DCB98DD"/>
    <w:rsid w:val="2DFC3D8C"/>
    <w:rsid w:val="2E70E2D9"/>
    <w:rsid w:val="2EA0F56E"/>
    <w:rsid w:val="2EB28B56"/>
    <w:rsid w:val="2F303BD9"/>
    <w:rsid w:val="3034DF8E"/>
    <w:rsid w:val="3040AD7F"/>
    <w:rsid w:val="3083C6FA"/>
    <w:rsid w:val="30C257FE"/>
    <w:rsid w:val="30D565C4"/>
    <w:rsid w:val="3136534C"/>
    <w:rsid w:val="313AB717"/>
    <w:rsid w:val="31A67C7F"/>
    <w:rsid w:val="324C2FD0"/>
    <w:rsid w:val="325BE026"/>
    <w:rsid w:val="3276DA7F"/>
    <w:rsid w:val="3290D639"/>
    <w:rsid w:val="32938A0A"/>
    <w:rsid w:val="333D4900"/>
    <w:rsid w:val="337E0380"/>
    <w:rsid w:val="3390CE8B"/>
    <w:rsid w:val="33A0662B"/>
    <w:rsid w:val="348EE5B0"/>
    <w:rsid w:val="34B0D158"/>
    <w:rsid w:val="3506F2D0"/>
    <w:rsid w:val="352AEE7A"/>
    <w:rsid w:val="35375A4E"/>
    <w:rsid w:val="354874E8"/>
    <w:rsid w:val="36D32F99"/>
    <w:rsid w:val="376CFA5B"/>
    <w:rsid w:val="37E52839"/>
    <w:rsid w:val="3801963C"/>
    <w:rsid w:val="381579B6"/>
    <w:rsid w:val="38251348"/>
    <w:rsid w:val="3868D927"/>
    <w:rsid w:val="38707DA7"/>
    <w:rsid w:val="394C5121"/>
    <w:rsid w:val="3AD82742"/>
    <w:rsid w:val="3BD53506"/>
    <w:rsid w:val="3C1590C5"/>
    <w:rsid w:val="3C46C859"/>
    <w:rsid w:val="3C57E52A"/>
    <w:rsid w:val="3C5F8A52"/>
    <w:rsid w:val="3C7389D1"/>
    <w:rsid w:val="3D06C215"/>
    <w:rsid w:val="3D081BD9"/>
    <w:rsid w:val="3E492334"/>
    <w:rsid w:val="3EABF87E"/>
    <w:rsid w:val="3F0BF13A"/>
    <w:rsid w:val="3F338DB6"/>
    <w:rsid w:val="4010E664"/>
    <w:rsid w:val="408D29CF"/>
    <w:rsid w:val="40E03E55"/>
    <w:rsid w:val="413D0FC9"/>
    <w:rsid w:val="41E8D4A8"/>
    <w:rsid w:val="42287284"/>
    <w:rsid w:val="4254CB8E"/>
    <w:rsid w:val="42A2522E"/>
    <w:rsid w:val="42D6D8E5"/>
    <w:rsid w:val="4303E0D3"/>
    <w:rsid w:val="433E7400"/>
    <w:rsid w:val="44188E26"/>
    <w:rsid w:val="446A4778"/>
    <w:rsid w:val="448166FD"/>
    <w:rsid w:val="452244E9"/>
    <w:rsid w:val="45942B60"/>
    <w:rsid w:val="471E5A81"/>
    <w:rsid w:val="47CBBC61"/>
    <w:rsid w:val="483FDF28"/>
    <w:rsid w:val="48D31AE1"/>
    <w:rsid w:val="49AFE4AC"/>
    <w:rsid w:val="49BB3BA4"/>
    <w:rsid w:val="4A1D4904"/>
    <w:rsid w:val="4A5F8A8D"/>
    <w:rsid w:val="4A71EEE3"/>
    <w:rsid w:val="4A823EB3"/>
    <w:rsid w:val="4ADF440B"/>
    <w:rsid w:val="4AE7962E"/>
    <w:rsid w:val="4CEE1283"/>
    <w:rsid w:val="4D2BEE1C"/>
    <w:rsid w:val="4D34A061"/>
    <w:rsid w:val="4D4CD946"/>
    <w:rsid w:val="4DF48252"/>
    <w:rsid w:val="4EDC8285"/>
    <w:rsid w:val="4F0D2837"/>
    <w:rsid w:val="4F4488B6"/>
    <w:rsid w:val="4FE4BBED"/>
    <w:rsid w:val="4FF1824C"/>
    <w:rsid w:val="504BCDC0"/>
    <w:rsid w:val="508D28C5"/>
    <w:rsid w:val="50A95FA5"/>
    <w:rsid w:val="512439D3"/>
    <w:rsid w:val="5159EDC7"/>
    <w:rsid w:val="51E2AAEF"/>
    <w:rsid w:val="51EA6EC8"/>
    <w:rsid w:val="5239F496"/>
    <w:rsid w:val="5248D383"/>
    <w:rsid w:val="53C14598"/>
    <w:rsid w:val="5407124C"/>
    <w:rsid w:val="54370C99"/>
    <w:rsid w:val="548F95FC"/>
    <w:rsid w:val="54F31139"/>
    <w:rsid w:val="554EFD19"/>
    <w:rsid w:val="55F49A58"/>
    <w:rsid w:val="5622C489"/>
    <w:rsid w:val="56450E89"/>
    <w:rsid w:val="56E6216F"/>
    <w:rsid w:val="5794AE4F"/>
    <w:rsid w:val="57A5678B"/>
    <w:rsid w:val="57D2798A"/>
    <w:rsid w:val="57D4187B"/>
    <w:rsid w:val="57FE024E"/>
    <w:rsid w:val="581175B4"/>
    <w:rsid w:val="58895FDC"/>
    <w:rsid w:val="58B54903"/>
    <w:rsid w:val="58BA0E16"/>
    <w:rsid w:val="59780957"/>
    <w:rsid w:val="5A609B04"/>
    <w:rsid w:val="5A8B1961"/>
    <w:rsid w:val="5AFDE090"/>
    <w:rsid w:val="5B1520B8"/>
    <w:rsid w:val="5B34ACF3"/>
    <w:rsid w:val="5B4D19C0"/>
    <w:rsid w:val="5B8B186A"/>
    <w:rsid w:val="5BCB7FB9"/>
    <w:rsid w:val="5BF593B5"/>
    <w:rsid w:val="5C123642"/>
    <w:rsid w:val="5CFF272A"/>
    <w:rsid w:val="5D806868"/>
    <w:rsid w:val="5D90265E"/>
    <w:rsid w:val="5E4A8626"/>
    <w:rsid w:val="5F3FA05C"/>
    <w:rsid w:val="5F5EB645"/>
    <w:rsid w:val="5FB608BB"/>
    <w:rsid w:val="5FC80562"/>
    <w:rsid w:val="6000D91F"/>
    <w:rsid w:val="6065EA22"/>
    <w:rsid w:val="60993180"/>
    <w:rsid w:val="60BA4F82"/>
    <w:rsid w:val="60E99832"/>
    <w:rsid w:val="61226439"/>
    <w:rsid w:val="61906D04"/>
    <w:rsid w:val="61B513B3"/>
    <w:rsid w:val="621690FF"/>
    <w:rsid w:val="6231BF04"/>
    <w:rsid w:val="625DC7D4"/>
    <w:rsid w:val="62A547BA"/>
    <w:rsid w:val="62C76A21"/>
    <w:rsid w:val="632ED27E"/>
    <w:rsid w:val="63398259"/>
    <w:rsid w:val="635FC242"/>
    <w:rsid w:val="63B7A340"/>
    <w:rsid w:val="63B934B2"/>
    <w:rsid w:val="643046F1"/>
    <w:rsid w:val="64377CBC"/>
    <w:rsid w:val="64CE26F7"/>
    <w:rsid w:val="64D46887"/>
    <w:rsid w:val="64DBD6FE"/>
    <w:rsid w:val="65523D52"/>
    <w:rsid w:val="65556020"/>
    <w:rsid w:val="65D6BE0E"/>
    <w:rsid w:val="66B9BBDB"/>
    <w:rsid w:val="673F29F6"/>
    <w:rsid w:val="67E961E9"/>
    <w:rsid w:val="6800238C"/>
    <w:rsid w:val="6890F804"/>
    <w:rsid w:val="69000E42"/>
    <w:rsid w:val="69137E4C"/>
    <w:rsid w:val="693AC71E"/>
    <w:rsid w:val="693F7F5E"/>
    <w:rsid w:val="69459430"/>
    <w:rsid w:val="69C1D16B"/>
    <w:rsid w:val="6A30CB4D"/>
    <w:rsid w:val="6A68F2D6"/>
    <w:rsid w:val="6A739283"/>
    <w:rsid w:val="6AA100CF"/>
    <w:rsid w:val="6B14162C"/>
    <w:rsid w:val="6BD7FF7B"/>
    <w:rsid w:val="6BE16F16"/>
    <w:rsid w:val="6C0A70E8"/>
    <w:rsid w:val="6C2F0279"/>
    <w:rsid w:val="6C82211E"/>
    <w:rsid w:val="6C842E3F"/>
    <w:rsid w:val="6D087A05"/>
    <w:rsid w:val="6D21040C"/>
    <w:rsid w:val="6D9B7EE1"/>
    <w:rsid w:val="6E1BB405"/>
    <w:rsid w:val="6F39627F"/>
    <w:rsid w:val="6F6ACA65"/>
    <w:rsid w:val="6F9D4989"/>
    <w:rsid w:val="6FCF44AA"/>
    <w:rsid w:val="6FD8046B"/>
    <w:rsid w:val="701D1CFD"/>
    <w:rsid w:val="70D14547"/>
    <w:rsid w:val="7108C763"/>
    <w:rsid w:val="7116EC08"/>
    <w:rsid w:val="7199846D"/>
    <w:rsid w:val="71F253CF"/>
    <w:rsid w:val="7229CA6B"/>
    <w:rsid w:val="722CD151"/>
    <w:rsid w:val="72B6B220"/>
    <w:rsid w:val="72EBBA1F"/>
    <w:rsid w:val="7349E64B"/>
    <w:rsid w:val="73C2203A"/>
    <w:rsid w:val="7431E303"/>
    <w:rsid w:val="74500FD3"/>
    <w:rsid w:val="747A9079"/>
    <w:rsid w:val="751829C6"/>
    <w:rsid w:val="75441B55"/>
    <w:rsid w:val="75755DFC"/>
    <w:rsid w:val="759FEAB9"/>
    <w:rsid w:val="75BA35EF"/>
    <w:rsid w:val="75CD11BA"/>
    <w:rsid w:val="7602092F"/>
    <w:rsid w:val="7711BE57"/>
    <w:rsid w:val="7737364C"/>
    <w:rsid w:val="782ADC6E"/>
    <w:rsid w:val="788E19A0"/>
    <w:rsid w:val="78B4A194"/>
    <w:rsid w:val="78C863CC"/>
    <w:rsid w:val="797089F0"/>
    <w:rsid w:val="7A141674"/>
    <w:rsid w:val="7A8BFF6B"/>
    <w:rsid w:val="7C3CC732"/>
    <w:rsid w:val="7D390BB2"/>
    <w:rsid w:val="7DF0460A"/>
    <w:rsid w:val="7E11F12D"/>
    <w:rsid w:val="7E5D95C8"/>
    <w:rsid w:val="7E68741F"/>
    <w:rsid w:val="7EE3008A"/>
    <w:rsid w:val="7F6DAC5D"/>
    <w:rsid w:val="7FE6921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053F7A"/>
  <w15:chartTrackingRefBased/>
  <w15:docId w15:val="{C004E2C9-373D-4472-BA4A-581842126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2E3E"/>
  </w:style>
  <w:style w:type="paragraph" w:styleId="Heading1">
    <w:name w:val="heading 1"/>
    <w:link w:val="Heading1Char"/>
    <w:uiPriority w:val="9"/>
    <w:qFormat/>
    <w:rsid w:val="3390CE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link w:val="Heading2Char"/>
    <w:uiPriority w:val="9"/>
    <w:unhideWhenUsed/>
    <w:qFormat/>
    <w:rsid w:val="3390CE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link w:val="Heading3Char"/>
    <w:uiPriority w:val="9"/>
    <w:semiHidden/>
    <w:unhideWhenUsed/>
    <w:qFormat/>
    <w:rsid w:val="3390CE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link w:val="Heading4Char"/>
    <w:uiPriority w:val="9"/>
    <w:semiHidden/>
    <w:unhideWhenUsed/>
    <w:qFormat/>
    <w:rsid w:val="3390CE8B"/>
    <w:pPr>
      <w:keepNext/>
      <w:keepLines/>
      <w:spacing w:before="80" w:after="40"/>
      <w:outlineLvl w:val="3"/>
    </w:pPr>
    <w:rPr>
      <w:rFonts w:eastAsiaTheme="majorEastAsia" w:cstheme="majorBidi"/>
      <w:i/>
      <w:iCs/>
      <w:color w:val="0F4761" w:themeColor="accent1" w:themeShade="BF"/>
    </w:rPr>
  </w:style>
  <w:style w:type="paragraph" w:styleId="Heading5">
    <w:name w:val="heading 5"/>
    <w:link w:val="Heading5Char"/>
    <w:uiPriority w:val="9"/>
    <w:semiHidden/>
    <w:unhideWhenUsed/>
    <w:qFormat/>
    <w:rsid w:val="3390CE8B"/>
    <w:pPr>
      <w:keepNext/>
      <w:keepLines/>
      <w:spacing w:before="80" w:after="40"/>
      <w:outlineLvl w:val="4"/>
    </w:pPr>
    <w:rPr>
      <w:rFonts w:eastAsiaTheme="majorEastAsia" w:cstheme="majorBidi"/>
      <w:color w:val="0F4761" w:themeColor="accent1" w:themeShade="BF"/>
    </w:rPr>
  </w:style>
  <w:style w:type="paragraph" w:styleId="Heading6">
    <w:name w:val="heading 6"/>
    <w:link w:val="Heading6Char"/>
    <w:uiPriority w:val="9"/>
    <w:semiHidden/>
    <w:unhideWhenUsed/>
    <w:qFormat/>
    <w:rsid w:val="3390CE8B"/>
    <w:pPr>
      <w:keepNext/>
      <w:keepLines/>
      <w:spacing w:before="40" w:after="0"/>
      <w:outlineLvl w:val="5"/>
    </w:pPr>
    <w:rPr>
      <w:rFonts w:eastAsiaTheme="majorEastAsia" w:cstheme="majorBidi"/>
      <w:i/>
      <w:iCs/>
      <w:color w:val="595959" w:themeColor="text1" w:themeTint="A6"/>
    </w:rPr>
  </w:style>
  <w:style w:type="paragraph" w:styleId="Heading7">
    <w:name w:val="heading 7"/>
    <w:link w:val="Heading7Char"/>
    <w:uiPriority w:val="9"/>
    <w:semiHidden/>
    <w:unhideWhenUsed/>
    <w:qFormat/>
    <w:rsid w:val="3390CE8B"/>
    <w:pPr>
      <w:keepNext/>
      <w:keepLines/>
      <w:spacing w:before="40" w:after="0"/>
      <w:outlineLvl w:val="6"/>
    </w:pPr>
    <w:rPr>
      <w:rFonts w:eastAsiaTheme="majorEastAsia" w:cstheme="majorBidi"/>
      <w:color w:val="595959" w:themeColor="text1" w:themeTint="A6"/>
    </w:rPr>
  </w:style>
  <w:style w:type="paragraph" w:styleId="Heading8">
    <w:name w:val="heading 8"/>
    <w:link w:val="Heading8Char"/>
    <w:uiPriority w:val="9"/>
    <w:semiHidden/>
    <w:unhideWhenUsed/>
    <w:qFormat/>
    <w:rsid w:val="3390CE8B"/>
    <w:pPr>
      <w:keepNext/>
      <w:keepLines/>
      <w:spacing w:after="0"/>
      <w:outlineLvl w:val="7"/>
    </w:pPr>
    <w:rPr>
      <w:rFonts w:eastAsiaTheme="majorEastAsia" w:cstheme="majorBidi"/>
      <w:i/>
      <w:iCs/>
      <w:color w:val="272727"/>
    </w:rPr>
  </w:style>
  <w:style w:type="paragraph" w:styleId="Heading9">
    <w:name w:val="heading 9"/>
    <w:link w:val="Heading9Char"/>
    <w:uiPriority w:val="9"/>
    <w:semiHidden/>
    <w:unhideWhenUsed/>
    <w:qFormat/>
    <w:rsid w:val="3390CE8B"/>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3390CE8B"/>
    <w:rPr>
      <w:rFonts w:asciiTheme="majorHAnsi" w:eastAsiaTheme="majorEastAsia" w:hAnsiTheme="majorHAnsi" w:cstheme="majorBidi"/>
      <w:color w:val="0F4761" w:themeColor="accent1" w:themeShade="BF"/>
      <w:sz w:val="40"/>
      <w:szCs w:val="40"/>
    </w:rPr>
  </w:style>
  <w:style w:type="character" w:customStyle="1" w:styleId="Heading2Char">
    <w:name w:val="Heading 2 Char"/>
    <w:link w:val="Heading2"/>
    <w:uiPriority w:val="9"/>
    <w:rsid w:val="3390CE8B"/>
    <w:rPr>
      <w:rFonts w:asciiTheme="majorHAnsi" w:eastAsiaTheme="majorEastAsia" w:hAnsiTheme="majorHAnsi" w:cstheme="majorBidi"/>
      <w:color w:val="0F4761" w:themeColor="accent1" w:themeShade="BF"/>
      <w:sz w:val="32"/>
      <w:szCs w:val="32"/>
    </w:rPr>
  </w:style>
  <w:style w:type="character" w:customStyle="1" w:styleId="Heading3Char">
    <w:name w:val="Heading 3 Char"/>
    <w:link w:val="Heading3"/>
    <w:uiPriority w:val="9"/>
    <w:semiHidden/>
    <w:rsid w:val="3390CE8B"/>
    <w:rPr>
      <w:rFonts w:eastAsiaTheme="majorEastAsia" w:cstheme="majorBidi"/>
      <w:color w:val="0F4761" w:themeColor="accent1" w:themeShade="BF"/>
      <w:sz w:val="28"/>
      <w:szCs w:val="28"/>
    </w:rPr>
  </w:style>
  <w:style w:type="character" w:customStyle="1" w:styleId="Heading4Char">
    <w:name w:val="Heading 4 Char"/>
    <w:link w:val="Heading4"/>
    <w:uiPriority w:val="9"/>
    <w:semiHidden/>
    <w:rsid w:val="3390CE8B"/>
    <w:rPr>
      <w:rFonts w:eastAsiaTheme="majorEastAsia" w:cstheme="majorBidi"/>
      <w:i/>
      <w:iCs/>
      <w:color w:val="0F4761" w:themeColor="accent1" w:themeShade="BF"/>
    </w:rPr>
  </w:style>
  <w:style w:type="character" w:customStyle="1" w:styleId="Heading5Char">
    <w:name w:val="Heading 5 Char"/>
    <w:link w:val="Heading5"/>
    <w:uiPriority w:val="9"/>
    <w:semiHidden/>
    <w:rsid w:val="3390CE8B"/>
    <w:rPr>
      <w:rFonts w:eastAsiaTheme="majorEastAsia" w:cstheme="majorBidi"/>
      <w:color w:val="0F4761" w:themeColor="accent1" w:themeShade="BF"/>
    </w:rPr>
  </w:style>
  <w:style w:type="character" w:customStyle="1" w:styleId="Heading6Char">
    <w:name w:val="Heading 6 Char"/>
    <w:link w:val="Heading6"/>
    <w:uiPriority w:val="9"/>
    <w:semiHidden/>
    <w:rsid w:val="3390CE8B"/>
    <w:rPr>
      <w:rFonts w:eastAsiaTheme="majorEastAsia" w:cstheme="majorBidi"/>
      <w:i/>
      <w:iCs/>
      <w:color w:val="595959" w:themeColor="text1" w:themeTint="A6"/>
    </w:rPr>
  </w:style>
  <w:style w:type="character" w:customStyle="1" w:styleId="Heading7Char">
    <w:name w:val="Heading 7 Char"/>
    <w:link w:val="Heading7"/>
    <w:uiPriority w:val="9"/>
    <w:semiHidden/>
    <w:rsid w:val="3390CE8B"/>
    <w:rPr>
      <w:rFonts w:eastAsiaTheme="majorEastAsia" w:cstheme="majorBidi"/>
      <w:color w:val="595959" w:themeColor="text1" w:themeTint="A6"/>
    </w:rPr>
  </w:style>
  <w:style w:type="character" w:customStyle="1" w:styleId="Heading8Char">
    <w:name w:val="Heading 8 Char"/>
    <w:link w:val="Heading8"/>
    <w:uiPriority w:val="9"/>
    <w:semiHidden/>
    <w:rsid w:val="3390CE8B"/>
    <w:rPr>
      <w:rFonts w:eastAsiaTheme="majorEastAsia" w:cstheme="majorBidi"/>
      <w:i/>
      <w:iCs/>
      <w:color w:val="272727"/>
    </w:rPr>
  </w:style>
  <w:style w:type="character" w:customStyle="1" w:styleId="Heading9Char">
    <w:name w:val="Heading 9 Char"/>
    <w:link w:val="Heading9"/>
    <w:uiPriority w:val="9"/>
    <w:semiHidden/>
    <w:rsid w:val="3390CE8B"/>
    <w:rPr>
      <w:rFonts w:eastAsiaTheme="majorEastAsia" w:cstheme="majorBidi"/>
      <w:color w:val="272727"/>
    </w:rPr>
  </w:style>
  <w:style w:type="paragraph" w:styleId="Title">
    <w:name w:val="Title"/>
    <w:link w:val="TitleChar"/>
    <w:uiPriority w:val="10"/>
    <w:qFormat/>
    <w:rsid w:val="3390CE8B"/>
    <w:pPr>
      <w:spacing w:after="80" w:line="240" w:lineRule="auto"/>
      <w:contextualSpacing/>
    </w:pPr>
    <w:rPr>
      <w:rFonts w:asciiTheme="majorHAnsi" w:eastAsiaTheme="majorEastAsia" w:hAnsiTheme="majorHAnsi" w:cstheme="majorBidi"/>
      <w:sz w:val="56"/>
      <w:szCs w:val="56"/>
    </w:rPr>
  </w:style>
  <w:style w:type="character" w:customStyle="1" w:styleId="TitleChar">
    <w:name w:val="Title Char"/>
    <w:link w:val="Title"/>
    <w:uiPriority w:val="10"/>
    <w:rsid w:val="3390CE8B"/>
    <w:rPr>
      <w:rFonts w:asciiTheme="majorHAnsi" w:eastAsiaTheme="majorEastAsia" w:hAnsiTheme="majorHAnsi" w:cstheme="majorBidi"/>
      <w:sz w:val="56"/>
      <w:szCs w:val="56"/>
    </w:rPr>
  </w:style>
  <w:style w:type="paragraph" w:styleId="Subtitle">
    <w:name w:val="Subtitle"/>
    <w:link w:val="SubtitleChar"/>
    <w:uiPriority w:val="11"/>
    <w:qFormat/>
    <w:rsid w:val="3390CE8B"/>
    <w:rPr>
      <w:rFonts w:eastAsiaTheme="majorEastAsia" w:cstheme="majorBidi"/>
      <w:color w:val="595959" w:themeColor="text1" w:themeTint="A6"/>
      <w:sz w:val="28"/>
      <w:szCs w:val="28"/>
    </w:rPr>
  </w:style>
  <w:style w:type="character" w:customStyle="1" w:styleId="SubtitleChar">
    <w:name w:val="Subtitle Char"/>
    <w:link w:val="Subtitle"/>
    <w:uiPriority w:val="11"/>
    <w:rsid w:val="3390CE8B"/>
    <w:rPr>
      <w:rFonts w:eastAsiaTheme="majorEastAsia" w:cstheme="majorBidi"/>
      <w:color w:val="595959" w:themeColor="text1" w:themeTint="A6"/>
      <w:sz w:val="28"/>
      <w:szCs w:val="28"/>
    </w:rPr>
  </w:style>
  <w:style w:type="paragraph" w:styleId="Quote">
    <w:name w:val="Quote"/>
    <w:link w:val="QuoteChar"/>
    <w:uiPriority w:val="29"/>
    <w:qFormat/>
    <w:rsid w:val="3390CE8B"/>
    <w:pPr>
      <w:spacing w:before="160"/>
      <w:jc w:val="center"/>
    </w:pPr>
    <w:rPr>
      <w:i/>
      <w:iCs/>
      <w:color w:val="404040" w:themeColor="text1" w:themeTint="BF"/>
    </w:rPr>
  </w:style>
  <w:style w:type="character" w:customStyle="1" w:styleId="QuoteChar">
    <w:name w:val="Quote Char"/>
    <w:link w:val="Quote"/>
    <w:uiPriority w:val="29"/>
    <w:rsid w:val="3390CE8B"/>
    <w:rPr>
      <w:i/>
      <w:iCs/>
      <w:color w:val="404040" w:themeColor="text1" w:themeTint="BF"/>
    </w:rPr>
  </w:style>
  <w:style w:type="paragraph" w:styleId="ListParagraph">
    <w:name w:val="List Paragraph"/>
    <w:uiPriority w:val="34"/>
    <w:qFormat/>
    <w:rsid w:val="3390CE8B"/>
    <w:pPr>
      <w:ind w:left="720"/>
      <w:contextualSpacing/>
    </w:pPr>
  </w:style>
  <w:style w:type="character" w:styleId="IntenseEmphasis">
    <w:name w:val="Intense Emphasis"/>
    <w:uiPriority w:val="21"/>
    <w:qFormat/>
    <w:rsid w:val="3390CE8B"/>
    <w:rPr>
      <w:i/>
      <w:iCs/>
      <w:color w:val="0F4761" w:themeColor="accent1" w:themeShade="BF"/>
    </w:rPr>
  </w:style>
  <w:style w:type="paragraph" w:styleId="IntenseQuote">
    <w:name w:val="Intense Quote"/>
    <w:link w:val="IntenseQuoteChar"/>
    <w:uiPriority w:val="30"/>
    <w:qFormat/>
    <w:rsid w:val="3390CE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link w:val="IntenseQuote"/>
    <w:uiPriority w:val="30"/>
    <w:rsid w:val="3390CE8B"/>
    <w:rPr>
      <w:i/>
      <w:iCs/>
      <w:color w:val="0F4761" w:themeColor="accent1" w:themeShade="BF"/>
    </w:rPr>
  </w:style>
  <w:style w:type="character" w:styleId="IntenseReference">
    <w:name w:val="Intense Reference"/>
    <w:uiPriority w:val="32"/>
    <w:qFormat/>
    <w:rsid w:val="3390CE8B"/>
    <w:rPr>
      <w:b/>
      <w:bCs/>
      <w:smallCaps/>
      <w:color w:val="0F4761" w:themeColor="accent1" w:themeShade="BF"/>
    </w:rPr>
  </w:style>
  <w:style w:type="table" w:styleId="TableGrid">
    <w:name w:val="Table Grid"/>
    <w:basedOn w:val="TableNormal"/>
    <w:uiPriority w:val="39"/>
    <w:rsid w:val="00157E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57E81"/>
    <w:pPr>
      <w:spacing w:before="240" w:after="0"/>
      <w:outlineLvl w:val="9"/>
    </w:pPr>
    <w:rPr>
      <w:sz w:val="32"/>
      <w:szCs w:val="32"/>
      <w:lang w:eastAsia="nl-NL"/>
      <w14:ligatures w14:val="none"/>
    </w:rPr>
  </w:style>
  <w:style w:type="paragraph" w:styleId="TOC1">
    <w:name w:val="toc 1"/>
    <w:uiPriority w:val="39"/>
    <w:unhideWhenUsed/>
    <w:rsid w:val="3390CE8B"/>
    <w:pPr>
      <w:spacing w:after="100"/>
    </w:pPr>
  </w:style>
  <w:style w:type="paragraph" w:styleId="TOC2">
    <w:name w:val="toc 2"/>
    <w:uiPriority w:val="39"/>
    <w:unhideWhenUsed/>
    <w:rsid w:val="3390CE8B"/>
    <w:pPr>
      <w:spacing w:after="100"/>
      <w:ind w:left="220"/>
    </w:pPr>
  </w:style>
  <w:style w:type="character" w:styleId="Hyperlink">
    <w:name w:val="Hyperlink"/>
    <w:uiPriority w:val="99"/>
    <w:unhideWhenUsed/>
    <w:rsid w:val="3390CE8B"/>
    <w:rPr>
      <w:color w:val="467886"/>
      <w:u w:val="single"/>
    </w:rPr>
  </w:style>
  <w:style w:type="paragraph" w:styleId="NormalWeb">
    <w:name w:val="Normal (Web)"/>
    <w:uiPriority w:val="99"/>
    <w:semiHidden/>
    <w:unhideWhenUsed/>
    <w:rsid w:val="3390CE8B"/>
    <w:pPr>
      <w:spacing w:beforeAutospacing="1" w:afterAutospacing="1" w:line="240" w:lineRule="auto"/>
    </w:pPr>
    <w:rPr>
      <w:rFonts w:ascii="Times New Roman" w:eastAsia="Times New Roman" w:hAnsi="Times New Roman" w:cs="Times New Roman"/>
      <w:sz w:val="24"/>
      <w:szCs w:val="24"/>
      <w:lang w:eastAsia="nl-NL"/>
    </w:rPr>
  </w:style>
  <w:style w:type="paragraph" w:styleId="Header">
    <w:name w:val="header"/>
    <w:uiPriority w:val="99"/>
    <w:unhideWhenUsed/>
    <w:rsid w:val="3390CE8B"/>
    <w:pPr>
      <w:tabs>
        <w:tab w:val="center" w:pos="4680"/>
        <w:tab w:val="right" w:pos="9360"/>
      </w:tabs>
      <w:spacing w:after="0" w:line="240" w:lineRule="auto"/>
    </w:pPr>
  </w:style>
  <w:style w:type="paragraph" w:styleId="Footer">
    <w:name w:val="footer"/>
    <w:uiPriority w:val="99"/>
    <w:unhideWhenUsed/>
    <w:rsid w:val="3390CE8B"/>
    <w:pPr>
      <w:tabs>
        <w:tab w:val="center" w:pos="4680"/>
        <w:tab w:val="right" w:pos="9360"/>
      </w:tabs>
      <w:spacing w:after="0" w:line="240" w:lineRule="auto"/>
    </w:pPr>
  </w:style>
  <w:style w:type="paragraph" w:styleId="EndnoteText">
    <w:name w:val="endnote text"/>
    <w:uiPriority w:val="99"/>
    <w:semiHidden/>
    <w:unhideWhenUsed/>
    <w:rsid w:val="3390CE8B"/>
    <w:pPr>
      <w:spacing w:after="0" w:line="240" w:lineRule="auto"/>
    </w:pPr>
    <w:rPr>
      <w:sz w:val="20"/>
      <w:szCs w:val="20"/>
    </w:rPr>
  </w:style>
  <w:style w:type="character" w:styleId="EndnoteReference">
    <w:name w:val="endnote reference"/>
    <w:uiPriority w:val="99"/>
    <w:semiHidden/>
    <w:unhideWhenUsed/>
    <w:rsid w:val="3390CE8B"/>
    <w:rPr>
      <w:vertAlign w:val="superscript"/>
    </w:rPr>
  </w:style>
  <w:style w:type="table" w:styleId="PlainTable3">
    <w:name w:val="Plain Table 3"/>
    <w:basedOn w:val="TableNormal"/>
    <w:uiPriority w:val="43"/>
    <w:rsid w:val="002A2E3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2A2E3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ftNormal">
    <w:name w:val="LeftNormal"/>
    <w:basedOn w:val="Normal"/>
    <w:link w:val="LeftNormalChar"/>
    <w:rsid w:val="002A2E3E"/>
    <w:pPr>
      <w:spacing w:after="0" w:line="240" w:lineRule="auto"/>
    </w:pPr>
    <w:rPr>
      <w:rFonts w:ascii="Arial" w:eastAsia="Times New Roman" w:hAnsi="Arial" w:cs="Times New Roman"/>
      <w:szCs w:val="24"/>
      <w:lang w:val="en-GB"/>
      <w14:ligatures w14:val="none"/>
    </w:rPr>
  </w:style>
  <w:style w:type="character" w:customStyle="1" w:styleId="LeftNormalChar">
    <w:name w:val="LeftNormal Char"/>
    <w:link w:val="LeftNormal"/>
    <w:rsid w:val="002A2E3E"/>
    <w:rPr>
      <w:rFonts w:ascii="Arial" w:eastAsia="Times New Roman" w:hAnsi="Arial" w:cs="Times New Roman"/>
      <w:szCs w:val="24"/>
      <w:lang w:val="en-GB"/>
      <w14:ligatures w14:val="none"/>
    </w:rPr>
  </w:style>
  <w:style w:type="character" w:styleId="PageNumber">
    <w:name w:val="page number"/>
    <w:rsid w:val="002A2E3E"/>
    <w:rPr>
      <w:rFonts w:ascii="Arial" w:hAnsi="Arial"/>
      <w:lang w:val="en-GB"/>
    </w:rPr>
  </w:style>
  <w:style w:type="character" w:styleId="CommentReference">
    <w:name w:val="annotation reference"/>
    <w:basedOn w:val="DefaultParagraphFont"/>
    <w:uiPriority w:val="99"/>
    <w:semiHidden/>
    <w:unhideWhenUsed/>
    <w:rsid w:val="00CC3EF7"/>
    <w:rPr>
      <w:sz w:val="16"/>
      <w:szCs w:val="16"/>
    </w:rPr>
  </w:style>
  <w:style w:type="paragraph" w:styleId="CommentText">
    <w:name w:val="annotation text"/>
    <w:basedOn w:val="Normal"/>
    <w:link w:val="CommentTextChar1"/>
    <w:uiPriority w:val="99"/>
    <w:semiHidden/>
    <w:unhideWhenUsed/>
    <w:pPr>
      <w:spacing w:line="240" w:lineRule="auto"/>
    </w:pPr>
    <w:rPr>
      <w:sz w:val="20"/>
      <w:szCs w:val="20"/>
    </w:rPr>
  </w:style>
  <w:style w:type="character" w:customStyle="1" w:styleId="CommentTextChar1">
    <w:name w:val="Comment Text Char1"/>
    <w:basedOn w:val="DefaultParagraphFont"/>
    <w:link w:val="CommentText"/>
    <w:uiPriority w:val="99"/>
    <w:rsid w:val="00CC3EF7"/>
    <w:rPr>
      <w:sz w:val="20"/>
      <w:szCs w:val="20"/>
    </w:rPr>
  </w:style>
  <w:style w:type="character" w:customStyle="1" w:styleId="CommentReference1">
    <w:name w:val="Comment Reference1"/>
    <w:basedOn w:val="DefaultParagraphFont"/>
    <w:uiPriority w:val="99"/>
    <w:semiHidden/>
    <w:unhideWhenUsed/>
    <w:rsid w:val="00612027"/>
    <w:rPr>
      <w:sz w:val="16"/>
      <w:szCs w:val="16"/>
    </w:rPr>
  </w:style>
  <w:style w:type="paragraph" w:customStyle="1" w:styleId="CommentText1">
    <w:name w:val="Comment Text1"/>
    <w:basedOn w:val="Normal"/>
    <w:link w:val="CommentTextChar"/>
    <w:uiPriority w:val="99"/>
    <w:unhideWhenUsed/>
    <w:rsid w:val="00612027"/>
    <w:pPr>
      <w:spacing w:line="240" w:lineRule="auto"/>
    </w:pPr>
    <w:rPr>
      <w:sz w:val="20"/>
      <w:szCs w:val="20"/>
    </w:rPr>
  </w:style>
  <w:style w:type="character" w:customStyle="1" w:styleId="CommentTextChar">
    <w:name w:val="Comment Text Char"/>
    <w:basedOn w:val="DefaultParagraphFont"/>
    <w:link w:val="CommentText1"/>
    <w:uiPriority w:val="99"/>
    <w:rsid w:val="003B55B4"/>
    <w:rPr>
      <w:sz w:val="20"/>
      <w:szCs w:val="20"/>
    </w:rPr>
  </w:style>
  <w:style w:type="character" w:customStyle="1" w:styleId="CommentSubjectChar">
    <w:name w:val="Comment Subject Char"/>
    <w:basedOn w:val="CommentTextChar"/>
    <w:link w:val="CommentSubject1"/>
    <w:uiPriority w:val="99"/>
    <w:semiHidden/>
    <w:rsid w:val="003B55B4"/>
    <w:rPr>
      <w:b/>
      <w:bCs/>
      <w:sz w:val="20"/>
      <w:szCs w:val="20"/>
    </w:rPr>
  </w:style>
  <w:style w:type="paragraph" w:customStyle="1" w:styleId="CommentSubject1">
    <w:name w:val="Comment Subject1"/>
    <w:basedOn w:val="CommentText1"/>
    <w:next w:val="CommentText1"/>
    <w:link w:val="CommentSubjectChar"/>
    <w:uiPriority w:val="99"/>
    <w:semiHidden/>
    <w:unhideWhenUsed/>
    <w:rsid w:val="0061202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ad3d67b-f193-448b-a744-3b18259562dc">
      <Terms xmlns="http://schemas.microsoft.com/office/infopath/2007/PartnerControls"/>
    </lcf76f155ced4ddcb4097134ff3c332f>
    <TaxCatchAll xmlns="cda3afe3-35ba-4941-8550-7a5d5f0fe05e"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958B8991735C043A6BDF9E43E778A38" ma:contentTypeVersion="13" ma:contentTypeDescription="Een nieuw document maken." ma:contentTypeScope="" ma:versionID="c92c20016d335409bac632710bc83f56">
  <xsd:schema xmlns:xsd="http://www.w3.org/2001/XMLSchema" xmlns:xs="http://www.w3.org/2001/XMLSchema" xmlns:p="http://schemas.microsoft.com/office/2006/metadata/properties" xmlns:ns2="bad3d67b-f193-448b-a744-3b18259562dc" xmlns:ns3="cda3afe3-35ba-4941-8550-7a5d5f0fe05e" targetNamespace="http://schemas.microsoft.com/office/2006/metadata/properties" ma:root="true" ma:fieldsID="d2f575b95444fefec373424d4c86c609" ns2:_="" ns3:_="">
    <xsd:import namespace="bad3d67b-f193-448b-a744-3b18259562dc"/>
    <xsd:import namespace="cda3afe3-35ba-4941-8550-7a5d5f0fe05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BillingMetadata"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d3d67b-f193-448b-a744-3b18259562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Afbeeldingtags" ma:readOnly="false" ma:fieldId="{5cf76f15-5ced-4ddc-b409-7134ff3c332f}" ma:taxonomyMulti="true" ma:sspId="9898c3fe-133c-4466-af46-0e29e9a794f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BillingMetadata" ma:index="18" nillable="true" ma:displayName="MediaServiceBillingMetadata" ma:hidden="true" ma:internalName="MediaServiceBillingMetadata" ma:readOnly="true">
      <xsd:simpleType>
        <xsd:restriction base="dms:Note"/>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a3afe3-35ba-4941-8550-7a5d5f0fe05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21a4f78-459a-4bf7-bc8d-d516d5e06e39}" ma:internalName="TaxCatchAll" ma:showField="CatchAllData" ma:web="cda3afe3-35ba-4941-8550-7a5d5f0fe0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5E1BF77-8178-4BA5-8B65-9AD2B699FC64}">
  <ds:schemaRefs>
    <ds:schemaRef ds:uri="http://schemas.microsoft.com/sharepoint/v3/contenttype/forms"/>
  </ds:schemaRefs>
</ds:datastoreItem>
</file>

<file path=customXml/itemProps2.xml><?xml version="1.0" encoding="utf-8"?>
<ds:datastoreItem xmlns:ds="http://schemas.openxmlformats.org/officeDocument/2006/customXml" ds:itemID="{D38C4D8C-7A29-4EF5-951A-178AC2586D8A}">
  <ds:schemaRefs>
    <ds:schemaRef ds:uri="http://schemas.openxmlformats.org/officeDocument/2006/bibliography"/>
  </ds:schemaRefs>
</ds:datastoreItem>
</file>

<file path=customXml/itemProps3.xml><?xml version="1.0" encoding="utf-8"?>
<ds:datastoreItem xmlns:ds="http://schemas.openxmlformats.org/officeDocument/2006/customXml" ds:itemID="{127B758D-6A03-4528-AAE7-BEF91B036B0D}">
  <ds:schemaRefs>
    <ds:schemaRef ds:uri="http://schemas.microsoft.com/office/2006/metadata/properties"/>
    <ds:schemaRef ds:uri="http://schemas.microsoft.com/office/infopath/2007/PartnerControls"/>
    <ds:schemaRef ds:uri="bad3d67b-f193-448b-a744-3b18259562dc"/>
    <ds:schemaRef ds:uri="cda3afe3-35ba-4941-8550-7a5d5f0fe05e"/>
  </ds:schemaRefs>
</ds:datastoreItem>
</file>

<file path=customXml/itemProps4.xml><?xml version="1.0" encoding="utf-8"?>
<ds:datastoreItem xmlns:ds="http://schemas.openxmlformats.org/officeDocument/2006/customXml" ds:itemID="{E293EE7C-E0BA-46D9-83D3-E01986569BDD}"/>
</file>

<file path=docMetadata/LabelInfo.xml><?xml version="1.0" encoding="utf-8"?>
<clbl:labelList xmlns:clbl="http://schemas.microsoft.com/office/2020/mipLabelMetadata">
  <clbl:label id="{86a972c8-b7ac-4a03-81be-61a5a6b32af6}" enabled="0" method="" siteId="{86a972c8-b7ac-4a03-81be-61a5a6b32af6}"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2348</Words>
  <Characters>13387</Characters>
  <Application>Microsoft Office Word</Application>
  <DocSecurity>4</DocSecurity>
  <Lines>111</Lines>
  <Paragraphs>31</Paragraphs>
  <ScaleCrop>false</ScaleCrop>
  <Company/>
  <LinksUpToDate>false</LinksUpToDate>
  <CharactersWithSpaces>15704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Lennard Rietkerk</dc:creator>
  <cp:keywords/>
  <dc:description/>
  <cp:lastModifiedBy>Rietkerk, Lennard</cp:lastModifiedBy>
  <cp:revision>229</cp:revision>
  <dcterms:created xsi:type="dcterms:W3CDTF">2026-06-01T21:35:00Z</dcterms:created>
  <dcterms:modified xsi:type="dcterms:W3CDTF">2026-06-08T08:42:00Z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0x0101007958B8991735C043A6BDF9E43E778A38</vt:lpwstr>
  </property>
  <property fmtid="{D5CDD505-2E9C-101B-9397-08002B2CF9AE}" pid="3" name="MediaServiceImageTags">
    <vt:lpwstr/>
  </property>
</Properties>
</file>