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color w:val="0F4761"/>
          <w:sz w:val="40"/>
        </w:rPr>
        <w:t>400 A Liquid-Cooled DC Charging System</w:t>
      </w:r>
    </w:p>
    <w:p>
      <w:pPr>
        <w:jc w:val="center"/>
      </w:pPr>
      <w:r>
        <w:rPr>
          <w:b/>
          <w:color w:val="156082"/>
          <w:sz w:val="28"/>
        </w:rPr>
        <w:t>Technical Specification Sheet</w:t>
      </w:r>
    </w:p>
    <w:p>
      <w:pPr>
        <w:jc w:val="center"/>
      </w:pPr>
      <w:r>
        <w:rPr>
          <w:i/>
          <w:sz w:val="20"/>
        </w:rPr>
        <w:t>Modular 280 kW integrated DC charging system  ·  Version 1.0  ·  2026-07-16</w:t>
      </w:r>
    </w:p>
    <w:p>
      <w:pPr>
        <w:pBdr>
          <w:bottom w:val="single" w:sz="6" w:space="1" w:color="4472C4"/>
        </w:pBdr>
      </w:pPr>
    </w:p>
    <w:p>
      <w:pPr/>
    </w:p>
    <w:tbl>
      <w:tblPr>
        <w:tblStyle w:val="Tabelraster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5953"/>
      </w:tblGrid>
      <w:tr>
        <w:tc>
          <w:tcPr>
            <w:tcW w:type="dxa" w:w="3685"/>
            <w:shd w:val="clear" w:color="auto" w:fill="0F4761"/>
          </w:tcPr>
          <w:p>
            <w:r>
              <w:rPr>
                <w:b/>
                <w:i w:val="0"/>
                <w:color w:val="FFFFFF"/>
              </w:rPr>
              <w:t>Parameter</w:t>
            </w:r>
          </w:p>
        </w:tc>
        <w:tc>
          <w:tcPr>
            <w:tcW w:type="dxa" w:w="5953"/>
            <w:shd w:val="clear" w:color="auto" w:fill="0F4761"/>
          </w:tcPr>
          <w:p>
            <w:r>
              <w:rPr>
                <w:b/>
                <w:i w:val="0"/>
                <w:color w:val="FFFFFF"/>
              </w:rPr>
              <w:t>Specification</w:t>
            </w:r>
          </w:p>
        </w:tc>
      </w:tr>
      <w:tr>
        <w:tc>
          <w:tcPr>
            <w:tcW w:type="dxa" w:w="5953"/>
            <w:gridSpan w:val="2"/>
            <w:shd w:val="clear" w:color="auto" w:fill="156082"/>
          </w:tcPr>
          <w:p>
            <w:r>
              <w:rPr>
                <w:b/>
                <w:i w:val="0"/>
                <w:color w:val="FFFFFF"/>
              </w:rPr>
              <w:t>1.  System Overview</w:t>
            </w:r>
          </w:p>
        </w:tc>
      </w:tr>
      <w:tr>
        <w:tc>
          <w:tcPr>
            <w:tcW w:type="dxa" w:w="5953"/>
            <w:gridSpan w:val="2"/>
          </w:tcPr>
          <w:p>
            <w:r>
              <w:rPr>
                <w:b w:val="0"/>
                <w:i w:val="0"/>
              </w:rPr>
              <w:t xml:space="preserve">A fully integrated, liquid-cooled AC/DC charging system delivering up to </w:t>
            </w:r>
            <w:r>
              <w:rPr>
                <w:b/>
              </w:rPr>
              <w:t>280 kW</w:t>
            </w:r>
            <w:r>
              <w:rPr>
                <w:b w:val="0"/>
                <w:i w:val="0"/>
              </w:rPr>
              <w:t xml:space="preserve"> of continuous DC power with an AC input rated for </w:t>
            </w:r>
            <w:r>
              <w:rPr>
                <w:b/>
              </w:rPr>
              <w:t>400 A</w:t>
            </w:r>
            <w:r>
              <w:rPr>
                <w:b w:val="0"/>
                <w:i w:val="0"/>
              </w:rPr>
              <w:t xml:space="preserve"> service. The system is built from seven parallel conversion modules operating under unified control, providing high efficiency, galvanic isolation, redundancy, and hot-swap serviceability for demanding industrial and mobile battery-container applications.</w:t>
            </w:r>
          </w:p>
        </w:tc>
      </w:tr>
      <w:tr>
        <w:tc>
          <w:tcPr>
            <w:tcW w:type="dxa" w:w="5953"/>
            <w:gridSpan w:val="2"/>
            <w:shd w:val="clear" w:color="auto" w:fill="156082"/>
          </w:tcPr>
          <w:p>
            <w:r>
              <w:rPr>
                <w:b/>
                <w:i w:val="0"/>
                <w:color w:val="FFFFFF"/>
              </w:rPr>
              <w:t>2.  AC Input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i w:val="0"/>
              </w:rPr>
              <w:t>Input voltage range</w:t>
            </w:r>
          </w:p>
        </w:tc>
        <w:tc>
          <w:tcPr>
            <w:tcW w:type="dxa" w:w="5953"/>
          </w:tcPr>
          <w:p>
            <w:r>
              <w:rPr>
                <w:b w:val="0"/>
                <w:i w:val="0"/>
              </w:rPr>
              <w:t>260 - 530 VAC, 3-phase</w:t>
            </w:r>
          </w:p>
        </w:tc>
      </w:tr>
      <w:tr>
        <w:tc>
          <w:tcPr>
            <w:tcW w:type="dxa" w:w="3685"/>
            <w:shd w:val="clear" w:color="auto" w:fill="E7EEF2"/>
          </w:tcPr>
          <w:p>
            <w:r>
              <w:rPr>
                <w:b/>
                <w:i w:val="0"/>
              </w:rPr>
              <w:t>Input frequency</w:t>
            </w:r>
          </w:p>
        </w:tc>
        <w:tc>
          <w:tcPr>
            <w:tcW w:type="dxa" w:w="5953"/>
            <w:shd w:val="clear" w:color="auto" w:fill="E7EEF2"/>
          </w:tcPr>
          <w:p>
            <w:r>
              <w:rPr>
                <w:b w:val="0"/>
                <w:i w:val="0"/>
              </w:rPr>
              <w:t>50 / 60 Hz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i w:val="0"/>
              </w:rPr>
              <w:t>Rated input current (nominal)</w:t>
            </w:r>
          </w:p>
        </w:tc>
        <w:tc>
          <w:tcPr>
            <w:tcW w:type="dxa" w:w="5953"/>
          </w:tcPr>
          <w:p>
            <w:r>
              <w:rPr>
                <w:b w:val="0"/>
                <w:i w:val="0"/>
              </w:rPr>
              <w:t>~= 420 A</w:t>
            </w:r>
          </w:p>
        </w:tc>
      </w:tr>
      <w:tr>
        <w:tc>
          <w:tcPr>
            <w:tcW w:type="dxa" w:w="3685"/>
            <w:shd w:val="clear" w:color="auto" w:fill="E7EEF2"/>
          </w:tcPr>
          <w:p>
            <w:r>
              <w:rPr>
                <w:b/>
                <w:i w:val="0"/>
              </w:rPr>
              <w:t>Maximum input current</w:t>
            </w:r>
          </w:p>
        </w:tc>
        <w:tc>
          <w:tcPr>
            <w:tcW w:type="dxa" w:w="5953"/>
            <w:shd w:val="clear" w:color="auto" w:fill="E7EEF2"/>
          </w:tcPr>
          <w:p>
            <w:r>
              <w:rPr>
                <w:b w:val="0"/>
                <w:i w:val="0"/>
              </w:rPr>
              <w:t>&lt; 532 A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i w:val="0"/>
              </w:rPr>
              <w:t>Power factor</w:t>
            </w:r>
          </w:p>
        </w:tc>
        <w:tc>
          <w:tcPr>
            <w:tcW w:type="dxa" w:w="5953"/>
          </w:tcPr>
          <w:p>
            <w:r>
              <w:rPr>
                <w:b w:val="0"/>
                <w:i w:val="0"/>
              </w:rPr>
              <w:t>&gt;= 0.99 at rated load</w:t>
            </w:r>
          </w:p>
        </w:tc>
      </w:tr>
      <w:tr>
        <w:tc>
          <w:tcPr>
            <w:tcW w:type="dxa" w:w="3685"/>
            <w:shd w:val="clear" w:color="auto" w:fill="E7EEF2"/>
          </w:tcPr>
          <w:p>
            <w:r>
              <w:rPr>
                <w:b/>
                <w:i w:val="0"/>
              </w:rPr>
              <w:t>Total harmonic distortion (THDi)</w:t>
            </w:r>
          </w:p>
        </w:tc>
        <w:tc>
          <w:tcPr>
            <w:tcW w:type="dxa" w:w="5953"/>
            <w:shd w:val="clear" w:color="auto" w:fill="E7EEF2"/>
          </w:tcPr>
          <w:p>
            <w:r>
              <w:rPr>
                <w:b w:val="0"/>
                <w:i w:val="0"/>
              </w:rPr>
              <w:t>&lt; 5 %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i w:val="0"/>
              </w:rPr>
              <w:t>AC connection</w:t>
            </w:r>
          </w:p>
        </w:tc>
        <w:tc>
          <w:tcPr>
            <w:tcW w:type="dxa" w:w="5953"/>
          </w:tcPr>
          <w:p>
            <w:r>
              <w:rPr>
                <w:b w:val="0"/>
                <w:i w:val="0"/>
              </w:rPr>
              <w:t>400 / 500 A Powerlock set (3P + PE)</w:t>
            </w:r>
          </w:p>
        </w:tc>
      </w:tr>
      <w:tr>
        <w:tc>
          <w:tcPr>
            <w:tcW w:type="dxa" w:w="3685"/>
            <w:shd w:val="clear" w:color="auto" w:fill="E7EEF2"/>
          </w:tcPr>
          <w:p>
            <w:r>
              <w:rPr>
                <w:b/>
                <w:i w:val="0"/>
              </w:rPr>
              <w:t>Inrush behaviour</w:t>
            </w:r>
          </w:p>
        </w:tc>
        <w:tc>
          <w:tcPr>
            <w:tcW w:type="dxa" w:w="5953"/>
            <w:shd w:val="clear" w:color="auto" w:fill="E7EEF2"/>
          </w:tcPr>
          <w:p>
            <w:r>
              <w:rPr>
                <w:b w:val="0"/>
                <w:i w:val="0"/>
              </w:rPr>
              <w:t>Compatible with C-type breaker (C80)</w:t>
            </w:r>
          </w:p>
        </w:tc>
      </w:tr>
      <w:tr>
        <w:tc>
          <w:tcPr>
            <w:tcW w:type="dxa" w:w="5953"/>
            <w:gridSpan w:val="2"/>
            <w:shd w:val="clear" w:color="auto" w:fill="156082"/>
          </w:tcPr>
          <w:p>
            <w:r>
              <w:rPr>
                <w:b/>
                <w:i w:val="0"/>
                <w:color w:val="FFFFFF"/>
              </w:rPr>
              <w:t>3.  DC Output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i w:val="0"/>
              </w:rPr>
              <w:t>Output voltage range</w:t>
            </w:r>
          </w:p>
        </w:tc>
        <w:tc>
          <w:tcPr>
            <w:tcW w:type="dxa" w:w="5953"/>
          </w:tcPr>
          <w:p>
            <w:r>
              <w:rPr>
                <w:b w:val="0"/>
                <w:i w:val="0"/>
              </w:rPr>
              <w:t>150 - 1000 VDC</w:t>
            </w:r>
          </w:p>
        </w:tc>
      </w:tr>
      <w:tr>
        <w:tc>
          <w:tcPr>
            <w:tcW w:type="dxa" w:w="3685"/>
            <w:shd w:val="clear" w:color="auto" w:fill="E7EEF2"/>
          </w:tcPr>
          <w:p>
            <w:r>
              <w:rPr>
                <w:b/>
                <w:i w:val="0"/>
              </w:rPr>
              <w:t>Recommended operating window</w:t>
            </w:r>
          </w:p>
        </w:tc>
        <w:tc>
          <w:tcPr>
            <w:tcW w:type="dxa" w:w="5953"/>
            <w:shd w:val="clear" w:color="auto" w:fill="E7EEF2"/>
          </w:tcPr>
          <w:p>
            <w:r>
              <w:rPr>
                <w:b w:val="0"/>
                <w:i w:val="0"/>
              </w:rPr>
              <w:t>600 - 800 VDC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i w:val="0"/>
              </w:rPr>
              <w:t>Rated output power</w:t>
            </w:r>
          </w:p>
        </w:tc>
        <w:tc>
          <w:tcPr>
            <w:tcW w:type="dxa" w:w="5953"/>
          </w:tcPr>
          <w:p>
            <w:r>
              <w:rPr>
                <w:b w:val="0"/>
                <w:i w:val="0"/>
              </w:rPr>
              <w:t>280 kW (continuous)</w:t>
            </w:r>
          </w:p>
        </w:tc>
      </w:tr>
      <w:tr>
        <w:tc>
          <w:tcPr>
            <w:tcW w:type="dxa" w:w="3685"/>
            <w:shd w:val="clear" w:color="auto" w:fill="E7EEF2"/>
          </w:tcPr>
          <w:p>
            <w:r>
              <w:rPr>
                <w:b/>
                <w:i w:val="0"/>
              </w:rPr>
              <w:t>Rated output current</w:t>
            </w:r>
          </w:p>
        </w:tc>
        <w:tc>
          <w:tcPr>
            <w:tcW w:type="dxa" w:w="5953"/>
            <w:shd w:val="clear" w:color="auto" w:fill="E7EEF2"/>
          </w:tcPr>
          <w:p>
            <w:r>
              <w:rPr>
                <w:b w:val="0"/>
                <w:i w:val="0"/>
              </w:rPr>
              <w:t>280 A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i w:val="0"/>
              </w:rPr>
              <w:t>Maximum output current (constant-power region)</w:t>
            </w:r>
          </w:p>
        </w:tc>
        <w:tc>
          <w:tcPr>
            <w:tcW w:type="dxa" w:w="5953"/>
          </w:tcPr>
          <w:p>
            <w:r>
              <w:rPr>
                <w:b w:val="0"/>
                <w:i w:val="0"/>
              </w:rPr>
              <w:t>up to 933 A</w:t>
            </w:r>
          </w:p>
        </w:tc>
      </w:tr>
      <w:tr>
        <w:tc>
          <w:tcPr>
            <w:tcW w:type="dxa" w:w="3685"/>
            <w:shd w:val="clear" w:color="auto" w:fill="E7EEF2"/>
          </w:tcPr>
          <w:p>
            <w:r>
              <w:rPr>
                <w:b/>
                <w:i w:val="0"/>
              </w:rPr>
              <w:t>Voltage stabilization accuracy</w:t>
            </w:r>
          </w:p>
        </w:tc>
        <w:tc>
          <w:tcPr>
            <w:tcW w:type="dxa" w:w="5953"/>
            <w:shd w:val="clear" w:color="auto" w:fill="E7EEF2"/>
          </w:tcPr>
          <w:p>
            <w:r>
              <w:rPr>
                <w:b w:val="0"/>
                <w:i w:val="0"/>
              </w:rPr>
              <w:t>&lt;= +/-0.5 %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i w:val="0"/>
              </w:rPr>
              <w:t>Current stabilization accuracy</w:t>
            </w:r>
          </w:p>
        </w:tc>
        <w:tc>
          <w:tcPr>
            <w:tcW w:type="dxa" w:w="5953"/>
          </w:tcPr>
          <w:p>
            <w:r>
              <w:rPr>
                <w:b w:val="0"/>
                <w:i w:val="0"/>
              </w:rPr>
              <w:t>&lt;= +/-1 %</w:t>
            </w:r>
          </w:p>
        </w:tc>
      </w:tr>
      <w:tr>
        <w:tc>
          <w:tcPr>
            <w:tcW w:type="dxa" w:w="3685"/>
            <w:shd w:val="clear" w:color="auto" w:fill="E7EEF2"/>
          </w:tcPr>
          <w:p>
            <w:r>
              <w:rPr>
                <w:b/>
                <w:i w:val="0"/>
              </w:rPr>
              <w:t>Voltage set-point error</w:t>
            </w:r>
          </w:p>
        </w:tc>
        <w:tc>
          <w:tcPr>
            <w:tcW w:type="dxa" w:w="5953"/>
            <w:shd w:val="clear" w:color="auto" w:fill="E7EEF2"/>
          </w:tcPr>
          <w:p>
            <w:r>
              <w:rPr>
                <w:b w:val="0"/>
                <w:i w:val="0"/>
              </w:rPr>
              <w:t>&lt;= +/-0.5 %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i w:val="0"/>
              </w:rPr>
              <w:t>Power flow</w:t>
            </w:r>
          </w:p>
        </w:tc>
        <w:tc>
          <w:tcPr>
            <w:tcW w:type="dxa" w:w="5953"/>
          </w:tcPr>
          <w:p>
            <w:r>
              <w:rPr>
                <w:b w:val="0"/>
                <w:i w:val="0"/>
              </w:rPr>
              <w:t>Unidirectional</w:t>
            </w:r>
          </w:p>
        </w:tc>
      </w:tr>
      <w:tr>
        <w:tc>
          <w:tcPr>
            <w:tcW w:type="dxa" w:w="3685"/>
            <w:shd w:val="clear" w:color="auto" w:fill="E7EEF2"/>
          </w:tcPr>
          <w:p>
            <w:r>
              <w:rPr>
                <w:b/>
                <w:i w:val="0"/>
              </w:rPr>
              <w:t>Isolation</w:t>
            </w:r>
          </w:p>
        </w:tc>
        <w:tc>
          <w:tcPr>
            <w:tcW w:type="dxa" w:w="5953"/>
            <w:shd w:val="clear" w:color="auto" w:fill="E7EEF2"/>
          </w:tcPr>
          <w:p>
            <w:r>
              <w:rPr>
                <w:b w:val="0"/>
                <w:i w:val="0"/>
              </w:rPr>
              <w:t>Galvanic isolation between AC and DC</w:t>
            </w:r>
          </w:p>
        </w:tc>
      </w:tr>
      <w:tr>
        <w:tc>
          <w:tcPr>
            <w:tcW w:type="dxa" w:w="5953"/>
            <w:gridSpan w:val="2"/>
            <w:shd w:val="clear" w:color="auto" w:fill="156082"/>
          </w:tcPr>
          <w:p>
            <w:r>
              <w:rPr>
                <w:b/>
                <w:i w:val="0"/>
                <w:color w:val="FFFFFF"/>
              </w:rPr>
              <w:t>4.  Performance &amp; Efficiency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i w:val="0"/>
              </w:rPr>
              <w:t>Peak efficiency</w:t>
            </w:r>
          </w:p>
        </w:tc>
        <w:tc>
          <w:tcPr>
            <w:tcW w:type="dxa" w:w="5953"/>
          </w:tcPr>
          <w:p>
            <w:r>
              <w:rPr>
                <w:b w:val="0"/>
                <w:i w:val="0"/>
              </w:rPr>
              <w:t>&gt; 97 %</w:t>
            </w:r>
          </w:p>
        </w:tc>
      </w:tr>
      <w:tr>
        <w:tc>
          <w:tcPr>
            <w:tcW w:type="dxa" w:w="3685"/>
            <w:shd w:val="clear" w:color="auto" w:fill="E7EEF2"/>
          </w:tcPr>
          <w:p>
            <w:r>
              <w:rPr>
                <w:b/>
                <w:i w:val="0"/>
              </w:rPr>
              <w:t>Standby power consumption</w:t>
            </w:r>
          </w:p>
        </w:tc>
        <w:tc>
          <w:tcPr>
            <w:tcW w:type="dxa" w:w="5953"/>
            <w:shd w:val="clear" w:color="auto" w:fill="E7EEF2"/>
          </w:tcPr>
          <w:p>
            <w:r>
              <w:rPr>
                <w:b w:val="0"/>
                <w:i w:val="0"/>
              </w:rPr>
              <w:t>&lt; 70 W (system)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i w:val="0"/>
              </w:rPr>
              <w:t>Minimum settable power</w:t>
            </w:r>
          </w:p>
        </w:tc>
        <w:tc>
          <w:tcPr>
            <w:tcW w:type="dxa" w:w="5953"/>
          </w:tcPr>
          <w:p>
            <w:r>
              <w:rPr>
                <w:b w:val="0"/>
                <w:i w:val="0"/>
              </w:rPr>
              <w:t>&gt;= 55 kW / 80 A</w:t>
            </w:r>
          </w:p>
        </w:tc>
      </w:tr>
      <w:tr>
        <w:tc>
          <w:tcPr>
            <w:tcW w:type="dxa" w:w="3685"/>
            <w:shd w:val="clear" w:color="auto" w:fill="E7EEF2"/>
          </w:tcPr>
          <w:p>
            <w:r>
              <w:rPr>
                <w:b/>
                <w:i w:val="0"/>
              </w:rPr>
              <w:t>Power resolution</w:t>
            </w:r>
          </w:p>
        </w:tc>
        <w:tc>
          <w:tcPr>
            <w:tcW w:type="dxa" w:w="5953"/>
            <w:shd w:val="clear" w:color="auto" w:fill="E7EEF2"/>
          </w:tcPr>
          <w:p>
            <w:r>
              <w:rPr>
                <w:b w:val="0"/>
                <w:i w:val="0"/>
              </w:rPr>
              <w:t>Modular steps of 40 kW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i w:val="0"/>
              </w:rPr>
              <w:t>Redundancy</w:t>
            </w:r>
          </w:p>
        </w:tc>
        <w:tc>
          <w:tcPr>
            <w:tcW w:type="dxa" w:w="5953"/>
          </w:tcPr>
          <w:p>
            <w:r>
              <w:rPr>
                <w:b w:val="0"/>
                <w:i w:val="0"/>
              </w:rPr>
              <w:t>N+1 capable (module-level)</w:t>
            </w:r>
          </w:p>
        </w:tc>
      </w:tr>
      <w:tr>
        <w:tc>
          <w:tcPr>
            <w:tcW w:type="dxa" w:w="5953"/>
            <w:gridSpan w:val="2"/>
            <w:shd w:val="clear" w:color="auto" w:fill="156082"/>
          </w:tcPr>
          <w:p>
            <w:r>
              <w:rPr>
                <w:b/>
                <w:i w:val="0"/>
                <w:color w:val="FFFFFF"/>
              </w:rPr>
              <w:t>5.  Cooling System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i w:val="0"/>
              </w:rPr>
              <w:t>Cooling method</w:t>
            </w:r>
          </w:p>
        </w:tc>
        <w:tc>
          <w:tcPr>
            <w:tcW w:type="dxa" w:w="5953"/>
          </w:tcPr>
          <w:p>
            <w:r>
              <w:rPr>
                <w:b w:val="0"/>
                <w:i w:val="0"/>
              </w:rPr>
              <w:t>Liquid (closed loop)</w:t>
            </w:r>
          </w:p>
        </w:tc>
      </w:tr>
      <w:tr>
        <w:tc>
          <w:tcPr>
            <w:tcW w:type="dxa" w:w="3685"/>
            <w:shd w:val="clear" w:color="auto" w:fill="E7EEF2"/>
          </w:tcPr>
          <w:p>
            <w:r>
              <w:rPr>
                <w:b/>
                <w:i w:val="0"/>
              </w:rPr>
              <w:t>Coolant</w:t>
            </w:r>
          </w:p>
        </w:tc>
        <w:tc>
          <w:tcPr>
            <w:tcW w:type="dxa" w:w="5953"/>
            <w:shd w:val="clear" w:color="auto" w:fill="E7EEF2"/>
          </w:tcPr>
          <w:p>
            <w:r>
              <w:rPr>
                <w:b w:val="0"/>
                <w:i w:val="0"/>
              </w:rPr>
              <w:t>6:4 ethylene-glycol / water mixture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i w:val="0"/>
              </w:rPr>
              <w:t>Coolant flow rate</w:t>
            </w:r>
          </w:p>
        </w:tc>
        <w:tc>
          <w:tcPr>
            <w:tcW w:type="dxa" w:w="5953"/>
          </w:tcPr>
          <w:p>
            <w:r>
              <w:rPr>
                <w:b w:val="0"/>
                <w:i w:val="0"/>
              </w:rPr>
              <w:t>42 - 70 L/min (system)</w:t>
            </w:r>
          </w:p>
        </w:tc>
      </w:tr>
      <w:tr>
        <w:tc>
          <w:tcPr>
            <w:tcW w:type="dxa" w:w="3685"/>
            <w:shd w:val="clear" w:color="auto" w:fill="E7EEF2"/>
          </w:tcPr>
          <w:p>
            <w:r>
              <w:rPr>
                <w:b/>
                <w:i w:val="0"/>
              </w:rPr>
              <w:t>Inlet pressure</w:t>
            </w:r>
          </w:p>
        </w:tc>
        <w:tc>
          <w:tcPr>
            <w:tcW w:type="dxa" w:w="5953"/>
            <w:shd w:val="clear" w:color="auto" w:fill="E7EEF2"/>
          </w:tcPr>
          <w:p>
            <w:r>
              <w:rPr>
                <w:b w:val="0"/>
                <w:i w:val="0"/>
              </w:rPr>
              <w:t>&lt; 2 bar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i w:val="0"/>
              </w:rPr>
              <w:t>Acoustic noise</w:t>
            </w:r>
          </w:p>
        </w:tc>
        <w:tc>
          <w:tcPr>
            <w:tcW w:type="dxa" w:w="5953"/>
          </w:tcPr>
          <w:p>
            <w:r>
              <w:rPr>
                <w:b w:val="0"/>
                <w:i w:val="0"/>
              </w:rPr>
              <w:t>Near-silent operation</w:t>
            </w:r>
          </w:p>
        </w:tc>
      </w:tr>
      <w:tr>
        <w:tc>
          <w:tcPr>
            <w:tcW w:type="dxa" w:w="5953"/>
            <w:gridSpan w:val="2"/>
            <w:shd w:val="clear" w:color="auto" w:fill="156082"/>
          </w:tcPr>
          <w:p>
            <w:r>
              <w:rPr>
                <w:b/>
                <w:i w:val="0"/>
                <w:color w:val="FFFFFF"/>
              </w:rPr>
              <w:t>6.  Control &amp; Communication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i w:val="0"/>
              </w:rPr>
              <w:t>Primary industrial protocol</w:t>
            </w:r>
          </w:p>
        </w:tc>
        <w:tc>
          <w:tcPr>
            <w:tcW w:type="dxa" w:w="5953"/>
          </w:tcPr>
          <w:p>
            <w:r>
              <w:rPr>
                <w:b w:val="0"/>
                <w:i w:val="0"/>
              </w:rPr>
              <w:t>Modbus TCP (via integrated gateway)</w:t>
            </w:r>
          </w:p>
        </w:tc>
      </w:tr>
      <w:tr>
        <w:tc>
          <w:tcPr>
            <w:tcW w:type="dxa" w:w="3685"/>
            <w:shd w:val="clear" w:color="auto" w:fill="E7EEF2"/>
          </w:tcPr>
          <w:p>
            <w:r>
              <w:rPr>
                <w:b/>
                <w:i w:val="0"/>
              </w:rPr>
              <w:t>Module communication</w:t>
            </w:r>
          </w:p>
        </w:tc>
        <w:tc>
          <w:tcPr>
            <w:tcW w:type="dxa" w:w="5953"/>
            <w:shd w:val="clear" w:color="auto" w:fill="E7EEF2"/>
          </w:tcPr>
          <w:p>
            <w:r>
              <w:rPr>
                <w:b w:val="0"/>
                <w:i w:val="0"/>
              </w:rPr>
              <w:t>CAN bus (internal)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i w:val="0"/>
              </w:rPr>
              <w:t>Operation</w:t>
            </w:r>
          </w:p>
        </w:tc>
        <w:tc>
          <w:tcPr>
            <w:tcW w:type="dxa" w:w="5953"/>
          </w:tcPr>
          <w:p>
            <w:r>
              <w:rPr>
                <w:b w:val="0"/>
                <w:i w:val="0"/>
              </w:rPr>
              <w:t>Software grouping, master/slave current sharing</w:t>
            </w:r>
          </w:p>
        </w:tc>
      </w:tr>
      <w:tr>
        <w:tc>
          <w:tcPr>
            <w:tcW w:type="dxa" w:w="3685"/>
            <w:shd w:val="clear" w:color="auto" w:fill="E7EEF2"/>
          </w:tcPr>
          <w:p>
            <w:r>
              <w:rPr>
                <w:b/>
                <w:i w:val="0"/>
              </w:rPr>
              <w:t>Local interface</w:t>
            </w:r>
          </w:p>
        </w:tc>
        <w:tc>
          <w:tcPr>
            <w:tcW w:type="dxa" w:w="5953"/>
            <w:shd w:val="clear" w:color="auto" w:fill="E7EEF2"/>
          </w:tcPr>
          <w:p>
            <w:r>
              <w:rPr>
                <w:b w:val="0"/>
                <w:i w:val="0"/>
              </w:rPr>
              <w:t>HMI LED display: voltage, current, group, address, mode, fault status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i w:val="0"/>
              </w:rPr>
              <w:t>Remote update</w:t>
            </w:r>
          </w:p>
        </w:tc>
        <w:tc>
          <w:tcPr>
            <w:tcW w:type="dxa" w:w="5953"/>
          </w:tcPr>
          <w:p>
            <w:r>
              <w:rPr>
                <w:b w:val="0"/>
                <w:i w:val="0"/>
              </w:rPr>
              <w:t>OTA firmware upgrade supported</w:t>
            </w:r>
          </w:p>
        </w:tc>
      </w:tr>
      <w:tr>
        <w:tc>
          <w:tcPr>
            <w:tcW w:type="dxa" w:w="5953"/>
            <w:gridSpan w:val="2"/>
            <w:shd w:val="clear" w:color="auto" w:fill="156082"/>
          </w:tcPr>
          <w:p>
            <w:r>
              <w:rPr>
                <w:b/>
                <w:i w:val="0"/>
                <w:color w:val="FFFFFF"/>
              </w:rPr>
              <w:t>7.  Environmental &amp; Mechanical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i w:val="0"/>
              </w:rPr>
              <w:t>Operating temperature</w:t>
            </w:r>
          </w:p>
        </w:tc>
        <w:tc>
          <w:tcPr>
            <w:tcW w:type="dxa" w:w="5953"/>
          </w:tcPr>
          <w:p>
            <w:r>
              <w:rPr>
                <w:b w:val="0"/>
                <w:i w:val="0"/>
              </w:rPr>
              <w:t>-40 C to +75 C (derates from +60 C)</w:t>
            </w:r>
          </w:p>
        </w:tc>
      </w:tr>
      <w:tr>
        <w:tc>
          <w:tcPr>
            <w:tcW w:type="dxa" w:w="3685"/>
            <w:shd w:val="clear" w:color="auto" w:fill="E7EEF2"/>
          </w:tcPr>
          <w:p>
            <w:r>
              <w:rPr>
                <w:b/>
                <w:i w:val="0"/>
              </w:rPr>
              <w:t>Storage temperature</w:t>
            </w:r>
          </w:p>
        </w:tc>
        <w:tc>
          <w:tcPr>
            <w:tcW w:type="dxa" w:w="5953"/>
            <w:shd w:val="clear" w:color="auto" w:fill="E7EEF2"/>
          </w:tcPr>
          <w:p>
            <w:r>
              <w:rPr>
                <w:b w:val="0"/>
                <w:i w:val="0"/>
              </w:rPr>
              <w:t>-40 C to +85 C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i w:val="0"/>
              </w:rPr>
              <w:t>Humidity</w:t>
            </w:r>
          </w:p>
        </w:tc>
        <w:tc>
          <w:tcPr>
            <w:tcW w:type="dxa" w:w="5953"/>
          </w:tcPr>
          <w:p>
            <w:r>
              <w:rPr>
                <w:b w:val="0"/>
                <w:i w:val="0"/>
              </w:rPr>
              <w:t>&lt;= 95 % RH, non-condensing</w:t>
            </w:r>
          </w:p>
        </w:tc>
      </w:tr>
      <w:tr>
        <w:tc>
          <w:tcPr>
            <w:tcW w:type="dxa" w:w="3685"/>
            <w:shd w:val="clear" w:color="auto" w:fill="E7EEF2"/>
          </w:tcPr>
          <w:p>
            <w:r>
              <w:rPr>
                <w:b/>
                <w:i w:val="0"/>
              </w:rPr>
              <w:t>Altitude / pressure</w:t>
            </w:r>
          </w:p>
        </w:tc>
        <w:tc>
          <w:tcPr>
            <w:tcW w:type="dxa" w:w="5953"/>
            <w:shd w:val="clear" w:color="auto" w:fill="E7EEF2"/>
          </w:tcPr>
          <w:p>
            <w:r>
              <w:rPr>
                <w:b w:val="0"/>
                <w:i w:val="0"/>
              </w:rPr>
              <w:t>up to 2000 m / 79 - 110 kPa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i w:val="0"/>
              </w:rPr>
              <w:t>Protection rating (modules)</w:t>
            </w:r>
          </w:p>
        </w:tc>
        <w:tc>
          <w:tcPr>
            <w:tcW w:type="dxa" w:w="5953"/>
          </w:tcPr>
          <w:p>
            <w:r>
              <w:rPr>
                <w:b w:val="0"/>
                <w:i w:val="0"/>
              </w:rPr>
              <w:t>IP65</w:t>
            </w:r>
          </w:p>
        </w:tc>
      </w:tr>
      <w:tr>
        <w:tc>
          <w:tcPr>
            <w:tcW w:type="dxa" w:w="3685"/>
            <w:shd w:val="clear" w:color="auto" w:fill="E7EEF2"/>
          </w:tcPr>
          <w:p>
            <w:r>
              <w:rPr>
                <w:b/>
                <w:i w:val="0"/>
              </w:rPr>
              <w:t>Vibration / mobility</w:t>
            </w:r>
          </w:p>
        </w:tc>
        <w:tc>
          <w:tcPr>
            <w:tcW w:type="dxa" w:w="5953"/>
            <w:shd w:val="clear" w:color="auto" w:fill="E7EEF2"/>
          </w:tcPr>
          <w:p>
            <w:r>
              <w:rPr>
                <w:b w:val="0"/>
                <w:i w:val="0"/>
              </w:rPr>
              <w:t>Suitable for mobile / vibration-exposed installations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i w:val="0"/>
              </w:rPr>
              <w:t>Serviceability</w:t>
            </w:r>
          </w:p>
        </w:tc>
        <w:tc>
          <w:tcPr>
            <w:tcW w:type="dxa" w:w="5953"/>
          </w:tcPr>
          <w:p>
            <w:r>
              <w:rPr>
                <w:b w:val="0"/>
                <w:i w:val="0"/>
              </w:rPr>
              <w:t>Hot-swappable modules; service without microgrid interruption</w:t>
            </w:r>
          </w:p>
        </w:tc>
      </w:tr>
      <w:tr>
        <w:tc>
          <w:tcPr>
            <w:tcW w:type="dxa" w:w="5953"/>
            <w:gridSpan w:val="2"/>
            <w:shd w:val="clear" w:color="auto" w:fill="156082"/>
          </w:tcPr>
          <w:p>
            <w:r>
              <w:rPr>
                <w:b/>
                <w:i w:val="0"/>
                <w:color w:val="FFFFFF"/>
              </w:rPr>
              <w:t>8.  Compliance &amp; Safety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i w:val="0"/>
              </w:rPr>
              <w:t>Certification</w:t>
            </w:r>
          </w:p>
        </w:tc>
        <w:tc>
          <w:tcPr>
            <w:tcW w:type="dxa" w:w="5953"/>
          </w:tcPr>
          <w:p>
            <w:r>
              <w:rPr>
                <w:b w:val="0"/>
                <w:i w:val="0"/>
              </w:rPr>
              <w:t>CE</w:t>
            </w:r>
          </w:p>
        </w:tc>
      </w:tr>
      <w:tr>
        <w:tc>
          <w:tcPr>
            <w:tcW w:type="dxa" w:w="3685"/>
            <w:shd w:val="clear" w:color="auto" w:fill="E7EEF2"/>
          </w:tcPr>
          <w:p>
            <w:r>
              <w:rPr>
                <w:b/>
                <w:i w:val="0"/>
              </w:rPr>
              <w:t>Installation standards</w:t>
            </w:r>
          </w:p>
        </w:tc>
        <w:tc>
          <w:tcPr>
            <w:tcW w:type="dxa" w:w="5953"/>
            <w:shd w:val="clear" w:color="auto" w:fill="E7EEF2"/>
          </w:tcPr>
          <w:p>
            <w:r>
              <w:rPr>
                <w:b w:val="0"/>
                <w:i w:val="0"/>
              </w:rPr>
              <w:t>IEC 61439, NEN 1010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i w:val="0"/>
              </w:rPr>
              <w:t>EMC</w:t>
            </w:r>
          </w:p>
        </w:tc>
        <w:tc>
          <w:tcPr>
            <w:tcW w:type="dxa" w:w="5953"/>
          </w:tcPr>
          <w:p>
            <w:r>
              <w:rPr>
                <w:b w:val="0"/>
                <w:i w:val="0"/>
              </w:rPr>
              <w:t>IEC 61000 (industrial)</w:t>
            </w:r>
          </w:p>
        </w:tc>
      </w:tr>
      <w:tr>
        <w:tc>
          <w:tcPr>
            <w:tcW w:type="dxa" w:w="3685"/>
            <w:shd w:val="clear" w:color="auto" w:fill="E7EEF2"/>
          </w:tcPr>
          <w:p>
            <w:r>
              <w:rPr>
                <w:b/>
                <w:i w:val="0"/>
              </w:rPr>
              <w:t>Protection features</w:t>
            </w:r>
          </w:p>
        </w:tc>
        <w:tc>
          <w:tcPr>
            <w:tcW w:type="dxa" w:w="5953"/>
            <w:shd w:val="clear" w:color="auto" w:fill="E7EEF2"/>
          </w:tcPr>
          <w:p>
            <w:r>
              <w:rPr>
                <w:b w:val="0"/>
                <w:i w:val="0"/>
              </w:rPr>
              <w:t>Battery back-feed protection - residual voltage discharge circuit - fault monitoring</w:t>
            </w:r>
          </w:p>
        </w:tc>
      </w:tr>
      <w:tr>
        <w:tc>
          <w:tcPr>
            <w:tcW w:type="dxa" w:w="3685"/>
          </w:tcPr>
          <w:p>
            <w:r>
              <w:rPr>
                <w:b/>
                <w:i w:val="0"/>
              </w:rPr>
              <w:t>System reliability</w:t>
            </w:r>
          </w:p>
        </w:tc>
        <w:tc>
          <w:tcPr>
            <w:tcW w:type="dxa" w:w="5953"/>
          </w:tcPr>
          <w:p>
            <w:r>
              <w:rPr>
                <w:b w:val="0"/>
                <w:i w:val="0"/>
              </w:rPr>
              <w:t>&gt; 98 % uptime (design target)</w:t>
            </w:r>
          </w:p>
        </w:tc>
      </w:tr>
    </w:tbl>
    <w:p>
      <w:pPr/>
    </w:p>
    <w:p>
      <w:pPr/>
      <w:r>
        <w:rPr>
          <w:i/>
        </w:rPr>
        <w:t>All values represent the complete 7-module system configuration. Specifications are indicative and subject to final confirmation and factory acceptance testing.</w:t>
      </w:r>
    </w:p>
    <w:sectPr w:rsidR="00380F26" w:rsidRPr="00996E8D" w:rsidSect="009E778B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9A32D" w14:textId="77777777" w:rsidR="006F0EB7" w:rsidRDefault="006F0EB7">
      <w:pPr>
        <w:spacing w:after="0" w:line="240" w:lineRule="auto"/>
      </w:pPr>
      <w:r>
        <w:separator/>
      </w:r>
    </w:p>
  </w:endnote>
  <w:endnote w:type="continuationSeparator" w:id="0">
    <w:p w14:paraId="43919AE6" w14:textId="77777777" w:rsidR="006F0EB7" w:rsidRDefault="006F0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8600C" w14:textId="37E3B419" w:rsidR="3390CE8B" w:rsidRDefault="3390CE8B" w:rsidP="3390CE8B">
    <w:pPr>
      <w:pStyle w:val="Voettekst"/>
      <w:jc w:val="right"/>
    </w:pPr>
  </w:p>
  <w:tbl>
    <w:tblPr>
      <w:tblW w:w="10066" w:type="dxa"/>
      <w:tblCellMar>
        <w:left w:w="85" w:type="dxa"/>
        <w:bottom w:w="28" w:type="dxa"/>
        <w:right w:w="85" w:type="dxa"/>
      </w:tblCellMar>
      <w:tblLook w:val="00A0" w:firstRow="1" w:lastRow="0" w:firstColumn="1" w:lastColumn="0" w:noHBand="0" w:noVBand="0"/>
    </w:tblPr>
    <w:tblGrid>
      <w:gridCol w:w="4075"/>
      <w:gridCol w:w="525"/>
      <w:gridCol w:w="3990"/>
      <w:gridCol w:w="567"/>
      <w:gridCol w:w="909"/>
    </w:tblGrid>
    <w:tr w:rsidR="002A2E3E" w14:paraId="1657659E" w14:textId="77777777">
      <w:tc>
        <w:tcPr>
          <w:tcW w:w="4075" w:type="dxa"/>
          <w:tcBorders>
            <w:top w:val="single" w:sz="6" w:space="0" w:color="auto"/>
            <w:right w:val="single" w:sz="4" w:space="0" w:color="auto"/>
          </w:tcBorders>
        </w:tcPr>
        <w:p w14:paraId="663DBD86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Title</w:t>
          </w:r>
        </w:p>
      </w:tc>
      <w:tc>
        <w:tcPr>
          <w:tcW w:w="525" w:type="dxa"/>
          <w:tcBorders>
            <w:top w:val="single" w:sz="6" w:space="0" w:color="auto"/>
            <w:left w:val="single" w:sz="4" w:space="0" w:color="auto"/>
          </w:tcBorders>
        </w:tcPr>
        <w:p w14:paraId="699CA7A0" w14:textId="77777777" w:rsidR="002A2E3E" w:rsidRDefault="002A2E3E" w:rsidP="002A2E3E">
          <w:pPr>
            <w:pStyle w:val="LeftNormal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Size</w:t>
          </w:r>
        </w:p>
      </w:tc>
      <w:tc>
        <w:tcPr>
          <w:tcW w:w="3990" w:type="dxa"/>
          <w:tcBorders>
            <w:top w:val="single" w:sz="6" w:space="0" w:color="auto"/>
          </w:tcBorders>
        </w:tcPr>
        <w:p w14:paraId="39D79F2F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Document no.</w:t>
          </w:r>
        </w:p>
      </w:tc>
      <w:tc>
        <w:tcPr>
          <w:tcW w:w="567" w:type="dxa"/>
          <w:tcBorders>
            <w:top w:val="single" w:sz="6" w:space="0" w:color="auto"/>
          </w:tcBorders>
        </w:tcPr>
        <w:p w14:paraId="2002A3CB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Rev.</w:t>
          </w:r>
        </w:p>
      </w:tc>
      <w:tc>
        <w:tcPr>
          <w:tcW w:w="909" w:type="dxa"/>
          <w:tcBorders>
            <w:top w:val="single" w:sz="6" w:space="0" w:color="auto"/>
          </w:tcBorders>
        </w:tcPr>
        <w:p w14:paraId="205274CB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Page</w:t>
          </w:r>
        </w:p>
      </w:tc>
    </w:tr>
    <w:tr w:rsidR="002A2E3E" w14:paraId="47CE2F73" w14:textId="77777777">
      <w:tc>
        <w:tcPr>
          <w:tcW w:w="4075" w:type="dxa"/>
          <w:tcBorders>
            <w:right w:val="single" w:sz="4" w:space="0" w:color="auto"/>
          </w:tcBorders>
          <w:vAlign w:val="center"/>
        </w:tcPr>
        <w:p w14:paraId="31E21805" w14:textId="1161E283" w:rsidR="002A2E3E" w:rsidRPr="002A2E3E" w:rsidRDefault="002D01DC" w:rsidP="002A2E3E">
          <w:pPr>
            <w:pStyle w:val="LeftNormal"/>
            <w:rPr>
              <w:b/>
              <w:bCs/>
              <w:szCs w:val="22"/>
              <w:lang w:val="nl-NL"/>
            </w:rPr>
          </w:pPr>
          <w:r>
            <w:rPr>
              <w:b/>
              <w:bCs/>
              <w:szCs w:val="22"/>
              <w:lang w:val="nl-NL"/>
            </w:rPr>
            <w:t>AC/DC Charger 400 A</w:t>
          </w:r>
        </w:p>
      </w:tc>
      <w:tc>
        <w:tcPr>
          <w:tcW w:w="525" w:type="dxa"/>
          <w:tcBorders>
            <w:left w:val="single" w:sz="4" w:space="0" w:color="auto"/>
          </w:tcBorders>
          <w:vAlign w:val="center"/>
        </w:tcPr>
        <w:p w14:paraId="49C04571" w14:textId="77777777" w:rsidR="002A2E3E" w:rsidRDefault="002A2E3E" w:rsidP="002A2E3E">
          <w:pPr>
            <w:pStyle w:val="LeftNormal"/>
            <w:rPr>
              <w:szCs w:val="22"/>
            </w:rPr>
          </w:pPr>
          <w:r>
            <w:rPr>
              <w:szCs w:val="22"/>
            </w:rPr>
            <w:t>A4</w:t>
          </w:r>
        </w:p>
      </w:tc>
      <w:tc>
        <w:tcPr>
          <w:tcW w:w="3990" w:type="dxa"/>
          <w:vAlign w:val="center"/>
        </w:tcPr>
        <w:p w14:paraId="7034E0C8" w14:textId="459A8E43" w:rsidR="002A2E3E" w:rsidRDefault="002A2E3E" w:rsidP="002A2E3E">
          <w:pPr>
            <w:pStyle w:val="LeftNormal"/>
            <w:rPr>
              <w:b/>
              <w:sz w:val="18"/>
              <w:szCs w:val="18"/>
            </w:rPr>
          </w:pPr>
          <w:r>
            <w:rPr>
              <w:szCs w:val="16"/>
            </w:rPr>
            <w:t>0000000</w:t>
          </w:r>
        </w:p>
      </w:tc>
      <w:tc>
        <w:tcPr>
          <w:tcW w:w="567" w:type="dxa"/>
          <w:vAlign w:val="center"/>
        </w:tcPr>
        <w:p w14:paraId="37A0459A" w14:textId="77777777" w:rsidR="002A2E3E" w:rsidRDefault="002A2E3E" w:rsidP="002A2E3E">
          <w:pPr>
            <w:pStyle w:val="LeftNormal"/>
            <w:rPr>
              <w:szCs w:val="22"/>
            </w:rPr>
          </w:pPr>
          <w:r>
            <w:rPr>
              <w:szCs w:val="22"/>
            </w:rPr>
            <w:fldChar w:fldCharType="begin"/>
          </w:r>
          <w:r>
            <w:rPr>
              <w:szCs w:val="22"/>
            </w:rPr>
            <w:instrText xml:space="preserve"> REF DocumentRevision \h  \* MERGEFORMAT </w:instrText>
          </w:r>
          <w:r>
            <w:rPr>
              <w:szCs w:val="22"/>
            </w:rPr>
          </w:r>
          <w:r>
            <w:rPr>
              <w:szCs w:val="22"/>
            </w:rPr>
            <w:fldChar w:fldCharType="separate"/>
          </w:r>
          <w:r>
            <w:t>A</w:t>
          </w:r>
          <w:r>
            <w:rPr>
              <w:szCs w:val="22"/>
            </w:rPr>
            <w:fldChar w:fldCharType="end"/>
          </w:r>
        </w:p>
      </w:tc>
      <w:tc>
        <w:tcPr>
          <w:tcW w:w="909" w:type="dxa"/>
          <w:vAlign w:val="center"/>
        </w:tcPr>
        <w:p w14:paraId="1A9B02FC" w14:textId="77777777" w:rsidR="002A2E3E" w:rsidRDefault="002A2E3E" w:rsidP="002A2E3E">
          <w:pPr>
            <w:pStyle w:val="LeftNormal"/>
            <w:rPr>
              <w:szCs w:val="22"/>
            </w:rPr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t xml:space="preserve"> of </w:t>
          </w:r>
          <w:r>
            <w:rPr>
              <w:rStyle w:val="Paginanummer"/>
            </w:rPr>
            <w:fldChar w:fldCharType="begin"/>
          </w:r>
          <w:r>
            <w:rPr>
              <w:rStyle w:val="Paginanummer"/>
            </w:rPr>
            <w:instrText xml:space="preserve"> NUMPAGES </w:instrText>
          </w:r>
          <w:r>
            <w:rPr>
              <w:rStyle w:val="Paginanummer"/>
            </w:rPr>
            <w:fldChar w:fldCharType="separate"/>
          </w:r>
          <w:r>
            <w:rPr>
              <w:rStyle w:val="Paginanummer"/>
            </w:rPr>
            <w:t>16</w:t>
          </w:r>
          <w:r>
            <w:rPr>
              <w:rStyle w:val="Paginanummer"/>
            </w:rPr>
            <w:fldChar w:fldCharType="end"/>
          </w:r>
        </w:p>
      </w:tc>
    </w:tr>
  </w:tbl>
  <w:p w14:paraId="4BFF2791" w14:textId="0BD383BB" w:rsidR="002A2E3E" w:rsidRDefault="002A2E3E" w:rsidP="002A2E3E">
    <w:pPr>
      <w:pStyle w:val="LeftNormal"/>
      <w:tabs>
        <w:tab w:val="right" w:pos="9900"/>
      </w:tabs>
      <w:rPr>
        <w:sz w:val="16"/>
        <w:szCs w:val="16"/>
      </w:rPr>
    </w:pPr>
    <w:r>
      <w:rPr>
        <w:sz w:val="16"/>
        <w:szCs w:val="16"/>
      </w:rPr>
      <w:tab/>
      <w:t>All Rights Reserved</w:t>
    </w:r>
  </w:p>
  <w:p w14:paraId="077069FF" w14:textId="1D1482B1" w:rsidR="3390CE8B" w:rsidRPr="002A2E3E" w:rsidRDefault="3390CE8B" w:rsidP="3390CE8B">
    <w:pPr>
      <w:pStyle w:val="Voettekst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6" w:type="dxa"/>
      <w:tblLayout w:type="fixed"/>
      <w:tblCellMar>
        <w:left w:w="85" w:type="dxa"/>
        <w:bottom w:w="28" w:type="dxa"/>
        <w:right w:w="85" w:type="dxa"/>
      </w:tblCellMar>
      <w:tblLook w:val="00A0" w:firstRow="1" w:lastRow="0" w:firstColumn="1" w:lastColumn="0" w:noHBand="0" w:noVBand="0"/>
    </w:tblPr>
    <w:tblGrid>
      <w:gridCol w:w="944"/>
      <w:gridCol w:w="984"/>
      <w:gridCol w:w="1349"/>
      <w:gridCol w:w="1668"/>
      <w:gridCol w:w="540"/>
      <w:gridCol w:w="3153"/>
      <w:gridCol w:w="519"/>
      <w:gridCol w:w="909"/>
    </w:tblGrid>
    <w:tr w:rsidR="002A2E3E" w14:paraId="1DB5E0E6" w14:textId="77777777">
      <w:tc>
        <w:tcPr>
          <w:tcW w:w="944" w:type="dxa"/>
          <w:tcBorders>
            <w:top w:val="single" w:sz="6" w:space="0" w:color="auto"/>
          </w:tcBorders>
          <w:vAlign w:val="center"/>
        </w:tcPr>
        <w:p w14:paraId="7E6B8877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</w:p>
      </w:tc>
      <w:tc>
        <w:tcPr>
          <w:tcW w:w="984" w:type="dxa"/>
          <w:tcBorders>
            <w:top w:val="single" w:sz="6" w:space="0" w:color="auto"/>
          </w:tcBorders>
          <w:vAlign w:val="center"/>
        </w:tcPr>
        <w:p w14:paraId="7E5F3124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Date</w:t>
          </w:r>
        </w:p>
      </w:tc>
      <w:tc>
        <w:tcPr>
          <w:tcW w:w="1349" w:type="dxa"/>
          <w:tcBorders>
            <w:top w:val="single" w:sz="6" w:space="0" w:color="auto"/>
          </w:tcBorders>
          <w:vAlign w:val="center"/>
        </w:tcPr>
        <w:p w14:paraId="24ED3248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Name</w:t>
          </w:r>
        </w:p>
      </w:tc>
      <w:tc>
        <w:tcPr>
          <w:tcW w:w="1668" w:type="dxa"/>
          <w:tcBorders>
            <w:top w:val="single" w:sz="6" w:space="0" w:color="auto"/>
            <w:right w:val="single" w:sz="6" w:space="0" w:color="auto"/>
          </w:tcBorders>
          <w:vAlign w:val="center"/>
        </w:tcPr>
        <w:p w14:paraId="3AAEC5E7" w14:textId="77777777" w:rsidR="002A2E3E" w:rsidRDefault="002A2E3E" w:rsidP="002A2E3E">
          <w:pPr>
            <w:pStyle w:val="LeftNormal"/>
            <w:ind w:left="-16"/>
            <w:rPr>
              <w:sz w:val="16"/>
              <w:szCs w:val="16"/>
            </w:rPr>
          </w:pPr>
          <w:r>
            <w:rPr>
              <w:sz w:val="16"/>
              <w:szCs w:val="16"/>
            </w:rPr>
            <w:t>Dept.</w:t>
          </w:r>
        </w:p>
      </w:tc>
      <w:tc>
        <w:tcPr>
          <w:tcW w:w="5121" w:type="dxa"/>
          <w:gridSpan w:val="4"/>
          <w:tcBorders>
            <w:top w:val="single" w:sz="6" w:space="0" w:color="auto"/>
            <w:left w:val="single" w:sz="6" w:space="0" w:color="auto"/>
          </w:tcBorders>
          <w:vAlign w:val="center"/>
        </w:tcPr>
        <w:p w14:paraId="5DEB0F46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Title</w:t>
          </w:r>
        </w:p>
      </w:tc>
    </w:tr>
    <w:tr w:rsidR="002A2E3E" w:rsidRPr="00977F78" w14:paraId="0B3F87A2" w14:textId="77777777">
      <w:tc>
        <w:tcPr>
          <w:tcW w:w="944" w:type="dxa"/>
          <w:vAlign w:val="center"/>
        </w:tcPr>
        <w:p w14:paraId="6581A3AE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Prepared</w:t>
          </w:r>
        </w:p>
      </w:tc>
      <w:tc>
        <w:tcPr>
          <w:tcW w:w="984" w:type="dxa"/>
          <w:vAlign w:val="center"/>
        </w:tcPr>
        <w:p w14:paraId="39713908" w14:textId="1F1A4462" w:rsidR="002A2E3E" w:rsidRDefault="002A2E3E" w:rsidP="002A2E3E">
          <w:pPr>
            <w:pStyle w:val="LeftNormal"/>
            <w:rPr>
              <w:sz w:val="14"/>
              <w:szCs w:val="14"/>
            </w:rPr>
          </w:pPr>
          <w:r>
            <w:rPr>
              <w:sz w:val="14"/>
              <w:szCs w:val="14"/>
            </w:rPr>
            <w:t>01-06-2026</w:t>
          </w:r>
        </w:p>
      </w:tc>
      <w:tc>
        <w:tcPr>
          <w:tcW w:w="1349" w:type="dxa"/>
          <w:vAlign w:val="center"/>
        </w:tcPr>
        <w:p w14:paraId="47A5B42F" w14:textId="78DF4E61" w:rsidR="002A2E3E" w:rsidRDefault="002A2E3E" w:rsidP="002A2E3E">
          <w:pPr>
            <w:pStyle w:val="LeftNormal"/>
            <w:rPr>
              <w:sz w:val="14"/>
              <w:szCs w:val="14"/>
            </w:rPr>
          </w:pPr>
          <w:r>
            <w:rPr>
              <w:sz w:val="14"/>
              <w:szCs w:val="14"/>
            </w:rPr>
            <w:t>L. Rietkerk</w:t>
          </w:r>
        </w:p>
      </w:tc>
      <w:tc>
        <w:tcPr>
          <w:tcW w:w="1668" w:type="dxa"/>
          <w:tcBorders>
            <w:right w:val="single" w:sz="6" w:space="0" w:color="auto"/>
          </w:tcBorders>
          <w:tcMar>
            <w:left w:w="28" w:type="dxa"/>
            <w:right w:w="28" w:type="dxa"/>
          </w:tcMar>
        </w:tcPr>
        <w:p w14:paraId="3AFE4578" w14:textId="77777777" w:rsidR="002A2E3E" w:rsidRDefault="002A2E3E" w:rsidP="002A2E3E">
          <w:pPr>
            <w:pStyle w:val="LeftNormal"/>
            <w:rPr>
              <w:sz w:val="14"/>
              <w:szCs w:val="14"/>
              <w:lang w:val="es-ES"/>
            </w:rPr>
          </w:pPr>
          <w:r>
            <w:rPr>
              <w:sz w:val="14"/>
              <w:szCs w:val="14"/>
              <w:lang w:val="es-ES"/>
            </w:rPr>
            <w:t>Engineering</w:t>
          </w:r>
        </w:p>
      </w:tc>
      <w:tc>
        <w:tcPr>
          <w:tcW w:w="5121" w:type="dxa"/>
          <w:gridSpan w:val="4"/>
          <w:vMerge w:val="restart"/>
          <w:tcBorders>
            <w:left w:val="single" w:sz="6" w:space="0" w:color="auto"/>
          </w:tcBorders>
          <w:vAlign w:val="center"/>
        </w:tcPr>
        <w:p w14:paraId="47BBD0A1" w14:textId="5DD45F38" w:rsidR="002A2E3E" w:rsidRPr="00977F78" w:rsidRDefault="002D01DC" w:rsidP="002A2E3E">
          <w:pPr>
            <w:pStyle w:val="LeftNormal"/>
            <w:rPr>
              <w:szCs w:val="22"/>
              <w:lang w:val="nl-NL"/>
            </w:rPr>
          </w:pPr>
          <w:r>
            <w:rPr>
              <w:rFonts w:cs="Arial"/>
              <w:szCs w:val="22"/>
              <w:lang w:val="nl-NL"/>
            </w:rPr>
            <w:t>AC/DC Charger 400 A</w:t>
          </w:r>
        </w:p>
      </w:tc>
    </w:tr>
    <w:tr w:rsidR="002A2E3E" w14:paraId="6424C4E3" w14:textId="77777777">
      <w:tc>
        <w:tcPr>
          <w:tcW w:w="944" w:type="dxa"/>
          <w:vAlign w:val="center"/>
        </w:tcPr>
        <w:p w14:paraId="1F430ED8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Checked</w:t>
          </w:r>
        </w:p>
      </w:tc>
      <w:tc>
        <w:tcPr>
          <w:tcW w:w="984" w:type="dxa"/>
          <w:vAlign w:val="center"/>
        </w:tcPr>
        <w:p w14:paraId="6A9D48C3" w14:textId="77777777" w:rsidR="002A2E3E" w:rsidRDefault="002A2E3E" w:rsidP="002A2E3E">
          <w:pPr>
            <w:pStyle w:val="LeftNormal"/>
            <w:rPr>
              <w:sz w:val="14"/>
              <w:szCs w:val="14"/>
            </w:rPr>
          </w:pPr>
        </w:p>
      </w:tc>
      <w:tc>
        <w:tcPr>
          <w:tcW w:w="1349" w:type="dxa"/>
          <w:vAlign w:val="center"/>
        </w:tcPr>
        <w:p w14:paraId="2EFD47F1" w14:textId="77777777" w:rsidR="002A2E3E" w:rsidRDefault="002A2E3E" w:rsidP="002A2E3E">
          <w:pPr>
            <w:pStyle w:val="LeftNormal"/>
            <w:rPr>
              <w:sz w:val="14"/>
              <w:szCs w:val="14"/>
            </w:rPr>
          </w:pPr>
        </w:p>
      </w:tc>
      <w:tc>
        <w:tcPr>
          <w:tcW w:w="1668" w:type="dxa"/>
          <w:tcBorders>
            <w:right w:val="single" w:sz="6" w:space="0" w:color="auto"/>
          </w:tcBorders>
          <w:tcMar>
            <w:left w:w="28" w:type="dxa"/>
            <w:right w:w="28" w:type="dxa"/>
          </w:tcMar>
        </w:tcPr>
        <w:p w14:paraId="45BDBFFE" w14:textId="77777777" w:rsidR="002A2E3E" w:rsidRDefault="002A2E3E" w:rsidP="002A2E3E">
          <w:pPr>
            <w:pStyle w:val="LeftNormal"/>
            <w:rPr>
              <w:sz w:val="14"/>
              <w:szCs w:val="14"/>
              <w:lang w:val="es-ES"/>
            </w:rPr>
          </w:pPr>
        </w:p>
      </w:tc>
      <w:tc>
        <w:tcPr>
          <w:tcW w:w="5121" w:type="dxa"/>
          <w:gridSpan w:val="4"/>
          <w:vMerge/>
          <w:tcBorders>
            <w:left w:val="single" w:sz="6" w:space="0" w:color="auto"/>
          </w:tcBorders>
        </w:tcPr>
        <w:p w14:paraId="1B7B4C24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</w:p>
      </w:tc>
    </w:tr>
    <w:tr w:rsidR="002A2E3E" w14:paraId="7D206606" w14:textId="77777777">
      <w:tc>
        <w:tcPr>
          <w:tcW w:w="944" w:type="dxa"/>
          <w:vAlign w:val="center"/>
        </w:tcPr>
        <w:p w14:paraId="71A22110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</w:p>
      </w:tc>
      <w:tc>
        <w:tcPr>
          <w:tcW w:w="984" w:type="dxa"/>
          <w:vAlign w:val="center"/>
        </w:tcPr>
        <w:p w14:paraId="73DB5287" w14:textId="77777777" w:rsidR="002A2E3E" w:rsidRDefault="002A2E3E" w:rsidP="002A2E3E">
          <w:pPr>
            <w:pStyle w:val="LeftNormal"/>
            <w:rPr>
              <w:sz w:val="14"/>
              <w:szCs w:val="14"/>
            </w:rPr>
          </w:pPr>
        </w:p>
      </w:tc>
      <w:tc>
        <w:tcPr>
          <w:tcW w:w="1349" w:type="dxa"/>
          <w:vAlign w:val="center"/>
        </w:tcPr>
        <w:p w14:paraId="3FF9FEA7" w14:textId="77777777" w:rsidR="002A2E3E" w:rsidRDefault="002A2E3E" w:rsidP="002A2E3E">
          <w:pPr>
            <w:pStyle w:val="LeftNormal"/>
            <w:rPr>
              <w:sz w:val="14"/>
              <w:szCs w:val="14"/>
            </w:rPr>
          </w:pPr>
        </w:p>
      </w:tc>
      <w:tc>
        <w:tcPr>
          <w:tcW w:w="1668" w:type="dxa"/>
          <w:tcBorders>
            <w:right w:val="single" w:sz="6" w:space="0" w:color="auto"/>
          </w:tcBorders>
        </w:tcPr>
        <w:p w14:paraId="74AB1F03" w14:textId="77777777" w:rsidR="002A2E3E" w:rsidRDefault="002A2E3E" w:rsidP="002A2E3E">
          <w:pPr>
            <w:pStyle w:val="LeftNormal"/>
            <w:rPr>
              <w:sz w:val="14"/>
              <w:szCs w:val="14"/>
            </w:rPr>
          </w:pPr>
        </w:p>
      </w:tc>
      <w:tc>
        <w:tcPr>
          <w:tcW w:w="5121" w:type="dxa"/>
          <w:gridSpan w:val="4"/>
          <w:vMerge/>
          <w:tcBorders>
            <w:left w:val="single" w:sz="6" w:space="0" w:color="auto"/>
          </w:tcBorders>
        </w:tcPr>
        <w:p w14:paraId="63D1A7D4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</w:p>
      </w:tc>
    </w:tr>
    <w:tr w:rsidR="002A2E3E" w14:paraId="5681F751" w14:textId="77777777">
      <w:tc>
        <w:tcPr>
          <w:tcW w:w="4945" w:type="dxa"/>
          <w:gridSpan w:val="4"/>
          <w:vMerge w:val="restart"/>
          <w:tcBorders>
            <w:top w:val="single" w:sz="6" w:space="0" w:color="auto"/>
            <w:right w:val="single" w:sz="6" w:space="0" w:color="auto"/>
          </w:tcBorders>
          <w:vAlign w:val="center"/>
        </w:tcPr>
        <w:p w14:paraId="5EF6F79A" w14:textId="77777777" w:rsidR="002A2E3E" w:rsidRDefault="002A2E3E" w:rsidP="002A2E3E">
          <w:pPr>
            <w:pStyle w:val="LeftNormal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VDL Groep</w:t>
          </w:r>
        </w:p>
      </w:tc>
      <w:tc>
        <w:tcPr>
          <w:tcW w:w="540" w:type="dxa"/>
          <w:tcBorders>
            <w:top w:val="single" w:sz="6" w:space="0" w:color="auto"/>
            <w:left w:val="single" w:sz="6" w:space="0" w:color="auto"/>
          </w:tcBorders>
        </w:tcPr>
        <w:p w14:paraId="4385BFDD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Size</w:t>
          </w:r>
        </w:p>
      </w:tc>
      <w:tc>
        <w:tcPr>
          <w:tcW w:w="3153" w:type="dxa"/>
          <w:tcBorders>
            <w:top w:val="single" w:sz="6" w:space="0" w:color="auto"/>
          </w:tcBorders>
        </w:tcPr>
        <w:p w14:paraId="7D1E50DB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Document no.</w:t>
          </w:r>
        </w:p>
      </w:tc>
      <w:tc>
        <w:tcPr>
          <w:tcW w:w="519" w:type="dxa"/>
          <w:tcBorders>
            <w:top w:val="single" w:sz="6" w:space="0" w:color="auto"/>
          </w:tcBorders>
        </w:tcPr>
        <w:p w14:paraId="0F10DE05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Rev.</w:t>
          </w:r>
        </w:p>
      </w:tc>
      <w:tc>
        <w:tcPr>
          <w:tcW w:w="909" w:type="dxa"/>
          <w:tcBorders>
            <w:top w:val="single" w:sz="6" w:space="0" w:color="auto"/>
          </w:tcBorders>
        </w:tcPr>
        <w:p w14:paraId="15220E0E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 w:val="16"/>
              <w:szCs w:val="16"/>
            </w:rPr>
            <w:t>Page</w:t>
          </w:r>
        </w:p>
      </w:tc>
    </w:tr>
    <w:tr w:rsidR="002A2E3E" w14:paraId="48DB1318" w14:textId="77777777">
      <w:tc>
        <w:tcPr>
          <w:tcW w:w="4945" w:type="dxa"/>
          <w:gridSpan w:val="4"/>
          <w:vMerge/>
          <w:tcBorders>
            <w:right w:val="single" w:sz="6" w:space="0" w:color="auto"/>
          </w:tcBorders>
        </w:tcPr>
        <w:p w14:paraId="52F9BC29" w14:textId="77777777" w:rsidR="002A2E3E" w:rsidRDefault="002A2E3E" w:rsidP="002A2E3E">
          <w:pPr>
            <w:pStyle w:val="LeftNormal"/>
            <w:rPr>
              <w:sz w:val="16"/>
              <w:szCs w:val="16"/>
            </w:rPr>
          </w:pPr>
        </w:p>
      </w:tc>
      <w:tc>
        <w:tcPr>
          <w:tcW w:w="540" w:type="dxa"/>
          <w:tcBorders>
            <w:left w:val="single" w:sz="6" w:space="0" w:color="auto"/>
          </w:tcBorders>
        </w:tcPr>
        <w:p w14:paraId="51B453A6" w14:textId="77777777" w:rsidR="002A2E3E" w:rsidRDefault="002A2E3E" w:rsidP="002A2E3E">
          <w:pPr>
            <w:pStyle w:val="LeftNormal"/>
          </w:pPr>
          <w:r>
            <w:t>A4</w:t>
          </w:r>
        </w:p>
      </w:tc>
      <w:tc>
        <w:tcPr>
          <w:tcW w:w="3153" w:type="dxa"/>
          <w:tcMar>
            <w:right w:w="28" w:type="dxa"/>
          </w:tcMar>
          <w:vAlign w:val="center"/>
        </w:tcPr>
        <w:p w14:paraId="0DF9F095" w14:textId="448D61B6" w:rsidR="002A2E3E" w:rsidRPr="00CD1323" w:rsidRDefault="002A2E3E" w:rsidP="002A2E3E">
          <w:pPr>
            <w:pStyle w:val="LeftNormal"/>
            <w:rPr>
              <w:sz w:val="16"/>
              <w:szCs w:val="16"/>
            </w:rPr>
          </w:pPr>
          <w:r>
            <w:rPr>
              <w:szCs w:val="16"/>
            </w:rPr>
            <w:t>00000000</w:t>
          </w:r>
        </w:p>
      </w:tc>
      <w:tc>
        <w:tcPr>
          <w:tcW w:w="519" w:type="dxa"/>
        </w:tcPr>
        <w:p w14:paraId="488F3F79" w14:textId="77777777" w:rsidR="002A2E3E" w:rsidRDefault="002A2E3E" w:rsidP="002A2E3E">
          <w:pPr>
            <w:pStyle w:val="LeftNormal"/>
          </w:pPr>
          <w:bookmarkStart w:id="0" w:name="DocumentRevision"/>
          <w:r>
            <w:t>A</w:t>
          </w:r>
          <w:bookmarkEnd w:id="0"/>
        </w:p>
      </w:tc>
      <w:tc>
        <w:tcPr>
          <w:tcW w:w="909" w:type="dxa"/>
        </w:tcPr>
        <w:p w14:paraId="3A82D967" w14:textId="120BF686" w:rsidR="002A2E3E" w:rsidRDefault="002A2E3E" w:rsidP="002A2E3E">
          <w:pPr>
            <w:pStyle w:val="LeftNormal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</w:tbl>
  <w:p w14:paraId="7AD6CC7A" w14:textId="2FB425F9" w:rsidR="3390CE8B" w:rsidRDefault="3390CE8B" w:rsidP="3390CE8B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3F17A" w14:textId="77777777" w:rsidR="006F0EB7" w:rsidRDefault="006F0EB7">
      <w:pPr>
        <w:spacing w:after="0" w:line="240" w:lineRule="auto"/>
      </w:pPr>
      <w:r>
        <w:separator/>
      </w:r>
    </w:p>
  </w:footnote>
  <w:footnote w:type="continuationSeparator" w:id="0">
    <w:p w14:paraId="67FDCFF9" w14:textId="77777777" w:rsidR="006F0EB7" w:rsidRDefault="006F0E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6350"/>
      <w:gridCol w:w="3744"/>
    </w:tblGrid>
    <w:tr w:rsidR="002A2E3E" w14:paraId="2E211AB8" w14:textId="77777777" w:rsidTr="002A2E3E">
      <w:trPr>
        <w:trHeight w:val="454"/>
      </w:trPr>
      <w:tc>
        <w:tcPr>
          <w:tcW w:w="6350" w:type="dxa"/>
          <w:vMerge w:val="restart"/>
          <w:tcMar>
            <w:left w:w="113" w:type="dxa"/>
          </w:tcMar>
        </w:tcPr>
        <w:p w14:paraId="5D452FB0" w14:textId="77777777" w:rsidR="002A2E3E" w:rsidRDefault="002A2E3E" w:rsidP="002A2E3E">
          <w:pPr>
            <w:pStyle w:val="LeftNormal"/>
            <w:rPr>
              <w:noProof/>
            </w:rPr>
          </w:pPr>
          <w:r>
            <w:rPr>
              <w:noProof/>
              <w:lang w:val="nl-NL" w:eastAsia="nl-NL"/>
            </w:rPr>
            <w:drawing>
              <wp:inline distT="0" distB="0" distL="0" distR="0" wp14:anchorId="02BCBC7D" wp14:editId="1D97C7C7">
                <wp:extent cx="1035325" cy="504000"/>
                <wp:effectExtent l="0" t="0" r="0" b="0"/>
                <wp:docPr id="103850399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VDL-Logo_svg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325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44" w:type="dxa"/>
        </w:tcPr>
        <w:p w14:paraId="4243625B" w14:textId="77777777" w:rsidR="002A2E3E" w:rsidRDefault="002A2E3E" w:rsidP="002A2E3E">
          <w:pPr>
            <w:pStyle w:val="LeftNormal"/>
            <w:rPr>
              <w:sz w:val="32"/>
              <w:szCs w:val="32"/>
            </w:rPr>
          </w:pPr>
        </w:p>
      </w:tc>
    </w:tr>
    <w:tr w:rsidR="002A2E3E" w14:paraId="667C586E" w14:textId="77777777" w:rsidTr="002A2E3E">
      <w:trPr>
        <w:trHeight w:val="284"/>
      </w:trPr>
      <w:tc>
        <w:tcPr>
          <w:tcW w:w="6350" w:type="dxa"/>
          <w:vMerge/>
          <w:tcMar>
            <w:left w:w="113" w:type="dxa"/>
          </w:tcMar>
        </w:tcPr>
        <w:p w14:paraId="470AE0A1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07586DE3" w14:textId="77777777" w:rsidR="002A2E3E" w:rsidRDefault="002A2E3E" w:rsidP="002A2E3E">
          <w:pPr>
            <w:pStyle w:val="LeftNormal"/>
            <w:rPr>
              <w:b/>
              <w:sz w:val="20"/>
              <w:szCs w:val="20"/>
            </w:rPr>
          </w:pPr>
        </w:p>
      </w:tc>
    </w:tr>
    <w:tr w:rsidR="002A2E3E" w14:paraId="42496C96" w14:textId="77777777" w:rsidTr="002A2E3E">
      <w:trPr>
        <w:trHeight w:val="284"/>
      </w:trPr>
      <w:tc>
        <w:tcPr>
          <w:tcW w:w="6350" w:type="dxa"/>
          <w:vMerge/>
          <w:tcMar>
            <w:left w:w="113" w:type="dxa"/>
          </w:tcMar>
        </w:tcPr>
        <w:p w14:paraId="4B59724A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4182642A" w14:textId="77777777" w:rsidR="002A2E3E" w:rsidRDefault="002A2E3E" w:rsidP="002A2E3E">
          <w:pPr>
            <w:pStyle w:val="LeftNormal"/>
            <w:rPr>
              <w:sz w:val="18"/>
              <w:szCs w:val="18"/>
            </w:rPr>
          </w:pPr>
          <w:r w:rsidRPr="006D66AC">
            <w:rPr>
              <w:rFonts w:ascii="Arial Black" w:hAnsi="Arial Black"/>
              <w:b/>
              <w:color w:val="0064A3"/>
              <w:szCs w:val="20"/>
            </w:rPr>
            <w:t>VDL Energy Systems</w:t>
          </w:r>
        </w:p>
      </w:tc>
    </w:tr>
    <w:tr w:rsidR="002A2E3E" w14:paraId="5D0ACF3A" w14:textId="77777777" w:rsidTr="002A2E3E">
      <w:trPr>
        <w:trHeight w:val="284"/>
      </w:trPr>
      <w:tc>
        <w:tcPr>
          <w:tcW w:w="6350" w:type="dxa"/>
          <w:vMerge/>
        </w:tcPr>
        <w:p w14:paraId="15D77B5B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06A402C4" w14:textId="77777777" w:rsidR="002A2E3E" w:rsidRDefault="002A2E3E" w:rsidP="002A2E3E">
          <w:pPr>
            <w:pStyle w:val="LeftNormal"/>
            <w:rPr>
              <w:b/>
            </w:rPr>
          </w:pPr>
          <w:r>
            <w:rPr>
              <w:sz w:val="18"/>
              <w:szCs w:val="18"/>
            </w:rPr>
            <w:t>Engineering Department</w:t>
          </w:r>
        </w:p>
      </w:tc>
    </w:tr>
  </w:tbl>
  <w:p w14:paraId="3868BC55" w14:textId="457C52EA" w:rsidR="3390CE8B" w:rsidRPr="002A2E3E" w:rsidRDefault="3390CE8B" w:rsidP="3390CE8B">
    <w:pPr>
      <w:pStyle w:val="Koptekst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6350"/>
      <w:gridCol w:w="3744"/>
    </w:tblGrid>
    <w:tr w:rsidR="002A2E3E" w14:paraId="49CF6200" w14:textId="77777777" w:rsidTr="002A2E3E">
      <w:trPr>
        <w:trHeight w:val="454"/>
      </w:trPr>
      <w:tc>
        <w:tcPr>
          <w:tcW w:w="6350" w:type="dxa"/>
          <w:vMerge w:val="restart"/>
          <w:tcMar>
            <w:left w:w="113" w:type="dxa"/>
          </w:tcMar>
        </w:tcPr>
        <w:p w14:paraId="22639617" w14:textId="77777777" w:rsidR="002A2E3E" w:rsidRDefault="002A2E3E" w:rsidP="002A2E3E">
          <w:pPr>
            <w:pStyle w:val="LeftNormal"/>
            <w:rPr>
              <w:noProof/>
            </w:rPr>
          </w:pPr>
          <w:r>
            <w:rPr>
              <w:noProof/>
              <w:lang w:val="nl-NL" w:eastAsia="nl-NL"/>
            </w:rPr>
            <w:drawing>
              <wp:inline distT="0" distB="0" distL="0" distR="0" wp14:anchorId="4A7BFE1F" wp14:editId="11D0C8B3">
                <wp:extent cx="1035325" cy="504000"/>
                <wp:effectExtent l="0" t="0" r="0" b="0"/>
                <wp:docPr id="1993508713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VDL-Logo_svg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325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44" w:type="dxa"/>
        </w:tcPr>
        <w:p w14:paraId="6181C0D4" w14:textId="77777777" w:rsidR="002A2E3E" w:rsidRDefault="002A2E3E" w:rsidP="002A2E3E">
          <w:pPr>
            <w:pStyle w:val="LeftNormal"/>
            <w:rPr>
              <w:sz w:val="32"/>
              <w:szCs w:val="32"/>
            </w:rPr>
          </w:pPr>
        </w:p>
      </w:tc>
    </w:tr>
    <w:tr w:rsidR="002A2E3E" w14:paraId="465B5665" w14:textId="77777777" w:rsidTr="002A2E3E">
      <w:trPr>
        <w:trHeight w:val="284"/>
      </w:trPr>
      <w:tc>
        <w:tcPr>
          <w:tcW w:w="6350" w:type="dxa"/>
          <w:vMerge/>
          <w:tcMar>
            <w:left w:w="113" w:type="dxa"/>
          </w:tcMar>
        </w:tcPr>
        <w:p w14:paraId="33EF83CD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06A0153C" w14:textId="77777777" w:rsidR="002A2E3E" w:rsidRDefault="002A2E3E" w:rsidP="002A2E3E">
          <w:pPr>
            <w:pStyle w:val="LeftNormal"/>
            <w:rPr>
              <w:b/>
              <w:sz w:val="20"/>
              <w:szCs w:val="20"/>
            </w:rPr>
          </w:pPr>
        </w:p>
      </w:tc>
    </w:tr>
    <w:tr w:rsidR="002A2E3E" w14:paraId="5B53C21E" w14:textId="77777777" w:rsidTr="002A2E3E">
      <w:trPr>
        <w:trHeight w:val="284"/>
      </w:trPr>
      <w:tc>
        <w:tcPr>
          <w:tcW w:w="6350" w:type="dxa"/>
          <w:vMerge/>
          <w:tcMar>
            <w:left w:w="113" w:type="dxa"/>
          </w:tcMar>
        </w:tcPr>
        <w:p w14:paraId="390E31FD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70A093D2" w14:textId="77777777" w:rsidR="002A2E3E" w:rsidRDefault="002A2E3E" w:rsidP="002A2E3E">
          <w:pPr>
            <w:pStyle w:val="LeftNormal"/>
            <w:rPr>
              <w:sz w:val="18"/>
              <w:szCs w:val="18"/>
            </w:rPr>
          </w:pPr>
          <w:r w:rsidRPr="006D66AC">
            <w:rPr>
              <w:rFonts w:ascii="Arial Black" w:hAnsi="Arial Black"/>
              <w:b/>
              <w:color w:val="0064A3"/>
              <w:szCs w:val="20"/>
            </w:rPr>
            <w:t>VDL Energy Systems</w:t>
          </w:r>
        </w:p>
      </w:tc>
    </w:tr>
    <w:tr w:rsidR="002A2E3E" w14:paraId="23B0A378" w14:textId="77777777" w:rsidTr="002A2E3E">
      <w:trPr>
        <w:trHeight w:val="284"/>
      </w:trPr>
      <w:tc>
        <w:tcPr>
          <w:tcW w:w="6350" w:type="dxa"/>
          <w:vMerge/>
        </w:tcPr>
        <w:p w14:paraId="374AE938" w14:textId="77777777" w:rsidR="002A2E3E" w:rsidRDefault="002A2E3E" w:rsidP="002A2E3E">
          <w:pPr>
            <w:pStyle w:val="LeftNormal"/>
          </w:pPr>
        </w:p>
      </w:tc>
      <w:tc>
        <w:tcPr>
          <w:tcW w:w="3744" w:type="dxa"/>
          <w:vAlign w:val="center"/>
        </w:tcPr>
        <w:p w14:paraId="4FE1C789" w14:textId="77777777" w:rsidR="002A2E3E" w:rsidRDefault="002A2E3E" w:rsidP="002A2E3E">
          <w:pPr>
            <w:pStyle w:val="LeftNormal"/>
            <w:rPr>
              <w:b/>
            </w:rPr>
          </w:pPr>
          <w:r>
            <w:rPr>
              <w:sz w:val="18"/>
              <w:szCs w:val="18"/>
            </w:rPr>
            <w:t>Engineering Department</w:t>
          </w:r>
        </w:p>
      </w:tc>
    </w:tr>
  </w:tbl>
  <w:p w14:paraId="4B02AE1E" w14:textId="68A17789" w:rsidR="3390CE8B" w:rsidRDefault="3390CE8B" w:rsidP="3390CE8B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963ED"/>
    <w:multiLevelType w:val="hybridMultilevel"/>
    <w:tmpl w:val="618CC032"/>
    <w:lvl w:ilvl="0" w:tplc="9630236C">
      <w:start w:val="400"/>
      <w:numFmt w:val="bullet"/>
      <w:lvlText w:val="-"/>
      <w:lvlJc w:val="left"/>
      <w:pPr>
        <w:ind w:left="177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3E921777"/>
    <w:multiLevelType w:val="hybridMultilevel"/>
    <w:tmpl w:val="FEA49B4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F07BF8"/>
    <w:multiLevelType w:val="hybridMultilevel"/>
    <w:tmpl w:val="76C0426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128BB"/>
    <w:multiLevelType w:val="hybridMultilevel"/>
    <w:tmpl w:val="C4825528"/>
    <w:lvl w:ilvl="0" w:tplc="9630236C">
      <w:start w:val="400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130001">
      <w:start w:val="1"/>
      <w:numFmt w:val="bullet"/>
      <w:lvlText w:val=""/>
      <w:lvlJc w:val="left"/>
      <w:pPr>
        <w:ind w:left="30" w:hanging="360"/>
      </w:pPr>
      <w:rPr>
        <w:rFonts w:ascii="Symbol" w:hAnsi="Symbol" w:hint="default"/>
      </w:rPr>
    </w:lvl>
    <w:lvl w:ilvl="2" w:tplc="04130005" w:tentative="1">
      <w:start w:val="1"/>
      <w:numFmt w:val="bullet"/>
      <w:lvlText w:val=""/>
      <w:lvlJc w:val="left"/>
      <w:pPr>
        <w:ind w:left="75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</w:abstractNum>
  <w:abstractNum w:abstractNumId="4" w15:restartNumberingAfterBreak="0">
    <w:nsid w:val="70791602"/>
    <w:multiLevelType w:val="hybridMultilevel"/>
    <w:tmpl w:val="2542BD8E"/>
    <w:lvl w:ilvl="0" w:tplc="590CA908">
      <w:start w:val="1"/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7B960184"/>
    <w:multiLevelType w:val="hybridMultilevel"/>
    <w:tmpl w:val="4202D5B0"/>
    <w:lvl w:ilvl="0" w:tplc="73285DB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195048">
    <w:abstractNumId w:val="1"/>
  </w:num>
  <w:num w:numId="2" w16cid:durableId="801919731">
    <w:abstractNumId w:val="5"/>
  </w:num>
  <w:num w:numId="3" w16cid:durableId="1819151634">
    <w:abstractNumId w:val="4"/>
  </w:num>
  <w:num w:numId="4" w16cid:durableId="2044093922">
    <w:abstractNumId w:val="0"/>
  </w:num>
  <w:num w:numId="5" w16cid:durableId="866523519">
    <w:abstractNumId w:val="3"/>
  </w:num>
  <w:num w:numId="6" w16cid:durableId="447162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396"/>
    <w:rsid w:val="0001398E"/>
    <w:rsid w:val="000156CB"/>
    <w:rsid w:val="00015CBB"/>
    <w:rsid w:val="00021470"/>
    <w:rsid w:val="00023CEF"/>
    <w:rsid w:val="00026622"/>
    <w:rsid w:val="0003004D"/>
    <w:rsid w:val="00031FEE"/>
    <w:rsid w:val="000347C7"/>
    <w:rsid w:val="00044982"/>
    <w:rsid w:val="000468CD"/>
    <w:rsid w:val="000503D7"/>
    <w:rsid w:val="00053B22"/>
    <w:rsid w:val="00056973"/>
    <w:rsid w:val="00061F17"/>
    <w:rsid w:val="000654B3"/>
    <w:rsid w:val="000729B1"/>
    <w:rsid w:val="000741CC"/>
    <w:rsid w:val="000749E9"/>
    <w:rsid w:val="00082EBE"/>
    <w:rsid w:val="000835CE"/>
    <w:rsid w:val="00084E1C"/>
    <w:rsid w:val="00086020"/>
    <w:rsid w:val="000A211A"/>
    <w:rsid w:val="000A32C0"/>
    <w:rsid w:val="000A3AA7"/>
    <w:rsid w:val="000A5214"/>
    <w:rsid w:val="000B1558"/>
    <w:rsid w:val="000B4CEC"/>
    <w:rsid w:val="000C0BB2"/>
    <w:rsid w:val="000C2003"/>
    <w:rsid w:val="000C320A"/>
    <w:rsid w:val="000C328D"/>
    <w:rsid w:val="000C59F5"/>
    <w:rsid w:val="000D7E35"/>
    <w:rsid w:val="000E0A42"/>
    <w:rsid w:val="000E38FF"/>
    <w:rsid w:val="000E7E65"/>
    <w:rsid w:val="000F2724"/>
    <w:rsid w:val="000F62DD"/>
    <w:rsid w:val="00101975"/>
    <w:rsid w:val="00103F28"/>
    <w:rsid w:val="00105AA8"/>
    <w:rsid w:val="001130CE"/>
    <w:rsid w:val="00114544"/>
    <w:rsid w:val="00114A44"/>
    <w:rsid w:val="00117021"/>
    <w:rsid w:val="00120485"/>
    <w:rsid w:val="00120795"/>
    <w:rsid w:val="00122832"/>
    <w:rsid w:val="001237E3"/>
    <w:rsid w:val="00126563"/>
    <w:rsid w:val="001269BD"/>
    <w:rsid w:val="00136C12"/>
    <w:rsid w:val="00137BCE"/>
    <w:rsid w:val="0014020C"/>
    <w:rsid w:val="001439C5"/>
    <w:rsid w:val="00145CA3"/>
    <w:rsid w:val="00147144"/>
    <w:rsid w:val="0014748D"/>
    <w:rsid w:val="00150488"/>
    <w:rsid w:val="0015162D"/>
    <w:rsid w:val="00153CF7"/>
    <w:rsid w:val="00155C56"/>
    <w:rsid w:val="00156F8E"/>
    <w:rsid w:val="00157E81"/>
    <w:rsid w:val="00160885"/>
    <w:rsid w:val="00161C8F"/>
    <w:rsid w:val="00166881"/>
    <w:rsid w:val="00171D91"/>
    <w:rsid w:val="00171F90"/>
    <w:rsid w:val="001729C1"/>
    <w:rsid w:val="00175433"/>
    <w:rsid w:val="0017656C"/>
    <w:rsid w:val="0018096F"/>
    <w:rsid w:val="001821E8"/>
    <w:rsid w:val="0018628B"/>
    <w:rsid w:val="0019462F"/>
    <w:rsid w:val="0019582F"/>
    <w:rsid w:val="001A7824"/>
    <w:rsid w:val="001B068B"/>
    <w:rsid w:val="001B6226"/>
    <w:rsid w:val="001C07B6"/>
    <w:rsid w:val="001C50AC"/>
    <w:rsid w:val="001D1CD0"/>
    <w:rsid w:val="001D2B4C"/>
    <w:rsid w:val="001D307F"/>
    <w:rsid w:val="001E0FA2"/>
    <w:rsid w:val="001E3717"/>
    <w:rsid w:val="001E52DF"/>
    <w:rsid w:val="001E5D16"/>
    <w:rsid w:val="001F19AB"/>
    <w:rsid w:val="001F741F"/>
    <w:rsid w:val="0020051B"/>
    <w:rsid w:val="00203A3A"/>
    <w:rsid w:val="00205AA7"/>
    <w:rsid w:val="0020748F"/>
    <w:rsid w:val="002113EA"/>
    <w:rsid w:val="00211563"/>
    <w:rsid w:val="00212C3E"/>
    <w:rsid w:val="00213DEB"/>
    <w:rsid w:val="0021717A"/>
    <w:rsid w:val="002204FF"/>
    <w:rsid w:val="0022361C"/>
    <w:rsid w:val="002238CC"/>
    <w:rsid w:val="0022616E"/>
    <w:rsid w:val="002300B1"/>
    <w:rsid w:val="00231EB1"/>
    <w:rsid w:val="00233CCE"/>
    <w:rsid w:val="002408E5"/>
    <w:rsid w:val="00242032"/>
    <w:rsid w:val="00243A44"/>
    <w:rsid w:val="00247FB7"/>
    <w:rsid w:val="00252ACF"/>
    <w:rsid w:val="002538B6"/>
    <w:rsid w:val="002542C4"/>
    <w:rsid w:val="0026047A"/>
    <w:rsid w:val="00260536"/>
    <w:rsid w:val="0026117C"/>
    <w:rsid w:val="00264BF7"/>
    <w:rsid w:val="0026574D"/>
    <w:rsid w:val="00267177"/>
    <w:rsid w:val="00281FCA"/>
    <w:rsid w:val="00283318"/>
    <w:rsid w:val="002902EC"/>
    <w:rsid w:val="00290A7E"/>
    <w:rsid w:val="002915D9"/>
    <w:rsid w:val="0029300B"/>
    <w:rsid w:val="00294D05"/>
    <w:rsid w:val="002A18E0"/>
    <w:rsid w:val="002A1B55"/>
    <w:rsid w:val="002A2E3E"/>
    <w:rsid w:val="002B33E5"/>
    <w:rsid w:val="002C0818"/>
    <w:rsid w:val="002C1911"/>
    <w:rsid w:val="002C4157"/>
    <w:rsid w:val="002C4DE6"/>
    <w:rsid w:val="002C6609"/>
    <w:rsid w:val="002C6FD5"/>
    <w:rsid w:val="002D01DC"/>
    <w:rsid w:val="002D32DE"/>
    <w:rsid w:val="002D4077"/>
    <w:rsid w:val="002D5525"/>
    <w:rsid w:val="002D6565"/>
    <w:rsid w:val="002E0CB2"/>
    <w:rsid w:val="002E5901"/>
    <w:rsid w:val="002F063B"/>
    <w:rsid w:val="002F0B80"/>
    <w:rsid w:val="002F16AE"/>
    <w:rsid w:val="002F20F2"/>
    <w:rsid w:val="002F2B4C"/>
    <w:rsid w:val="002F410F"/>
    <w:rsid w:val="002F62AB"/>
    <w:rsid w:val="002F6822"/>
    <w:rsid w:val="003129D7"/>
    <w:rsid w:val="00313AEA"/>
    <w:rsid w:val="00321107"/>
    <w:rsid w:val="00322002"/>
    <w:rsid w:val="003228B4"/>
    <w:rsid w:val="0033067B"/>
    <w:rsid w:val="00330F61"/>
    <w:rsid w:val="003310DF"/>
    <w:rsid w:val="0033345B"/>
    <w:rsid w:val="0033565F"/>
    <w:rsid w:val="003359EC"/>
    <w:rsid w:val="00336298"/>
    <w:rsid w:val="00352DBE"/>
    <w:rsid w:val="00352F7A"/>
    <w:rsid w:val="00355DD2"/>
    <w:rsid w:val="00356F7C"/>
    <w:rsid w:val="00357CD9"/>
    <w:rsid w:val="00363D29"/>
    <w:rsid w:val="00365B60"/>
    <w:rsid w:val="00365FAC"/>
    <w:rsid w:val="0037538D"/>
    <w:rsid w:val="003801AA"/>
    <w:rsid w:val="00380F26"/>
    <w:rsid w:val="00386167"/>
    <w:rsid w:val="00386A5C"/>
    <w:rsid w:val="00391BD4"/>
    <w:rsid w:val="003929BA"/>
    <w:rsid w:val="003962FD"/>
    <w:rsid w:val="003A04D5"/>
    <w:rsid w:val="003A22E6"/>
    <w:rsid w:val="003A5973"/>
    <w:rsid w:val="003A6FAA"/>
    <w:rsid w:val="003B05F7"/>
    <w:rsid w:val="003B55B4"/>
    <w:rsid w:val="003B71B4"/>
    <w:rsid w:val="003C4044"/>
    <w:rsid w:val="003C6458"/>
    <w:rsid w:val="003C66AC"/>
    <w:rsid w:val="003D3AA5"/>
    <w:rsid w:val="003D4759"/>
    <w:rsid w:val="003D4F97"/>
    <w:rsid w:val="003E3B5B"/>
    <w:rsid w:val="003F0F46"/>
    <w:rsid w:val="003F4A04"/>
    <w:rsid w:val="003F71CD"/>
    <w:rsid w:val="00400612"/>
    <w:rsid w:val="004043F7"/>
    <w:rsid w:val="00405D8D"/>
    <w:rsid w:val="00415343"/>
    <w:rsid w:val="0042457F"/>
    <w:rsid w:val="00424B3F"/>
    <w:rsid w:val="00434103"/>
    <w:rsid w:val="0045326D"/>
    <w:rsid w:val="004559A0"/>
    <w:rsid w:val="00456913"/>
    <w:rsid w:val="004615D0"/>
    <w:rsid w:val="00466C6F"/>
    <w:rsid w:val="00471028"/>
    <w:rsid w:val="00475CEB"/>
    <w:rsid w:val="00475DE6"/>
    <w:rsid w:val="00476E44"/>
    <w:rsid w:val="0047767F"/>
    <w:rsid w:val="00481C6E"/>
    <w:rsid w:val="00483C0E"/>
    <w:rsid w:val="00491833"/>
    <w:rsid w:val="00495285"/>
    <w:rsid w:val="004953EC"/>
    <w:rsid w:val="00495522"/>
    <w:rsid w:val="004977B6"/>
    <w:rsid w:val="004A0058"/>
    <w:rsid w:val="004A39BD"/>
    <w:rsid w:val="004A6EA1"/>
    <w:rsid w:val="004B13E8"/>
    <w:rsid w:val="004B2095"/>
    <w:rsid w:val="004B49D4"/>
    <w:rsid w:val="004B7762"/>
    <w:rsid w:val="004C18DA"/>
    <w:rsid w:val="004C323F"/>
    <w:rsid w:val="004C635C"/>
    <w:rsid w:val="004D0426"/>
    <w:rsid w:val="004D28AF"/>
    <w:rsid w:val="004D5D42"/>
    <w:rsid w:val="004E036D"/>
    <w:rsid w:val="004E79D7"/>
    <w:rsid w:val="004F178B"/>
    <w:rsid w:val="004F29EC"/>
    <w:rsid w:val="004F3A44"/>
    <w:rsid w:val="004F520E"/>
    <w:rsid w:val="00503D4B"/>
    <w:rsid w:val="0050492C"/>
    <w:rsid w:val="00506C7A"/>
    <w:rsid w:val="00513D9F"/>
    <w:rsid w:val="0052086F"/>
    <w:rsid w:val="0053026B"/>
    <w:rsid w:val="0053043A"/>
    <w:rsid w:val="00533DF5"/>
    <w:rsid w:val="00536229"/>
    <w:rsid w:val="00540B9F"/>
    <w:rsid w:val="00546F62"/>
    <w:rsid w:val="00551399"/>
    <w:rsid w:val="00557E60"/>
    <w:rsid w:val="0056468D"/>
    <w:rsid w:val="00574220"/>
    <w:rsid w:val="00580722"/>
    <w:rsid w:val="00582489"/>
    <w:rsid w:val="00586115"/>
    <w:rsid w:val="0059090B"/>
    <w:rsid w:val="005917AD"/>
    <w:rsid w:val="005929EF"/>
    <w:rsid w:val="00592C38"/>
    <w:rsid w:val="0059585E"/>
    <w:rsid w:val="005B151D"/>
    <w:rsid w:val="005B312B"/>
    <w:rsid w:val="005C31D3"/>
    <w:rsid w:val="005C7DF1"/>
    <w:rsid w:val="005D17E2"/>
    <w:rsid w:val="005D1BAC"/>
    <w:rsid w:val="005D2A2B"/>
    <w:rsid w:val="005D709F"/>
    <w:rsid w:val="005E1BA9"/>
    <w:rsid w:val="005E5772"/>
    <w:rsid w:val="005F254D"/>
    <w:rsid w:val="005F3381"/>
    <w:rsid w:val="005F64A2"/>
    <w:rsid w:val="005F772F"/>
    <w:rsid w:val="00606CEF"/>
    <w:rsid w:val="0060751A"/>
    <w:rsid w:val="00610F8E"/>
    <w:rsid w:val="00612027"/>
    <w:rsid w:val="00613DE5"/>
    <w:rsid w:val="00614019"/>
    <w:rsid w:val="006157EA"/>
    <w:rsid w:val="00617EDD"/>
    <w:rsid w:val="00630EB8"/>
    <w:rsid w:val="00637AC1"/>
    <w:rsid w:val="00637C88"/>
    <w:rsid w:val="00643AA0"/>
    <w:rsid w:val="00644CD9"/>
    <w:rsid w:val="0064544E"/>
    <w:rsid w:val="0065580A"/>
    <w:rsid w:val="00655CE8"/>
    <w:rsid w:val="00664476"/>
    <w:rsid w:val="006665C7"/>
    <w:rsid w:val="006666DD"/>
    <w:rsid w:val="00672666"/>
    <w:rsid w:val="0067650F"/>
    <w:rsid w:val="006806CA"/>
    <w:rsid w:val="00683869"/>
    <w:rsid w:val="00683A04"/>
    <w:rsid w:val="00694CEF"/>
    <w:rsid w:val="00695720"/>
    <w:rsid w:val="006A3214"/>
    <w:rsid w:val="006A4975"/>
    <w:rsid w:val="006A5FEB"/>
    <w:rsid w:val="006B2397"/>
    <w:rsid w:val="006B5D06"/>
    <w:rsid w:val="006B6E51"/>
    <w:rsid w:val="006C63ED"/>
    <w:rsid w:val="006D0574"/>
    <w:rsid w:val="006D0B0E"/>
    <w:rsid w:val="006D2134"/>
    <w:rsid w:val="006D3D9F"/>
    <w:rsid w:val="006E1814"/>
    <w:rsid w:val="006E4EA4"/>
    <w:rsid w:val="006F0EB7"/>
    <w:rsid w:val="006F66CB"/>
    <w:rsid w:val="006F79C4"/>
    <w:rsid w:val="007018BC"/>
    <w:rsid w:val="00701BC2"/>
    <w:rsid w:val="007020FF"/>
    <w:rsid w:val="0070327B"/>
    <w:rsid w:val="00703354"/>
    <w:rsid w:val="007110B3"/>
    <w:rsid w:val="00713EC5"/>
    <w:rsid w:val="0071755B"/>
    <w:rsid w:val="00726066"/>
    <w:rsid w:val="00726D70"/>
    <w:rsid w:val="00731725"/>
    <w:rsid w:val="007351CB"/>
    <w:rsid w:val="00735AAC"/>
    <w:rsid w:val="00735EAB"/>
    <w:rsid w:val="00742B4D"/>
    <w:rsid w:val="007479FB"/>
    <w:rsid w:val="00751263"/>
    <w:rsid w:val="0075295A"/>
    <w:rsid w:val="00752EE5"/>
    <w:rsid w:val="0075712A"/>
    <w:rsid w:val="00757926"/>
    <w:rsid w:val="00760A3D"/>
    <w:rsid w:val="00762CC2"/>
    <w:rsid w:val="0076353E"/>
    <w:rsid w:val="00763EFA"/>
    <w:rsid w:val="00770B30"/>
    <w:rsid w:val="00770FF9"/>
    <w:rsid w:val="00775C36"/>
    <w:rsid w:val="00780531"/>
    <w:rsid w:val="00785B17"/>
    <w:rsid w:val="0078686C"/>
    <w:rsid w:val="00787D58"/>
    <w:rsid w:val="007919E9"/>
    <w:rsid w:val="007A0473"/>
    <w:rsid w:val="007A3B5C"/>
    <w:rsid w:val="007A5004"/>
    <w:rsid w:val="007B5B8A"/>
    <w:rsid w:val="007C1414"/>
    <w:rsid w:val="007C5FF1"/>
    <w:rsid w:val="007D038A"/>
    <w:rsid w:val="007D1B4F"/>
    <w:rsid w:val="007D3DA3"/>
    <w:rsid w:val="007D45E5"/>
    <w:rsid w:val="007D4EA2"/>
    <w:rsid w:val="007E1D12"/>
    <w:rsid w:val="007E5EC1"/>
    <w:rsid w:val="007E6112"/>
    <w:rsid w:val="007E69CE"/>
    <w:rsid w:val="007F3B15"/>
    <w:rsid w:val="007F7D3D"/>
    <w:rsid w:val="00800311"/>
    <w:rsid w:val="00801222"/>
    <w:rsid w:val="00802298"/>
    <w:rsid w:val="008054A2"/>
    <w:rsid w:val="00805963"/>
    <w:rsid w:val="0080610A"/>
    <w:rsid w:val="008100F9"/>
    <w:rsid w:val="00820AB4"/>
    <w:rsid w:val="00830781"/>
    <w:rsid w:val="008315CB"/>
    <w:rsid w:val="00831B8E"/>
    <w:rsid w:val="00831C4E"/>
    <w:rsid w:val="00833FB4"/>
    <w:rsid w:val="008365FB"/>
    <w:rsid w:val="00841CEE"/>
    <w:rsid w:val="00842554"/>
    <w:rsid w:val="00843A2A"/>
    <w:rsid w:val="00847E27"/>
    <w:rsid w:val="008520A9"/>
    <w:rsid w:val="00854492"/>
    <w:rsid w:val="0085605A"/>
    <w:rsid w:val="00860F87"/>
    <w:rsid w:val="008619DD"/>
    <w:rsid w:val="008637E3"/>
    <w:rsid w:val="0088190E"/>
    <w:rsid w:val="00882EFA"/>
    <w:rsid w:val="00883703"/>
    <w:rsid w:val="008913D6"/>
    <w:rsid w:val="00891BE8"/>
    <w:rsid w:val="00892510"/>
    <w:rsid w:val="00894A87"/>
    <w:rsid w:val="008A2DAE"/>
    <w:rsid w:val="008A51A3"/>
    <w:rsid w:val="008A7BB9"/>
    <w:rsid w:val="008B6F15"/>
    <w:rsid w:val="008C2714"/>
    <w:rsid w:val="008C7EA6"/>
    <w:rsid w:val="008D16EE"/>
    <w:rsid w:val="008D43EE"/>
    <w:rsid w:val="008D4ADD"/>
    <w:rsid w:val="008F09AD"/>
    <w:rsid w:val="008F368B"/>
    <w:rsid w:val="008F40F1"/>
    <w:rsid w:val="008F7F73"/>
    <w:rsid w:val="00901F4A"/>
    <w:rsid w:val="00903C18"/>
    <w:rsid w:val="0090757A"/>
    <w:rsid w:val="0091290F"/>
    <w:rsid w:val="00917CAF"/>
    <w:rsid w:val="00920254"/>
    <w:rsid w:val="00923083"/>
    <w:rsid w:val="00927E07"/>
    <w:rsid w:val="009303F4"/>
    <w:rsid w:val="00931A1C"/>
    <w:rsid w:val="00942CC5"/>
    <w:rsid w:val="00946CFB"/>
    <w:rsid w:val="00953FE5"/>
    <w:rsid w:val="00956366"/>
    <w:rsid w:val="0095656B"/>
    <w:rsid w:val="009579F9"/>
    <w:rsid w:val="00960F24"/>
    <w:rsid w:val="00964AB7"/>
    <w:rsid w:val="009721EC"/>
    <w:rsid w:val="009733AE"/>
    <w:rsid w:val="00980D82"/>
    <w:rsid w:val="00986247"/>
    <w:rsid w:val="00996E8D"/>
    <w:rsid w:val="009A1FC0"/>
    <w:rsid w:val="009A3C6E"/>
    <w:rsid w:val="009A6C03"/>
    <w:rsid w:val="009A6D58"/>
    <w:rsid w:val="009B15DD"/>
    <w:rsid w:val="009B408D"/>
    <w:rsid w:val="009C381F"/>
    <w:rsid w:val="009C5965"/>
    <w:rsid w:val="009D16CC"/>
    <w:rsid w:val="009D4F89"/>
    <w:rsid w:val="009D7AB6"/>
    <w:rsid w:val="009D7DA5"/>
    <w:rsid w:val="009E04FC"/>
    <w:rsid w:val="009E1740"/>
    <w:rsid w:val="009E3C59"/>
    <w:rsid w:val="009E7094"/>
    <w:rsid w:val="009E778B"/>
    <w:rsid w:val="009F2DB0"/>
    <w:rsid w:val="009F5A22"/>
    <w:rsid w:val="00A01D7F"/>
    <w:rsid w:val="00A03F38"/>
    <w:rsid w:val="00A06790"/>
    <w:rsid w:val="00A10AB7"/>
    <w:rsid w:val="00A128A4"/>
    <w:rsid w:val="00A15410"/>
    <w:rsid w:val="00A16F93"/>
    <w:rsid w:val="00A22BDB"/>
    <w:rsid w:val="00A2375F"/>
    <w:rsid w:val="00A24C5A"/>
    <w:rsid w:val="00A27E0A"/>
    <w:rsid w:val="00A30FC1"/>
    <w:rsid w:val="00A34088"/>
    <w:rsid w:val="00A34284"/>
    <w:rsid w:val="00A359A3"/>
    <w:rsid w:val="00A41DB7"/>
    <w:rsid w:val="00A41EA5"/>
    <w:rsid w:val="00A4290A"/>
    <w:rsid w:val="00A44431"/>
    <w:rsid w:val="00A4760A"/>
    <w:rsid w:val="00A512A2"/>
    <w:rsid w:val="00A550DF"/>
    <w:rsid w:val="00A56EA8"/>
    <w:rsid w:val="00A56EF8"/>
    <w:rsid w:val="00A56F08"/>
    <w:rsid w:val="00A571C9"/>
    <w:rsid w:val="00A607FD"/>
    <w:rsid w:val="00A64624"/>
    <w:rsid w:val="00A67A97"/>
    <w:rsid w:val="00A708E3"/>
    <w:rsid w:val="00A7215B"/>
    <w:rsid w:val="00A809AF"/>
    <w:rsid w:val="00A81B72"/>
    <w:rsid w:val="00A82A91"/>
    <w:rsid w:val="00A9377F"/>
    <w:rsid w:val="00A93FF4"/>
    <w:rsid w:val="00AB5F98"/>
    <w:rsid w:val="00AC2EF2"/>
    <w:rsid w:val="00AC5704"/>
    <w:rsid w:val="00AC6AE7"/>
    <w:rsid w:val="00AD1FC3"/>
    <w:rsid w:val="00AD2A52"/>
    <w:rsid w:val="00AD489B"/>
    <w:rsid w:val="00AD4E7E"/>
    <w:rsid w:val="00AD70DB"/>
    <w:rsid w:val="00AE4FEB"/>
    <w:rsid w:val="00AE6E7F"/>
    <w:rsid w:val="00AF4E07"/>
    <w:rsid w:val="00B104A3"/>
    <w:rsid w:val="00B118E3"/>
    <w:rsid w:val="00B11936"/>
    <w:rsid w:val="00B14156"/>
    <w:rsid w:val="00B1534F"/>
    <w:rsid w:val="00B45FC8"/>
    <w:rsid w:val="00B54A52"/>
    <w:rsid w:val="00B550B4"/>
    <w:rsid w:val="00B55296"/>
    <w:rsid w:val="00B552BD"/>
    <w:rsid w:val="00B55451"/>
    <w:rsid w:val="00B55754"/>
    <w:rsid w:val="00B61709"/>
    <w:rsid w:val="00B61B46"/>
    <w:rsid w:val="00B6428F"/>
    <w:rsid w:val="00B71FE7"/>
    <w:rsid w:val="00B72EED"/>
    <w:rsid w:val="00B76A5E"/>
    <w:rsid w:val="00B77E87"/>
    <w:rsid w:val="00B80175"/>
    <w:rsid w:val="00B96FEA"/>
    <w:rsid w:val="00BA066F"/>
    <w:rsid w:val="00BA1B0D"/>
    <w:rsid w:val="00BA72C9"/>
    <w:rsid w:val="00BB4EB6"/>
    <w:rsid w:val="00BC247A"/>
    <w:rsid w:val="00BC3802"/>
    <w:rsid w:val="00BC443A"/>
    <w:rsid w:val="00BD0296"/>
    <w:rsid w:val="00BD4E6B"/>
    <w:rsid w:val="00BE6FD6"/>
    <w:rsid w:val="00BE792D"/>
    <w:rsid w:val="00BE7AC0"/>
    <w:rsid w:val="00BF15D4"/>
    <w:rsid w:val="00BF18C0"/>
    <w:rsid w:val="00BF191D"/>
    <w:rsid w:val="00BF44E9"/>
    <w:rsid w:val="00BF605F"/>
    <w:rsid w:val="00C05F67"/>
    <w:rsid w:val="00C07EA7"/>
    <w:rsid w:val="00C12917"/>
    <w:rsid w:val="00C14706"/>
    <w:rsid w:val="00C15940"/>
    <w:rsid w:val="00C17332"/>
    <w:rsid w:val="00C17463"/>
    <w:rsid w:val="00C2119D"/>
    <w:rsid w:val="00C24F24"/>
    <w:rsid w:val="00C25C6A"/>
    <w:rsid w:val="00C264BF"/>
    <w:rsid w:val="00C37492"/>
    <w:rsid w:val="00C41672"/>
    <w:rsid w:val="00C438AB"/>
    <w:rsid w:val="00C439BC"/>
    <w:rsid w:val="00C457BC"/>
    <w:rsid w:val="00C47AD6"/>
    <w:rsid w:val="00C5036E"/>
    <w:rsid w:val="00C50D31"/>
    <w:rsid w:val="00C5323C"/>
    <w:rsid w:val="00C56F92"/>
    <w:rsid w:val="00C6248A"/>
    <w:rsid w:val="00C63711"/>
    <w:rsid w:val="00C65F3B"/>
    <w:rsid w:val="00C70481"/>
    <w:rsid w:val="00C71162"/>
    <w:rsid w:val="00C71B59"/>
    <w:rsid w:val="00C75C82"/>
    <w:rsid w:val="00C9274D"/>
    <w:rsid w:val="00C93396"/>
    <w:rsid w:val="00C97000"/>
    <w:rsid w:val="00CA1D45"/>
    <w:rsid w:val="00CA2754"/>
    <w:rsid w:val="00CA2783"/>
    <w:rsid w:val="00CB244B"/>
    <w:rsid w:val="00CB6B53"/>
    <w:rsid w:val="00CB77DB"/>
    <w:rsid w:val="00CC3EF7"/>
    <w:rsid w:val="00CC6175"/>
    <w:rsid w:val="00CD00EB"/>
    <w:rsid w:val="00CD03A3"/>
    <w:rsid w:val="00CD132E"/>
    <w:rsid w:val="00CD31B4"/>
    <w:rsid w:val="00CD4CA0"/>
    <w:rsid w:val="00CD63FC"/>
    <w:rsid w:val="00CF3E1F"/>
    <w:rsid w:val="00CF4727"/>
    <w:rsid w:val="00CF7887"/>
    <w:rsid w:val="00D07D0F"/>
    <w:rsid w:val="00D121A2"/>
    <w:rsid w:val="00D15D43"/>
    <w:rsid w:val="00D22272"/>
    <w:rsid w:val="00D228BA"/>
    <w:rsid w:val="00D2349D"/>
    <w:rsid w:val="00D261DD"/>
    <w:rsid w:val="00D35C3A"/>
    <w:rsid w:val="00D35F51"/>
    <w:rsid w:val="00D369B2"/>
    <w:rsid w:val="00D41101"/>
    <w:rsid w:val="00D50453"/>
    <w:rsid w:val="00D50F5D"/>
    <w:rsid w:val="00D55978"/>
    <w:rsid w:val="00D55A6F"/>
    <w:rsid w:val="00D563A2"/>
    <w:rsid w:val="00D62826"/>
    <w:rsid w:val="00D632A8"/>
    <w:rsid w:val="00D63749"/>
    <w:rsid w:val="00D64220"/>
    <w:rsid w:val="00D7450C"/>
    <w:rsid w:val="00D80070"/>
    <w:rsid w:val="00D84FFE"/>
    <w:rsid w:val="00D85B58"/>
    <w:rsid w:val="00D917E1"/>
    <w:rsid w:val="00D96B4E"/>
    <w:rsid w:val="00D97DBE"/>
    <w:rsid w:val="00DA0576"/>
    <w:rsid w:val="00DA0EC2"/>
    <w:rsid w:val="00DA1B66"/>
    <w:rsid w:val="00DA1CF1"/>
    <w:rsid w:val="00DA2499"/>
    <w:rsid w:val="00DA69A5"/>
    <w:rsid w:val="00DB062F"/>
    <w:rsid w:val="00DB1EBD"/>
    <w:rsid w:val="00DB2032"/>
    <w:rsid w:val="00DB4E64"/>
    <w:rsid w:val="00DC38EE"/>
    <w:rsid w:val="00DD6495"/>
    <w:rsid w:val="00DE46DE"/>
    <w:rsid w:val="00DE4F88"/>
    <w:rsid w:val="00DE7DEB"/>
    <w:rsid w:val="00DF3648"/>
    <w:rsid w:val="00DF3BB3"/>
    <w:rsid w:val="00DF69E3"/>
    <w:rsid w:val="00E0417B"/>
    <w:rsid w:val="00E05F10"/>
    <w:rsid w:val="00E12EB8"/>
    <w:rsid w:val="00E13386"/>
    <w:rsid w:val="00E147D4"/>
    <w:rsid w:val="00E157AA"/>
    <w:rsid w:val="00E203E5"/>
    <w:rsid w:val="00E25DE1"/>
    <w:rsid w:val="00E31FE3"/>
    <w:rsid w:val="00E3504B"/>
    <w:rsid w:val="00E35F53"/>
    <w:rsid w:val="00E42B4F"/>
    <w:rsid w:val="00E43B83"/>
    <w:rsid w:val="00E46543"/>
    <w:rsid w:val="00E50691"/>
    <w:rsid w:val="00E56BDC"/>
    <w:rsid w:val="00E603AD"/>
    <w:rsid w:val="00E617CF"/>
    <w:rsid w:val="00E65F10"/>
    <w:rsid w:val="00E70501"/>
    <w:rsid w:val="00E714A6"/>
    <w:rsid w:val="00E73B1B"/>
    <w:rsid w:val="00E80EF1"/>
    <w:rsid w:val="00E828CE"/>
    <w:rsid w:val="00E84326"/>
    <w:rsid w:val="00E84BA7"/>
    <w:rsid w:val="00E8730A"/>
    <w:rsid w:val="00E92395"/>
    <w:rsid w:val="00E92DD7"/>
    <w:rsid w:val="00E93B9F"/>
    <w:rsid w:val="00E9479B"/>
    <w:rsid w:val="00E960C4"/>
    <w:rsid w:val="00EA18F1"/>
    <w:rsid w:val="00EA5132"/>
    <w:rsid w:val="00EA798C"/>
    <w:rsid w:val="00EB11BD"/>
    <w:rsid w:val="00EB23F9"/>
    <w:rsid w:val="00EB2942"/>
    <w:rsid w:val="00EB2D20"/>
    <w:rsid w:val="00EB4026"/>
    <w:rsid w:val="00EB58FB"/>
    <w:rsid w:val="00EC57EE"/>
    <w:rsid w:val="00ED04CB"/>
    <w:rsid w:val="00ED080B"/>
    <w:rsid w:val="00ED11CF"/>
    <w:rsid w:val="00EE45DE"/>
    <w:rsid w:val="00EE7AD0"/>
    <w:rsid w:val="00EF48E5"/>
    <w:rsid w:val="00F0125E"/>
    <w:rsid w:val="00F07E1F"/>
    <w:rsid w:val="00F119D9"/>
    <w:rsid w:val="00F11F92"/>
    <w:rsid w:val="00F128A0"/>
    <w:rsid w:val="00F15355"/>
    <w:rsid w:val="00F20D29"/>
    <w:rsid w:val="00F3145F"/>
    <w:rsid w:val="00F350CF"/>
    <w:rsid w:val="00F37118"/>
    <w:rsid w:val="00F4078E"/>
    <w:rsid w:val="00F438AE"/>
    <w:rsid w:val="00F46F18"/>
    <w:rsid w:val="00F51DFE"/>
    <w:rsid w:val="00F5258E"/>
    <w:rsid w:val="00F54FD8"/>
    <w:rsid w:val="00F61CCB"/>
    <w:rsid w:val="00F73773"/>
    <w:rsid w:val="00F81ED8"/>
    <w:rsid w:val="00F929EF"/>
    <w:rsid w:val="00F97D93"/>
    <w:rsid w:val="00FA9AEA"/>
    <w:rsid w:val="00FB2EF0"/>
    <w:rsid w:val="00FB4847"/>
    <w:rsid w:val="00FC0D0B"/>
    <w:rsid w:val="00FC3B45"/>
    <w:rsid w:val="00FD1285"/>
    <w:rsid w:val="00FD2BBC"/>
    <w:rsid w:val="00FD5A01"/>
    <w:rsid w:val="00FE641D"/>
    <w:rsid w:val="00FE718E"/>
    <w:rsid w:val="00FF1381"/>
    <w:rsid w:val="00FF301B"/>
    <w:rsid w:val="0178CDB4"/>
    <w:rsid w:val="01AD6B29"/>
    <w:rsid w:val="02AA9B0D"/>
    <w:rsid w:val="0308FF5F"/>
    <w:rsid w:val="03D2961E"/>
    <w:rsid w:val="054AB68F"/>
    <w:rsid w:val="058CD2C3"/>
    <w:rsid w:val="05905DB9"/>
    <w:rsid w:val="059D3366"/>
    <w:rsid w:val="05FE1158"/>
    <w:rsid w:val="060D7A53"/>
    <w:rsid w:val="06767A7D"/>
    <w:rsid w:val="0698C51A"/>
    <w:rsid w:val="07AF53D1"/>
    <w:rsid w:val="081BC5A8"/>
    <w:rsid w:val="0822B1E2"/>
    <w:rsid w:val="084174A9"/>
    <w:rsid w:val="08AF7174"/>
    <w:rsid w:val="08ED3646"/>
    <w:rsid w:val="09A82571"/>
    <w:rsid w:val="09EFA8D6"/>
    <w:rsid w:val="0A49A558"/>
    <w:rsid w:val="0ABBF316"/>
    <w:rsid w:val="0AFD9F10"/>
    <w:rsid w:val="0B046D64"/>
    <w:rsid w:val="0B047FEF"/>
    <w:rsid w:val="0B4566E1"/>
    <w:rsid w:val="0C2FCFF2"/>
    <w:rsid w:val="0C407985"/>
    <w:rsid w:val="0CB68428"/>
    <w:rsid w:val="0D424155"/>
    <w:rsid w:val="0D7757A7"/>
    <w:rsid w:val="0D8B922B"/>
    <w:rsid w:val="0DA72773"/>
    <w:rsid w:val="0DC3271B"/>
    <w:rsid w:val="0E0F5D55"/>
    <w:rsid w:val="0EE8025C"/>
    <w:rsid w:val="0F89E50C"/>
    <w:rsid w:val="0FE082B0"/>
    <w:rsid w:val="10349A53"/>
    <w:rsid w:val="10AEAD76"/>
    <w:rsid w:val="1196B326"/>
    <w:rsid w:val="11D29B43"/>
    <w:rsid w:val="1323CEE7"/>
    <w:rsid w:val="13326303"/>
    <w:rsid w:val="13C729B6"/>
    <w:rsid w:val="14615F16"/>
    <w:rsid w:val="14D9F926"/>
    <w:rsid w:val="15454E62"/>
    <w:rsid w:val="157D2B43"/>
    <w:rsid w:val="158229F2"/>
    <w:rsid w:val="15B016EE"/>
    <w:rsid w:val="161E5A80"/>
    <w:rsid w:val="164D44A1"/>
    <w:rsid w:val="167CA168"/>
    <w:rsid w:val="182C3A8A"/>
    <w:rsid w:val="1897DEF3"/>
    <w:rsid w:val="18B6A055"/>
    <w:rsid w:val="1910952D"/>
    <w:rsid w:val="19299F1E"/>
    <w:rsid w:val="19EBFD66"/>
    <w:rsid w:val="19FEF0B3"/>
    <w:rsid w:val="1A789B8D"/>
    <w:rsid w:val="1A8572E7"/>
    <w:rsid w:val="1B7EF217"/>
    <w:rsid w:val="1BCB7B8C"/>
    <w:rsid w:val="1BE62CA0"/>
    <w:rsid w:val="1C275BDC"/>
    <w:rsid w:val="1C3F568A"/>
    <w:rsid w:val="1C4CF65D"/>
    <w:rsid w:val="1CE23F7D"/>
    <w:rsid w:val="1D243A02"/>
    <w:rsid w:val="1D5E2785"/>
    <w:rsid w:val="1D8535F6"/>
    <w:rsid w:val="1E0B8B09"/>
    <w:rsid w:val="1E1341B2"/>
    <w:rsid w:val="1E18A84D"/>
    <w:rsid w:val="1E7D1D28"/>
    <w:rsid w:val="1EA81C4B"/>
    <w:rsid w:val="1EBBF2C5"/>
    <w:rsid w:val="1F0C5FD1"/>
    <w:rsid w:val="20A0C726"/>
    <w:rsid w:val="212023D6"/>
    <w:rsid w:val="218F9C0F"/>
    <w:rsid w:val="21B0A130"/>
    <w:rsid w:val="21C9FAB4"/>
    <w:rsid w:val="21EA723B"/>
    <w:rsid w:val="22135A3A"/>
    <w:rsid w:val="225231AF"/>
    <w:rsid w:val="227DC67E"/>
    <w:rsid w:val="22BCADB1"/>
    <w:rsid w:val="22D5272B"/>
    <w:rsid w:val="232B386D"/>
    <w:rsid w:val="234CD20D"/>
    <w:rsid w:val="235E7419"/>
    <w:rsid w:val="248AF62A"/>
    <w:rsid w:val="24B605B1"/>
    <w:rsid w:val="24C1B2A9"/>
    <w:rsid w:val="24F7585A"/>
    <w:rsid w:val="25095B5F"/>
    <w:rsid w:val="2511D3F0"/>
    <w:rsid w:val="2540A1F6"/>
    <w:rsid w:val="254DAC6A"/>
    <w:rsid w:val="257DD33E"/>
    <w:rsid w:val="259A8EC3"/>
    <w:rsid w:val="25CAA7EA"/>
    <w:rsid w:val="25D6F2FD"/>
    <w:rsid w:val="2661C1B2"/>
    <w:rsid w:val="26864AC5"/>
    <w:rsid w:val="26A3DF08"/>
    <w:rsid w:val="26F94BCC"/>
    <w:rsid w:val="28DBA636"/>
    <w:rsid w:val="28E50692"/>
    <w:rsid w:val="295F3EAB"/>
    <w:rsid w:val="2999CE8A"/>
    <w:rsid w:val="29BB8D0F"/>
    <w:rsid w:val="2A0C1A19"/>
    <w:rsid w:val="2A3C4BE1"/>
    <w:rsid w:val="2A496884"/>
    <w:rsid w:val="2A5B3CC4"/>
    <w:rsid w:val="2A9F2742"/>
    <w:rsid w:val="2AEE4CB7"/>
    <w:rsid w:val="2B4B78A9"/>
    <w:rsid w:val="2B8B8D8C"/>
    <w:rsid w:val="2B962B3D"/>
    <w:rsid w:val="2C3EC4EE"/>
    <w:rsid w:val="2C6C041C"/>
    <w:rsid w:val="2CE44743"/>
    <w:rsid w:val="2D20E83A"/>
    <w:rsid w:val="2D32672A"/>
    <w:rsid w:val="2D3C7E70"/>
    <w:rsid w:val="2DBD1CD5"/>
    <w:rsid w:val="2DCB98DD"/>
    <w:rsid w:val="2DFC3D8C"/>
    <w:rsid w:val="2E70E2D9"/>
    <w:rsid w:val="2EA0F56E"/>
    <w:rsid w:val="2EB28B56"/>
    <w:rsid w:val="2F303BD9"/>
    <w:rsid w:val="3034DF8E"/>
    <w:rsid w:val="3040AD7F"/>
    <w:rsid w:val="3083C6FA"/>
    <w:rsid w:val="30C257FE"/>
    <w:rsid w:val="30D565C4"/>
    <w:rsid w:val="3136534C"/>
    <w:rsid w:val="313AB717"/>
    <w:rsid w:val="31A67C7F"/>
    <w:rsid w:val="324C2FD0"/>
    <w:rsid w:val="325BE026"/>
    <w:rsid w:val="3276DA7F"/>
    <w:rsid w:val="3290D639"/>
    <w:rsid w:val="32938A0A"/>
    <w:rsid w:val="333D4900"/>
    <w:rsid w:val="337E0380"/>
    <w:rsid w:val="3390CE8B"/>
    <w:rsid w:val="33A0662B"/>
    <w:rsid w:val="348EE5B0"/>
    <w:rsid w:val="34B0D158"/>
    <w:rsid w:val="3506F2D0"/>
    <w:rsid w:val="352AEE7A"/>
    <w:rsid w:val="35375A4E"/>
    <w:rsid w:val="354874E8"/>
    <w:rsid w:val="36D32F99"/>
    <w:rsid w:val="376CFA5B"/>
    <w:rsid w:val="37E52839"/>
    <w:rsid w:val="3801963C"/>
    <w:rsid w:val="381579B6"/>
    <w:rsid w:val="38251348"/>
    <w:rsid w:val="3868D927"/>
    <w:rsid w:val="38707DA7"/>
    <w:rsid w:val="394C5121"/>
    <w:rsid w:val="3AD82742"/>
    <w:rsid w:val="3BD53506"/>
    <w:rsid w:val="3C1590C5"/>
    <w:rsid w:val="3C46C859"/>
    <w:rsid w:val="3C57E52A"/>
    <w:rsid w:val="3C5F8A52"/>
    <w:rsid w:val="3C7389D1"/>
    <w:rsid w:val="3D06C215"/>
    <w:rsid w:val="3D081BD9"/>
    <w:rsid w:val="3E492334"/>
    <w:rsid w:val="3EABF87E"/>
    <w:rsid w:val="3F0BF13A"/>
    <w:rsid w:val="3F338DB6"/>
    <w:rsid w:val="4010E664"/>
    <w:rsid w:val="408D29CF"/>
    <w:rsid w:val="40E03E55"/>
    <w:rsid w:val="413D0FC9"/>
    <w:rsid w:val="41E8D4A8"/>
    <w:rsid w:val="42287284"/>
    <w:rsid w:val="4254CB8E"/>
    <w:rsid w:val="42A2522E"/>
    <w:rsid w:val="42D6D8E5"/>
    <w:rsid w:val="4303E0D3"/>
    <w:rsid w:val="433E7400"/>
    <w:rsid w:val="44188E26"/>
    <w:rsid w:val="446A4778"/>
    <w:rsid w:val="448166FD"/>
    <w:rsid w:val="452244E9"/>
    <w:rsid w:val="45942B60"/>
    <w:rsid w:val="471E5A81"/>
    <w:rsid w:val="47CBBC61"/>
    <w:rsid w:val="483FDF28"/>
    <w:rsid w:val="48D31AE1"/>
    <w:rsid w:val="49AFE4AC"/>
    <w:rsid w:val="49BB3BA4"/>
    <w:rsid w:val="4A1D4904"/>
    <w:rsid w:val="4A5F8A8D"/>
    <w:rsid w:val="4A71EEE3"/>
    <w:rsid w:val="4A823EB3"/>
    <w:rsid w:val="4ADF440B"/>
    <w:rsid w:val="4AE7962E"/>
    <w:rsid w:val="4CEE1283"/>
    <w:rsid w:val="4D2BEE1C"/>
    <w:rsid w:val="4D34A061"/>
    <w:rsid w:val="4D4CD946"/>
    <w:rsid w:val="4DF48252"/>
    <w:rsid w:val="4EDC8285"/>
    <w:rsid w:val="4F0D2837"/>
    <w:rsid w:val="4F4488B6"/>
    <w:rsid w:val="4FE4BBED"/>
    <w:rsid w:val="4FF1824C"/>
    <w:rsid w:val="504BCDC0"/>
    <w:rsid w:val="508D28C5"/>
    <w:rsid w:val="50A95FA5"/>
    <w:rsid w:val="512439D3"/>
    <w:rsid w:val="5159EDC7"/>
    <w:rsid w:val="51E2AAEF"/>
    <w:rsid w:val="51EA6EC8"/>
    <w:rsid w:val="5239F496"/>
    <w:rsid w:val="5248D383"/>
    <w:rsid w:val="53C14598"/>
    <w:rsid w:val="5407124C"/>
    <w:rsid w:val="54370C99"/>
    <w:rsid w:val="548F95FC"/>
    <w:rsid w:val="54F31139"/>
    <w:rsid w:val="554EFD19"/>
    <w:rsid w:val="55F49A58"/>
    <w:rsid w:val="5622C489"/>
    <w:rsid w:val="56450E89"/>
    <w:rsid w:val="56E6216F"/>
    <w:rsid w:val="5794AE4F"/>
    <w:rsid w:val="57A5678B"/>
    <w:rsid w:val="57D2798A"/>
    <w:rsid w:val="57D4187B"/>
    <w:rsid w:val="57FE024E"/>
    <w:rsid w:val="581175B4"/>
    <w:rsid w:val="58895FDC"/>
    <w:rsid w:val="58B54903"/>
    <w:rsid w:val="58BA0E16"/>
    <w:rsid w:val="59780957"/>
    <w:rsid w:val="5A609B04"/>
    <w:rsid w:val="5A8B1961"/>
    <w:rsid w:val="5AFDE090"/>
    <w:rsid w:val="5B1520B8"/>
    <w:rsid w:val="5B34ACF3"/>
    <w:rsid w:val="5B4D19C0"/>
    <w:rsid w:val="5B8B186A"/>
    <w:rsid w:val="5BCB7FB9"/>
    <w:rsid w:val="5BF593B5"/>
    <w:rsid w:val="5C123642"/>
    <w:rsid w:val="5CFF272A"/>
    <w:rsid w:val="5D806868"/>
    <w:rsid w:val="5D90265E"/>
    <w:rsid w:val="5E4A8626"/>
    <w:rsid w:val="5F3FA05C"/>
    <w:rsid w:val="5F5EB645"/>
    <w:rsid w:val="5FB608BB"/>
    <w:rsid w:val="5FC80562"/>
    <w:rsid w:val="6000D91F"/>
    <w:rsid w:val="6065EA22"/>
    <w:rsid w:val="60993180"/>
    <w:rsid w:val="60BA4F82"/>
    <w:rsid w:val="60E99832"/>
    <w:rsid w:val="61226439"/>
    <w:rsid w:val="61906D04"/>
    <w:rsid w:val="61B513B3"/>
    <w:rsid w:val="621690FF"/>
    <w:rsid w:val="6231BF04"/>
    <w:rsid w:val="625DC7D4"/>
    <w:rsid w:val="62A547BA"/>
    <w:rsid w:val="62C76A21"/>
    <w:rsid w:val="632ED27E"/>
    <w:rsid w:val="63398259"/>
    <w:rsid w:val="635FC242"/>
    <w:rsid w:val="63B7A340"/>
    <w:rsid w:val="63B934B2"/>
    <w:rsid w:val="643046F1"/>
    <w:rsid w:val="64377CBC"/>
    <w:rsid w:val="64CE26F7"/>
    <w:rsid w:val="64D46887"/>
    <w:rsid w:val="64DBD6FE"/>
    <w:rsid w:val="65523D52"/>
    <w:rsid w:val="65556020"/>
    <w:rsid w:val="65D6BE0E"/>
    <w:rsid w:val="66B9BBDB"/>
    <w:rsid w:val="673F29F6"/>
    <w:rsid w:val="67E961E9"/>
    <w:rsid w:val="6800238C"/>
    <w:rsid w:val="6890F804"/>
    <w:rsid w:val="69000E42"/>
    <w:rsid w:val="69137E4C"/>
    <w:rsid w:val="693AC71E"/>
    <w:rsid w:val="693F7F5E"/>
    <w:rsid w:val="69459430"/>
    <w:rsid w:val="69C1D16B"/>
    <w:rsid w:val="6A30CB4D"/>
    <w:rsid w:val="6A68F2D6"/>
    <w:rsid w:val="6A739283"/>
    <w:rsid w:val="6AA100CF"/>
    <w:rsid w:val="6B14162C"/>
    <w:rsid w:val="6BD7FF7B"/>
    <w:rsid w:val="6BE16F16"/>
    <w:rsid w:val="6C0A70E8"/>
    <w:rsid w:val="6C2F0279"/>
    <w:rsid w:val="6C82211E"/>
    <w:rsid w:val="6C842E3F"/>
    <w:rsid w:val="6D087A05"/>
    <w:rsid w:val="6D21040C"/>
    <w:rsid w:val="6D9B7EE1"/>
    <w:rsid w:val="6E1BB405"/>
    <w:rsid w:val="6F39627F"/>
    <w:rsid w:val="6F6ACA65"/>
    <w:rsid w:val="6F9D4989"/>
    <w:rsid w:val="6FCF44AA"/>
    <w:rsid w:val="6FD8046B"/>
    <w:rsid w:val="701D1CFD"/>
    <w:rsid w:val="70D14547"/>
    <w:rsid w:val="7108C763"/>
    <w:rsid w:val="7116EC08"/>
    <w:rsid w:val="7199846D"/>
    <w:rsid w:val="71F253CF"/>
    <w:rsid w:val="7229CA6B"/>
    <w:rsid w:val="722CD151"/>
    <w:rsid w:val="72B6B220"/>
    <w:rsid w:val="72EBBA1F"/>
    <w:rsid w:val="7349E64B"/>
    <w:rsid w:val="73C2203A"/>
    <w:rsid w:val="7431E303"/>
    <w:rsid w:val="74500FD3"/>
    <w:rsid w:val="747A9079"/>
    <w:rsid w:val="751829C6"/>
    <w:rsid w:val="75441B55"/>
    <w:rsid w:val="75755DFC"/>
    <w:rsid w:val="759FEAB9"/>
    <w:rsid w:val="75BA35EF"/>
    <w:rsid w:val="75CD11BA"/>
    <w:rsid w:val="7602092F"/>
    <w:rsid w:val="7711BE57"/>
    <w:rsid w:val="7737364C"/>
    <w:rsid w:val="7765D11E"/>
    <w:rsid w:val="782ADC6E"/>
    <w:rsid w:val="788E19A0"/>
    <w:rsid w:val="78B4A194"/>
    <w:rsid w:val="78C863CC"/>
    <w:rsid w:val="797089F0"/>
    <w:rsid w:val="7A141674"/>
    <w:rsid w:val="7A8BFF6B"/>
    <w:rsid w:val="7C3CC732"/>
    <w:rsid w:val="7D390BB2"/>
    <w:rsid w:val="7DF0460A"/>
    <w:rsid w:val="7E11F12D"/>
    <w:rsid w:val="7E5D95C8"/>
    <w:rsid w:val="7E68741F"/>
    <w:rsid w:val="7EE3008A"/>
    <w:rsid w:val="7F6DAC5D"/>
    <w:rsid w:val="7FE69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D053F7A"/>
  <w15:chartTrackingRefBased/>
  <w15:docId w15:val="{C004E2C9-373D-4472-BA4A-58184212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2A2E3E"/>
  </w:style>
  <w:style w:type="paragraph" w:styleId="Kop1">
    <w:name w:val="heading 1"/>
    <w:link w:val="Kop1Char"/>
    <w:uiPriority w:val="9"/>
    <w:qFormat/>
    <w:rsid w:val="3390C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link w:val="Kop2Char"/>
    <w:uiPriority w:val="9"/>
    <w:unhideWhenUsed/>
    <w:qFormat/>
    <w:rsid w:val="3390C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link w:val="Kop3Char"/>
    <w:uiPriority w:val="9"/>
    <w:semiHidden/>
    <w:unhideWhenUsed/>
    <w:qFormat/>
    <w:rsid w:val="3390C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link w:val="Kop4Char"/>
    <w:uiPriority w:val="9"/>
    <w:semiHidden/>
    <w:unhideWhenUsed/>
    <w:qFormat/>
    <w:rsid w:val="3390C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link w:val="Kop5Char"/>
    <w:uiPriority w:val="9"/>
    <w:semiHidden/>
    <w:unhideWhenUsed/>
    <w:qFormat/>
    <w:rsid w:val="3390C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link w:val="Kop6Char"/>
    <w:uiPriority w:val="9"/>
    <w:semiHidden/>
    <w:unhideWhenUsed/>
    <w:qFormat/>
    <w:rsid w:val="3390C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link w:val="Kop7Char"/>
    <w:uiPriority w:val="9"/>
    <w:semiHidden/>
    <w:unhideWhenUsed/>
    <w:qFormat/>
    <w:rsid w:val="3390C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link w:val="Kop8Char"/>
    <w:uiPriority w:val="9"/>
    <w:semiHidden/>
    <w:unhideWhenUsed/>
    <w:qFormat/>
    <w:rsid w:val="3390CE8B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Kop9">
    <w:name w:val="heading 9"/>
    <w:link w:val="Kop9Char"/>
    <w:uiPriority w:val="9"/>
    <w:semiHidden/>
    <w:unhideWhenUsed/>
    <w:qFormat/>
    <w:rsid w:val="3390CE8B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link w:val="Kop1"/>
    <w:uiPriority w:val="9"/>
    <w:rsid w:val="3390C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link w:val="Kop2"/>
    <w:uiPriority w:val="9"/>
    <w:rsid w:val="3390C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link w:val="Kop3"/>
    <w:uiPriority w:val="9"/>
    <w:semiHidden/>
    <w:rsid w:val="3390C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link w:val="Kop4"/>
    <w:uiPriority w:val="9"/>
    <w:semiHidden/>
    <w:rsid w:val="3390CE8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link w:val="Kop5"/>
    <w:uiPriority w:val="9"/>
    <w:semiHidden/>
    <w:rsid w:val="3390CE8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link w:val="Kop6"/>
    <w:uiPriority w:val="9"/>
    <w:semiHidden/>
    <w:rsid w:val="3390CE8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link w:val="Kop7"/>
    <w:uiPriority w:val="9"/>
    <w:semiHidden/>
    <w:rsid w:val="3390CE8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link w:val="Kop8"/>
    <w:uiPriority w:val="9"/>
    <w:semiHidden/>
    <w:rsid w:val="3390CE8B"/>
    <w:rPr>
      <w:rFonts w:eastAsiaTheme="majorEastAsia" w:cstheme="majorBidi"/>
      <w:i/>
      <w:iCs/>
      <w:color w:val="272727"/>
    </w:rPr>
  </w:style>
  <w:style w:type="character" w:customStyle="1" w:styleId="Kop9Char">
    <w:name w:val="Kop 9 Char"/>
    <w:link w:val="Kop9"/>
    <w:uiPriority w:val="9"/>
    <w:semiHidden/>
    <w:rsid w:val="3390CE8B"/>
    <w:rPr>
      <w:rFonts w:eastAsiaTheme="majorEastAsia" w:cstheme="majorBidi"/>
      <w:color w:val="272727"/>
    </w:rPr>
  </w:style>
  <w:style w:type="paragraph" w:styleId="Titel">
    <w:name w:val="Title"/>
    <w:link w:val="TitelChar"/>
    <w:uiPriority w:val="10"/>
    <w:qFormat/>
    <w:rsid w:val="3390CE8B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Char">
    <w:name w:val="Titel Char"/>
    <w:link w:val="Titel"/>
    <w:uiPriority w:val="10"/>
    <w:rsid w:val="3390CE8B"/>
    <w:rPr>
      <w:rFonts w:asciiTheme="majorHAnsi" w:eastAsiaTheme="majorEastAsia" w:hAnsiTheme="majorHAnsi" w:cstheme="majorBidi"/>
      <w:sz w:val="56"/>
      <w:szCs w:val="56"/>
    </w:rPr>
  </w:style>
  <w:style w:type="paragraph" w:styleId="Ondertitel">
    <w:name w:val="Subtitle"/>
    <w:link w:val="OndertitelChar"/>
    <w:uiPriority w:val="11"/>
    <w:qFormat/>
    <w:rsid w:val="3390CE8B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OndertitelChar">
    <w:name w:val="Ondertitel Char"/>
    <w:link w:val="Ondertitel"/>
    <w:uiPriority w:val="11"/>
    <w:rsid w:val="3390CE8B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at">
    <w:name w:val="Quote"/>
    <w:link w:val="CitaatChar"/>
    <w:uiPriority w:val="29"/>
    <w:qFormat/>
    <w:rsid w:val="3390C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link w:val="Citaat"/>
    <w:uiPriority w:val="29"/>
    <w:rsid w:val="3390CE8B"/>
    <w:rPr>
      <w:i/>
      <w:iCs/>
      <w:color w:val="404040" w:themeColor="text1" w:themeTint="BF"/>
    </w:rPr>
  </w:style>
  <w:style w:type="paragraph" w:styleId="Lijstalinea">
    <w:name w:val="List Paragraph"/>
    <w:uiPriority w:val="34"/>
    <w:qFormat/>
    <w:rsid w:val="3390CE8B"/>
    <w:pPr>
      <w:ind w:left="720"/>
      <w:contextualSpacing/>
    </w:pPr>
  </w:style>
  <w:style w:type="character" w:styleId="Intensievebenadrukking">
    <w:name w:val="Intense Emphasis"/>
    <w:uiPriority w:val="21"/>
    <w:qFormat/>
    <w:rsid w:val="3390CE8B"/>
    <w:rPr>
      <w:i/>
      <w:iCs/>
      <w:color w:val="0F4761" w:themeColor="accent1" w:themeShade="BF"/>
    </w:rPr>
  </w:style>
  <w:style w:type="paragraph" w:styleId="Duidelijkcitaat">
    <w:name w:val="Intense Quote"/>
    <w:link w:val="DuidelijkcitaatChar"/>
    <w:uiPriority w:val="30"/>
    <w:qFormat/>
    <w:rsid w:val="3390C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link w:val="Duidelijkcitaat"/>
    <w:uiPriority w:val="30"/>
    <w:rsid w:val="3390CE8B"/>
    <w:rPr>
      <w:i/>
      <w:iCs/>
      <w:color w:val="0F4761" w:themeColor="accent1" w:themeShade="BF"/>
    </w:rPr>
  </w:style>
  <w:style w:type="character" w:styleId="Intensieveverwijzing">
    <w:name w:val="Intense Reference"/>
    <w:uiPriority w:val="32"/>
    <w:qFormat/>
    <w:rsid w:val="3390CE8B"/>
    <w:rPr>
      <w:b/>
      <w:bCs/>
      <w:smallCaps/>
      <w:color w:val="0F4761" w:themeColor="accent1" w:themeShade="BF"/>
    </w:rPr>
  </w:style>
  <w:style w:type="table" w:styleId="Tabelraster">
    <w:name w:val="Table Grid"/>
    <w:basedOn w:val="Standaardtabel"/>
    <w:uiPriority w:val="39"/>
    <w:rsid w:val="00157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vaninhoudsopgave">
    <w:name w:val="TOC Heading"/>
    <w:basedOn w:val="Kop1"/>
    <w:next w:val="Standaard"/>
    <w:uiPriority w:val="39"/>
    <w:unhideWhenUsed/>
    <w:qFormat/>
    <w:rsid w:val="00157E81"/>
    <w:pPr>
      <w:spacing w:before="240" w:after="0"/>
      <w:outlineLvl w:val="9"/>
    </w:pPr>
    <w:rPr>
      <w:sz w:val="32"/>
      <w:szCs w:val="32"/>
      <w:lang w:eastAsia="nl-NL"/>
      <w14:ligatures w14:val="none"/>
    </w:rPr>
  </w:style>
  <w:style w:type="paragraph" w:styleId="Inhopg1">
    <w:name w:val="toc 1"/>
    <w:uiPriority w:val="39"/>
    <w:unhideWhenUsed/>
    <w:rsid w:val="3390CE8B"/>
    <w:pPr>
      <w:spacing w:after="100"/>
    </w:pPr>
  </w:style>
  <w:style w:type="paragraph" w:styleId="Inhopg2">
    <w:name w:val="toc 2"/>
    <w:uiPriority w:val="39"/>
    <w:unhideWhenUsed/>
    <w:rsid w:val="3390CE8B"/>
    <w:pPr>
      <w:spacing w:after="100"/>
      <w:ind w:left="220"/>
    </w:pPr>
  </w:style>
  <w:style w:type="character" w:styleId="Hyperlink">
    <w:name w:val="Hyperlink"/>
    <w:uiPriority w:val="99"/>
    <w:unhideWhenUsed/>
    <w:rsid w:val="3390CE8B"/>
    <w:rPr>
      <w:color w:val="467886"/>
      <w:u w:val="single"/>
    </w:rPr>
  </w:style>
  <w:style w:type="paragraph" w:styleId="Normaalweb">
    <w:name w:val="Normal (Web)"/>
    <w:uiPriority w:val="99"/>
    <w:semiHidden/>
    <w:unhideWhenUsed/>
    <w:rsid w:val="3390CE8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paragraph" w:styleId="Koptekst">
    <w:name w:val="header"/>
    <w:uiPriority w:val="99"/>
    <w:unhideWhenUsed/>
    <w:rsid w:val="3390CE8B"/>
    <w:pPr>
      <w:tabs>
        <w:tab w:val="center" w:pos="4680"/>
        <w:tab w:val="right" w:pos="9360"/>
      </w:tabs>
      <w:spacing w:after="0" w:line="240" w:lineRule="auto"/>
    </w:pPr>
  </w:style>
  <w:style w:type="paragraph" w:styleId="Voettekst">
    <w:name w:val="footer"/>
    <w:uiPriority w:val="99"/>
    <w:unhideWhenUsed/>
    <w:rsid w:val="3390CE8B"/>
    <w:pPr>
      <w:tabs>
        <w:tab w:val="center" w:pos="4680"/>
        <w:tab w:val="right" w:pos="9360"/>
      </w:tabs>
      <w:spacing w:after="0" w:line="240" w:lineRule="auto"/>
    </w:pPr>
  </w:style>
  <w:style w:type="paragraph" w:styleId="Eindnoottekst">
    <w:name w:val="endnote text"/>
    <w:uiPriority w:val="99"/>
    <w:semiHidden/>
    <w:unhideWhenUsed/>
    <w:rsid w:val="3390CE8B"/>
    <w:pPr>
      <w:spacing w:after="0" w:line="240" w:lineRule="auto"/>
    </w:pPr>
    <w:rPr>
      <w:sz w:val="20"/>
      <w:szCs w:val="20"/>
    </w:rPr>
  </w:style>
  <w:style w:type="character" w:styleId="Eindnootmarkering">
    <w:name w:val="endnote reference"/>
    <w:uiPriority w:val="99"/>
    <w:semiHidden/>
    <w:unhideWhenUsed/>
    <w:rsid w:val="3390CE8B"/>
    <w:rPr>
      <w:vertAlign w:val="superscript"/>
    </w:rPr>
  </w:style>
  <w:style w:type="table" w:styleId="Onopgemaaktetabel3">
    <w:name w:val="Plain Table 3"/>
    <w:basedOn w:val="Standaardtabel"/>
    <w:uiPriority w:val="43"/>
    <w:rsid w:val="002A2E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2">
    <w:name w:val="Plain Table 2"/>
    <w:basedOn w:val="Standaardtabel"/>
    <w:uiPriority w:val="42"/>
    <w:rsid w:val="002A2E3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LeftNormal">
    <w:name w:val="LeftNormal"/>
    <w:basedOn w:val="Standaard"/>
    <w:link w:val="LeftNormalChar"/>
    <w:rsid w:val="002A2E3E"/>
    <w:pPr>
      <w:spacing w:after="0" w:line="240" w:lineRule="auto"/>
    </w:pPr>
    <w:rPr>
      <w:rFonts w:ascii="Arial" w:eastAsia="Times New Roman" w:hAnsi="Arial" w:cs="Times New Roman"/>
      <w:szCs w:val="24"/>
      <w:lang w:val="en-GB"/>
      <w14:ligatures w14:val="none"/>
    </w:rPr>
  </w:style>
  <w:style w:type="character" w:customStyle="1" w:styleId="LeftNormalChar">
    <w:name w:val="LeftNormal Char"/>
    <w:link w:val="LeftNormal"/>
    <w:rsid w:val="002A2E3E"/>
    <w:rPr>
      <w:rFonts w:ascii="Arial" w:eastAsia="Times New Roman" w:hAnsi="Arial" w:cs="Times New Roman"/>
      <w:szCs w:val="24"/>
      <w:lang w:val="en-GB"/>
      <w14:ligatures w14:val="none"/>
    </w:rPr>
  </w:style>
  <w:style w:type="character" w:styleId="Paginanummer">
    <w:name w:val="page number"/>
    <w:rsid w:val="002A2E3E"/>
    <w:rPr>
      <w:rFonts w:ascii="Arial" w:hAnsi="Arial"/>
      <w:lang w:val="en-GB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CC3EF7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CC3EF7"/>
    <w:rPr>
      <w:sz w:val="20"/>
      <w:szCs w:val="20"/>
    </w:rPr>
  </w:style>
  <w:style w:type="character" w:customStyle="1" w:styleId="CommentReference1">
    <w:name w:val="Comment Reference1"/>
    <w:basedOn w:val="Standaardalinea-lettertype"/>
    <w:uiPriority w:val="99"/>
    <w:semiHidden/>
    <w:unhideWhenUsed/>
    <w:rsid w:val="00612027"/>
    <w:rPr>
      <w:sz w:val="16"/>
      <w:szCs w:val="16"/>
    </w:rPr>
  </w:style>
  <w:style w:type="paragraph" w:customStyle="1" w:styleId="CommentText1">
    <w:name w:val="Comment Text1"/>
    <w:basedOn w:val="Standaard"/>
    <w:link w:val="CommentTextChar"/>
    <w:uiPriority w:val="99"/>
    <w:unhideWhenUsed/>
    <w:rsid w:val="006120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Standaardalinea-lettertype"/>
    <w:link w:val="CommentText1"/>
    <w:uiPriority w:val="99"/>
    <w:rsid w:val="003B55B4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1"/>
    <w:uiPriority w:val="99"/>
    <w:semiHidden/>
    <w:rsid w:val="003B55B4"/>
    <w:rPr>
      <w:b/>
      <w:bCs/>
      <w:sz w:val="20"/>
      <w:szCs w:val="20"/>
    </w:rPr>
  </w:style>
  <w:style w:type="paragraph" w:customStyle="1" w:styleId="CommentSubject1">
    <w:name w:val="Comment Subject1"/>
    <w:basedOn w:val="CommentText1"/>
    <w:next w:val="CommentText1"/>
    <w:link w:val="CommentSubjectChar"/>
    <w:uiPriority w:val="99"/>
    <w:semiHidden/>
    <w:unhideWhenUsed/>
    <w:rsid w:val="00612027"/>
    <w:rPr>
      <w:b/>
      <w:bCs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119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vdleegte.sharepoint.com/:f:/r/teams/company-vdl-energy-systems/Engineering/Projects/AC-DC%20Charger%20-%20400A%20-%20275kW?csf=1&amp;web=1&amp;e=5nytL5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d3d67b-f193-448b-a744-3b18259562dc">
      <Terms xmlns="http://schemas.microsoft.com/office/infopath/2007/PartnerControls"/>
    </lcf76f155ced4ddcb4097134ff3c332f>
    <TaxCatchAll xmlns="cda3afe3-35ba-4941-8550-7a5d5f0fe05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8B8991735C043A6BDF9E43E778A38" ma:contentTypeVersion="13" ma:contentTypeDescription="Een nieuw document maken." ma:contentTypeScope="" ma:versionID="c92c20016d335409bac632710bc83f56">
  <xsd:schema xmlns:xsd="http://www.w3.org/2001/XMLSchema" xmlns:xs="http://www.w3.org/2001/XMLSchema" xmlns:p="http://schemas.microsoft.com/office/2006/metadata/properties" xmlns:ns2="bad3d67b-f193-448b-a744-3b18259562dc" xmlns:ns3="cda3afe3-35ba-4941-8550-7a5d5f0fe05e" targetNamespace="http://schemas.microsoft.com/office/2006/metadata/properties" ma:root="true" ma:fieldsID="d2f575b95444fefec373424d4c86c609" ns2:_="" ns3:_="">
    <xsd:import namespace="bad3d67b-f193-448b-a744-3b18259562dc"/>
    <xsd:import namespace="cda3afe3-35ba-4941-8550-7a5d5f0fe0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d3d67b-f193-448b-a744-3b1825956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9898c3fe-133c-4466-af46-0e29e9a794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a3afe3-35ba-4941-8550-7a5d5f0fe05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1a4f78-459a-4bf7-bc8d-d516d5e06e39}" ma:internalName="TaxCatchAll" ma:showField="CatchAllData" ma:web="cda3afe3-35ba-4941-8550-7a5d5f0fe0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7B758D-6A03-4528-AAE7-BEF91B036B0D}">
  <ds:schemaRefs>
    <ds:schemaRef ds:uri="http://schemas.microsoft.com/office/2006/metadata/properties"/>
    <ds:schemaRef ds:uri="http://schemas.microsoft.com/office/infopath/2007/PartnerControls"/>
    <ds:schemaRef ds:uri="bad3d67b-f193-448b-a744-3b18259562dc"/>
    <ds:schemaRef ds:uri="cda3afe3-35ba-4941-8550-7a5d5f0fe05e"/>
  </ds:schemaRefs>
</ds:datastoreItem>
</file>

<file path=customXml/itemProps2.xml><?xml version="1.0" encoding="utf-8"?>
<ds:datastoreItem xmlns:ds="http://schemas.openxmlformats.org/officeDocument/2006/customXml" ds:itemID="{E293EE7C-E0BA-46D9-83D3-E01986569B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d3d67b-f193-448b-a744-3b18259562dc"/>
    <ds:schemaRef ds:uri="cda3afe3-35ba-4941-8550-7a5d5f0fe0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E1BF77-8178-4BA5-8B65-9AD2B699FC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38C4D8C-7A29-4EF5-951A-178AC2586D8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6a972c8-b7ac-4a03-81be-61a5a6b32af6}" enabled="0" method="" siteId="{86a972c8-b7ac-4a03-81be-61a5a6b32af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1466</Words>
  <Characters>8063</Characters>
  <Application>Microsoft Office Word</Application>
  <DocSecurity>0</DocSecurity>
  <Lines>67</Lines>
  <Paragraphs>19</Paragraphs>
  <ScaleCrop>false</ScaleCrop>
  <Company/>
  <LinksUpToDate>false</LinksUpToDate>
  <CharactersWithSpaces>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Lennard Rietkerk</dc:creator>
  <cp:keywords/>
  <dc:description/>
  <cp:lastModifiedBy>Lennard Rietkerk</cp:lastModifiedBy>
  <cp:revision>241</cp:revision>
  <dcterms:created xsi:type="dcterms:W3CDTF">2026-06-01T21:35:00Z</dcterms:created>
  <dcterms:modified xsi:type="dcterms:W3CDTF">2026-07-09T09:23:00Z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0x0101007958B8991735C043A6BDF9E43E778A38</vt:lpwstr>
  </property>
  <property fmtid="{D5CDD505-2E9C-101B-9397-08002B2CF9AE}" pid="3" name="MediaServiceImageTags">
    <vt:lpwstr/>
  </property>
</Properties>
</file>