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left"/>
      </w:pPr>
      <w:r>
        <w:rPr>
          <w:b/>
          <w:bCs/>
          <w:color w:val="1F4D2E"/>
          <w:sz w:val="56"/>
          <w:szCs w:val="56"/>
        </w:rPr>
        <w:t>ClauseGuard</w:t>
      </w:r>
    </w:p>
    <w:p>
      <w:pPr>
        <w:spacing w:after="480" w:before="0"/>
      </w:pPr>
      <w:r>
        <w:rPr>
          <w:color w:val="1F4D2E"/>
          <w:sz w:val="28"/>
          <w:szCs w:val="28"/>
        </w:rPr>
        <w:t xml:space="preserve">A Playbook for Evidence-Grounded Legislative Risk Analysis in Ghana</w:t>
      </w:r>
    </w:p>
    <w:p>
      <w:pPr>
        <w:spacing w:after="120" w:before="120"/>
      </w:pPr>
      <w:r>
        <w:t xml:space="preserve">Version 1.0. Owura Bediako. May 2026.</w:t>
      </w:r>
    </w:p>
    <w:p>
      <w:pPr>
        <w:spacing w:after="120" w:before="120"/>
      </w:pPr>
      <w:r>
        <w:t>Project repository name: clauseguard</w:t>
      </w:r>
    </w:p>
    <w:p>
      <w:pPr>
        <w:spacing w:after="120" w:before="120"/>
      </w:pPr>
      <w:r>
        <w:t xml:space="preserve">Primary corpus for v1: 15 bills proposed by the Ministry of Communications, Innovation and Technology, Ghana, 2025.</w:t>
      </w:r>
    </w:p>
    <w:p>
      <w:pPr>
        <w:spacing w:after="120" w:before="120"/>
      </w:pPr>
      <w:r>
        <w:t xml:space="preserve">Anchor bill for the public launch: National Information Technology Authority Bill, 2025.</w:t>
      </w:r>
    </w:p>
    <w:p>
      <w:r>
        <w:t xml:space="preserve"/>
      </w:r>
    </w:p>
    <w:p>
      <w:pPr>
        <w:pBdr>
          <w:bottom w:val="single" w:color="888888" w:sz="6" w:space="4"/>
        </w:pBdr>
      </w:pPr>
      <w:r>
        <w:t xml:space="preserve"/>
      </w:r>
    </w:p>
    <w:p>
      <w:pPr>
        <w:pStyle w:val="Heading1"/>
      </w:pPr>
      <w:r>
        <w:t>1. What ClauseGuard Is</w:t>
      </w:r>
    </w:p>
    <w:p>
      <w:pPr>
        <w:spacing w:after="120" w:before="120"/>
      </w:pPr>
      <w:r>
        <w:t>ClauseGuard is an evidence-grounded legislative risk scoring system. It reads a bill, splits it into clauses, and for each clause it surfaces the risks created, the parties exposed, and the constitutional articles the clause may conflict with. Every score is backed by a cited excerpt from the bill and a cited excerpt from the 1992 Constitution of Ghana. No score appears without evidence.</w:t>
      </w:r>
    </w:p>
    <w:p>
      <w:pPr>
        <w:spacing w:after="120" w:before="120"/>
      </w:pPr>
      <w:r>
        <w:t xml:space="preserve">The system is built for a mid-level analyst in a Ghanaian industry association who has seven to fourteen days to produce a position paper on a newly gazetted bill. Secondary users include parliamentary committee staff, civil society organisations, and journalists covering tech policy.</w:t>
      </w:r>
    </w:p>
    <w:p>
      <w:pPr>
        <w:spacing w:after="120" w:before="120"/>
      </w:pPr>
      <w:r>
        <w:t>ClauseGuard is not a legal opinion engine. It is a research assistant that compresses the time between a bill being published and an analyst being able to point at a specific clause and explain why it matters. The human decides. The system shows the evidence.</w:t>
      </w:r>
    </w:p>
    <w:p>
      <w:pPr>
        <w:pStyle w:val="Heading2"/>
      </w:pPr>
      <w:r>
        <w:t xml:space="preserve">Design principles</w:t>
      </w:r>
    </w:p>
    <w:p>
      <w:pPr>
        <w:pStyle w:val="ListParagraph"/>
        <w:numPr>
          <w:ilvl w:val="0"/>
          <w:numId w:val="2"/>
        </w:numPr>
        <w:spacing w:after="60" w:before="60"/>
      </w:pPr>
      <w:r>
        <w:t xml:space="preserve">Evidence before score. The clause excerpt and the constitutional excerpt come first. The score is a summary of the evidence, not a replacement for it.</w:t>
      </w:r>
    </w:p>
    <w:p>
      <w:pPr>
        <w:pStyle w:val="ListParagraph"/>
        <w:numPr>
          <w:ilvl w:val="0"/>
          <w:numId w:val="2"/>
        </w:numPr>
        <w:spacing w:after="60" w:before="60"/>
      </w:pPr>
      <w:r>
        <w:t xml:space="preserve">Clause identifiers are primary citations. Page numbers are fallback. Bills from different ministries have different layouts but the clause hierarchy is stable.</w:t>
      </w:r>
    </w:p>
    <w:p>
      <w:pPr>
        <w:pStyle w:val="ListParagraph"/>
        <w:numPr>
          <w:ilvl w:val="0"/>
          <w:numId w:val="2"/>
        </w:numPr>
        <w:spacing w:after="60" w:before="60"/>
      </w:pPr>
      <w:r>
        <w:t xml:space="preserve">Multi-label by design. One clause can create market risk for telcos, jobs risk for freelance developers, and constitutional risk for the judiciary at the same time.</w:t>
      </w:r>
    </w:p>
    <w:p>
      <w:pPr>
        <w:pStyle w:val="ListParagraph"/>
        <w:numPr>
          <w:ilvl w:val="0"/>
          <w:numId w:val="2"/>
        </w:numPr>
        <w:spacing w:after="60" w:before="60"/>
      </w:pPr>
      <w:r>
        <w:t xml:space="preserve">The Constitution is the spine. It is indexed once, chunked by article and sub-article, and every clause is tested against it.</w:t>
      </w:r>
    </w:p>
    <w:p>
      <w:pPr>
        <w:pStyle w:val="ListParagraph"/>
        <w:numPr>
          <w:ilvl w:val="0"/>
          <w:numId w:val="2"/>
        </w:numPr>
        <w:spacing w:after="60" w:before="60"/>
      </w:pPr>
      <w:r>
        <w:t xml:space="preserve">Severity and likelihood are separate. A single risk score hides the disagreements that matter. Users weight the two themselves through the interface.</w:t>
      </w:r>
    </w:p>
    <w:p>
      <w:pPr>
        <w:pStyle w:val="ListParagraph"/>
        <w:numPr>
          <w:ilvl w:val="0"/>
          <w:numId w:val="2"/>
        </w:numPr>
        <w:spacing w:after="60" w:before="60"/>
      </w:pPr>
      <w:r>
        <w:t xml:space="preserve">Human in the loop is the default. The LLM proposes risks and evidence. The analyst confirms, edits, or rejects before publication.</w:t>
      </w:r>
    </w:p>
    <w:p>
      <w:pPr>
        <w:pBdr>
          <w:bottom w:val="single" w:color="888888" w:sz="6" w:space="4"/>
        </w:pBdr>
      </w:pPr>
      <w:r>
        <w:t xml:space="preserve"/>
      </w:r>
    </w:p>
    <w:p>
      <w:pPr>
        <w:pStyle w:val="Heading1"/>
      </w:pPr>
      <w:r>
        <w:t xml:space="preserve">2. Scope for v1</w:t>
      </w:r>
    </w:p>
    <w:p>
      <w:pPr>
        <w:pStyle w:val="Heading2"/>
      </w:pPr>
      <w:r>
        <w:t xml:space="preserve">In scope</w:t>
      </w:r>
    </w:p>
    <w:p>
      <w:pPr>
        <w:pStyle w:val="ListParagraph"/>
        <w:numPr>
          <w:ilvl w:val="0"/>
          <w:numId w:val="2"/>
        </w:numPr>
        <w:spacing w:after="60" w:before="60"/>
      </w:pPr>
      <w:r>
        <w:t xml:space="preserve">15 bills from the Ministry of Communications, Innovation and Technology, Ghana, 2025.</w:t>
      </w:r>
    </w:p>
    <w:p>
      <w:pPr>
        <w:pStyle w:val="ListParagraph"/>
        <w:numPr>
          <w:ilvl w:val="0"/>
          <w:numId w:val="2"/>
        </w:numPr>
        <w:spacing w:after="60" w:before="60"/>
      </w:pPr>
      <w:r>
        <w:t xml:space="preserve">The 1992 Constitution of Ghana, as the fixed reference corpus.</w:t>
      </w:r>
    </w:p>
    <w:p>
      <w:pPr>
        <w:pStyle w:val="ListParagraph"/>
        <w:numPr>
          <w:ilvl w:val="0"/>
          <w:numId w:val="2"/>
        </w:numPr>
        <w:spacing w:after="60" w:before="60"/>
      </w:pPr>
      <w:r>
        <w:t xml:space="preserve">Clause-level parsing for the 15 bills, with cross-reference resolution at the level of flagging amendments to existing Acts.</w:t>
      </w:r>
    </w:p>
    <w:p>
      <w:pPr>
        <w:pStyle w:val="ListParagraph"/>
        <w:numPr>
          <w:ilvl w:val="0"/>
          <w:numId w:val="2"/>
        </w:numPr>
        <w:spacing w:after="60" w:before="60"/>
      </w:pPr>
      <w:r>
        <w:t xml:space="preserve">Eleven risk categories covering market, jobs, litigation, regulatory, liquidity, cybersecurity, software, operations, constitutional, fiscal, and capture risk, plus two cross-cutting categories for digital divide and informal sector shock.</w:t>
      </w:r>
    </w:p>
    <w:p>
      <w:pPr>
        <w:pStyle w:val="ListParagraph"/>
        <w:numPr>
          <w:ilvl w:val="0"/>
          <w:numId w:val="2"/>
        </w:numPr>
        <w:spacing w:after="60" w:before="60"/>
      </w:pPr>
      <w:r>
        <w:t xml:space="preserve">A semi-automated workflow where the system proposes risks and citations, and the analyst reviews and finalises.</w:t>
      </w:r>
    </w:p>
    <w:p>
      <w:pPr>
        <w:pStyle w:val="ListParagraph"/>
        <w:numPr>
          <w:ilvl w:val="0"/>
          <w:numId w:val="2"/>
        </w:numPr>
        <w:spacing w:after="60" w:before="60"/>
      </w:pPr>
      <w:r>
        <w:t xml:space="preserve">A public report on the NITA Bill, 2025, as the launch artefact.</w:t>
      </w:r>
    </w:p>
    <w:p>
      <w:pPr>
        <w:pStyle w:val="Heading2"/>
      </w:pPr>
      <w:r>
        <w:t xml:space="preserve">Out of scope for v1</w:t>
      </w:r>
    </w:p>
    <w:p>
      <w:pPr>
        <w:pStyle w:val="ListParagraph"/>
        <w:numPr>
          <w:ilvl w:val="0"/>
          <w:numId w:val="2"/>
        </w:numPr>
        <w:spacing w:after="60" w:before="60"/>
      </w:pPr>
      <w:r>
        <w:t xml:space="preserve">Bills from other ministries. The repo structure supports them, but content is MoCDT only.</w:t>
      </w:r>
    </w:p>
    <w:p>
      <w:pPr>
        <w:pStyle w:val="ListParagraph"/>
        <w:numPr>
          <w:ilvl w:val="0"/>
          <w:numId w:val="2"/>
        </w:numPr>
        <w:spacing w:after="60" w:before="60"/>
      </w:pPr>
      <w:r>
        <w:t xml:space="preserve">Full automation. The MVP is a human-in-the-loop tool, not a one-click analyser.</w:t>
      </w:r>
    </w:p>
    <w:p>
      <w:pPr>
        <w:pStyle w:val="ListParagraph"/>
        <w:numPr>
          <w:ilvl w:val="0"/>
          <w:numId w:val="2"/>
        </w:numPr>
        <w:spacing w:after="60" w:before="60"/>
      </w:pPr>
      <w:r>
        <w:t xml:space="preserve">Resolving cross-references to specific sub-sections of amended Acts. The parser flags the reference. The analyst follows it.</w:t>
      </w:r>
    </w:p>
    <w:p>
      <w:pPr>
        <w:pStyle w:val="ListParagraph"/>
        <w:numPr>
          <w:ilvl w:val="0"/>
          <w:numId w:val="2"/>
        </w:numPr>
        <w:spacing w:after="60" w:before="60"/>
      </w:pPr>
      <w:r>
        <w:t xml:space="preserve">Predicting parliamentary voting outcomes or political analysis.</w:t>
      </w:r>
    </w:p>
    <w:p>
      <w:pPr>
        <w:pStyle w:val="ListParagraph"/>
        <w:numPr>
          <w:ilvl w:val="0"/>
          <w:numId w:val="2"/>
        </w:numPr>
        <w:spacing w:after="60" w:before="60"/>
      </w:pPr>
      <w:r>
        <w:t xml:space="preserve">Non-English bills or translation.</w:t>
      </w:r>
    </w:p>
    <w:p>
      <w:pPr>
        <w:pBdr>
          <w:bottom w:val="single" w:color="888888" w:sz="6" w:space="4"/>
        </w:pBdr>
      </w:pPr>
      <w:r>
        <w:t xml:space="preserve"/>
      </w:r>
    </w:p>
    <w:p>
      <w:pPr>
        <w:pStyle w:val="Heading1"/>
      </w:pPr>
      <w:r>
        <w:t xml:space="preserve">3. What We Already Know</w:t>
      </w:r>
    </w:p>
    <w:p>
      <w:pPr>
        <w:spacing w:after="120" w:before="120"/>
      </w:pPr>
      <w:r>
        <w:t xml:space="preserve">Three documents already exist from the scoping phase and feed directly into the build. They are linked from the docs folder and treated as foundational.</w:t>
      </w:r>
    </w:p>
    <w:p>
      <w:pPr>
        <w:spacing w:after="120" w:before="120"/>
      </w:pPr>
      <w:r>
        <w:rPr>
          <w:b/>
          <w:bCs/>
        </w:rPr>
        <w:t xml:space="preserve">Risk taxonomy v1. </w:t>
      </w:r>
      <w:r>
        <w:t xml:space="preserve">Eleven categories with definitions, affected parties, and Ghana-specific examples. Two cross-cutting categories cover digital divide and informal sector shock.</w:t>
      </w:r>
    </w:p>
    <w:p>
      <w:pPr>
        <w:spacing w:after="120" w:before="120"/>
      </w:pPr>
      <w:r>
        <w:rPr>
          <w:b/>
          <w:bCs/>
        </w:rPr>
        <w:t xml:space="preserve">NITA Bill worked example. </w:t>
      </w:r>
      <w:r>
        <w:t xml:space="preserve">Six risk categories scored against clauses of the NITA Bill, 2025, with nineteen pieces of cited evidence. Establishes the output format and the evidence card convention.</w:t>
      </w:r>
    </w:p>
    <w:p>
      <w:pPr>
        <w:spacing w:after="120" w:before="120"/>
      </w:pPr>
      <w:r>
        <w:rPr>
          <w:b/>
          <w:bCs/>
        </w:rPr>
        <w:t xml:space="preserve">Constitutional compliance module. </w:t>
      </w:r>
      <w:r>
        <w:t xml:space="preserve">Maps each risk category to relevant articles of the 1992 Constitution, with a worked example on clause 48(3) of the NITA Bill. Establishes the traffic-light alignment score.</w:t>
      </w:r>
    </w:p>
    <w:p>
      <w:pPr>
        <w:spacing w:after="120" w:before="120"/>
      </w:pPr>
      <w:r>
        <w:t xml:space="preserve">These three documents are version 1.0 of the methodology. Future changes are tracked in DECISIONS.md.</w:t>
      </w:r>
    </w:p>
    <w:p>
      <w:pPr>
        <w:pBdr>
          <w:bottom w:val="single" w:color="888888" w:sz="6" w:space="4"/>
        </w:pBdr>
      </w:pPr>
      <w:r>
        <w:t xml:space="preserve"/>
      </w:r>
    </w:p>
    <w:p>
      <w:pPr>
        <w:pStyle w:val="Heading1"/>
      </w:pPr>
      <w:r>
        <w:t xml:space="preserve">4. Repository Structure</w:t>
      </w:r>
    </w:p>
    <w:p>
      <w:pPr>
        <w:spacing w:after="120" w:before="120"/>
      </w:pPr>
      <w:r>
        <w:t xml:space="preserve">The structure separates code, data, and methodology. The docs folder is organised so other ministries and other years plug in without restructuring.</w:t>
      </w:r>
    </w:p>
    <w:p>
      <w:pPr>
        <w:pStyle w:val="Heading2"/>
      </w:pPr>
      <w:r>
        <w:t xml:space="preserve">Top level</w:t>
      </w:r>
    </w:p>
    <w:p>
      <w:pPr>
        <w:spacing w:after="0" w:before="0"/>
      </w:pPr>
      <w:r>
        <w:rPr>
          <w:rFonts w:ascii="Consolas" w:cs="Consolas" w:eastAsia="Consolas" w:hAnsi="Consolas"/>
          <w:sz w:val="20"/>
          <w:szCs w:val="20"/>
        </w:rPr>
        <w:t>clauseguard/</w:t>
      </w:r>
    </w:p>
    <w:p>
      <w:pPr>
        <w:spacing w:after="0" w:before="0"/>
      </w:pPr>
      <w:r>
        <w:rPr>
          <w:rFonts w:ascii="Consolas" w:cs="Consolas" w:eastAsia="Consolas" w:hAnsi="Consolas"/>
          <w:sz w:val="20"/>
          <w:szCs w:val="20"/>
        </w:rPr>
        <w:t xml:space="preserve">  README.md</w:t>
      </w:r>
    </w:p>
    <w:p>
      <w:pPr>
        <w:spacing w:after="0" w:before="0"/>
      </w:pPr>
      <w:r>
        <w:rPr>
          <w:rFonts w:ascii="Consolas" w:cs="Consolas" w:eastAsia="Consolas" w:hAnsi="Consolas"/>
          <w:sz w:val="20"/>
          <w:szCs w:val="20"/>
        </w:rPr>
        <w:t xml:space="preserve">  CLAUDE.md</w:t>
      </w:r>
    </w:p>
    <w:p>
      <w:pPr>
        <w:spacing w:after="0" w:before="0"/>
      </w:pPr>
      <w:r>
        <w:rPr>
          <w:rFonts w:ascii="Consolas" w:cs="Consolas" w:eastAsia="Consolas" w:hAnsi="Consolas"/>
          <w:sz w:val="20"/>
          <w:szCs w:val="20"/>
        </w:rPr>
        <w:t xml:space="preserve">  DECISIONS.md</w:t>
      </w:r>
    </w:p>
    <w:p>
      <w:pPr>
        <w:spacing w:after="0" w:before="0"/>
      </w:pPr>
      <w:r>
        <w:rPr>
          <w:rFonts w:ascii="Consolas" w:cs="Consolas" w:eastAsia="Consolas" w:hAnsi="Consolas"/>
          <w:sz w:val="20"/>
          <w:szCs w:val="20"/>
        </w:rPr>
        <w:t xml:space="preserve">  SKILLS.md</w:t>
      </w:r>
    </w:p>
    <w:p>
      <w:pPr>
        <w:spacing w:after="0" w:before="0"/>
      </w:pPr>
      <w:r>
        <w:rPr>
          <w:rFonts w:ascii="Consolas" w:cs="Consolas" w:eastAsia="Consolas" w:hAnsi="Consolas"/>
          <w:sz w:val="20"/>
          <w:szCs w:val="20"/>
        </w:rPr>
        <w:t xml:space="preserve">  LICENSE</w:t>
      </w:r>
    </w:p>
    <w:p>
      <w:pPr>
        <w:spacing w:after="0" w:before="0"/>
      </w:pPr>
      <w:r>
        <w:rPr>
          <w:rFonts w:ascii="Consolas" w:cs="Consolas" w:eastAsia="Consolas" w:hAnsi="Consolas"/>
          <w:sz w:val="20"/>
          <w:szCs w:val="20"/>
        </w:rPr>
        <w:t xml:space="preserve">  pyproject.toml</w:t>
      </w:r>
    </w:p>
    <w:p>
      <w:pPr>
        <w:spacing w:after="0" w:before="0"/>
      </w:pPr>
      <w:r>
        <w:rPr>
          <w:rFonts w:ascii="Consolas" w:cs="Consolas" w:eastAsia="Consolas" w:hAnsi="Consolas"/>
          <w:sz w:val="20"/>
          <w:szCs w:val="20"/>
        </w:rPr>
        <w:t xml:space="preserve">  .gitignore</w:t>
      </w:r>
    </w:p>
    <w:p>
      <w:pPr>
        <w:spacing w:after="0" w:before="0"/>
      </w:pPr>
      <w:r>
        <w:rPr>
          <w:rFonts w:ascii="Consolas" w:cs="Consolas" w:eastAsia="Consolas" w:hAnsi="Consolas"/>
          <w:sz w:val="20"/>
          <w:szCs w:val="20"/>
        </w:rPr>
        <w:t xml:space="preserve">  .env.example</w:t>
      </w:r>
    </w:p>
    <w:p>
      <w:pPr>
        <w:spacing w:after="0" w:before="0"/>
      </w:pPr>
      <w:r>
        <w:rPr>
          <w:rFonts w:ascii="Consolas" w:cs="Consolas" w:eastAsia="Consolas" w:hAnsi="Consolas"/>
          <w:sz w:val="20"/>
          <w:szCs w:val="20"/>
        </w:rPr>
        <w:t xml:space="preserve">  docker-compose.yml</w:t>
      </w:r>
    </w:p>
    <w:p>
      <w:pPr>
        <w:spacing w:after="0" w:before="0"/>
      </w:pPr>
      <w:r>
        <w:rPr>
          <w:rFonts w:ascii="Consolas" w:cs="Consolas" w:eastAsia="Consolas" w:hAnsi="Consolas"/>
          <w:sz w:val="20"/>
          <w:szCs w:val="20"/>
        </w:rPr>
        <w:t xml:space="preserve">  Dockerfile</w:t>
      </w:r>
    </w:p>
    <w:p>
      <w:pPr>
        <w:spacing w:after="0" w:before="0"/>
      </w:pPr>
      <w:r>
        <w:rPr>
          <w:rFonts w:ascii="Consolas" w:cs="Consolas" w:eastAsia="Consolas" w:hAnsi="Consolas"/>
          <w:sz w:val="20"/>
          <w:szCs w:val="20"/>
        </w:rPr>
        <w:t xml:space="preserve">  docs/</w:t>
      </w:r>
    </w:p>
    <w:p>
      <w:pPr>
        <w:spacing w:after="0" w:before="0"/>
      </w:pPr>
      <w:r>
        <w:rPr>
          <w:rFonts w:ascii="Consolas" w:cs="Consolas" w:eastAsia="Consolas" w:hAnsi="Consolas"/>
          <w:sz w:val="20"/>
          <w:szCs w:val="20"/>
        </w:rPr>
        <w:t xml:space="preserve">  src/</w:t>
      </w:r>
    </w:p>
    <w:p>
      <w:pPr>
        <w:spacing w:after="0" w:before="0"/>
      </w:pPr>
      <w:r>
        <w:rPr>
          <w:rFonts w:ascii="Consolas" w:cs="Consolas" w:eastAsia="Consolas" w:hAnsi="Consolas"/>
          <w:sz w:val="20"/>
          <w:szCs w:val="20"/>
        </w:rPr>
        <w:t xml:space="preserve">  data/</w:t>
      </w:r>
    </w:p>
    <w:p>
      <w:pPr>
        <w:spacing w:after="0" w:before="0"/>
      </w:pPr>
      <w:r>
        <w:rPr>
          <w:rFonts w:ascii="Consolas" w:cs="Consolas" w:eastAsia="Consolas" w:hAnsi="Consolas"/>
          <w:sz w:val="20"/>
          <w:szCs w:val="20"/>
        </w:rPr>
        <w:t xml:space="preserve">  notebooks/</w:t>
      </w:r>
    </w:p>
    <w:p>
      <w:pPr>
        <w:spacing w:after="0" w:before="0"/>
      </w:pPr>
      <w:r>
        <w:rPr>
          <w:rFonts w:ascii="Consolas" w:cs="Consolas" w:eastAsia="Consolas" w:hAnsi="Consolas"/>
          <w:sz w:val="20"/>
          <w:szCs w:val="20"/>
        </w:rPr>
        <w:t xml:space="preserve">  frontend/</w:t>
      </w:r>
    </w:p>
    <w:p>
      <w:pPr>
        <w:spacing w:after="0" w:before="0"/>
      </w:pPr>
      <w:r>
        <w:rPr>
          <w:rFonts w:ascii="Consolas" w:cs="Consolas" w:eastAsia="Consolas" w:hAnsi="Consolas"/>
          <w:sz w:val="20"/>
          <w:szCs w:val="20"/>
        </w:rPr>
        <w:t xml:space="preserve">  tests/</w:t>
      </w:r>
    </w:p>
    <w:p>
      <w:pPr>
        <w:spacing w:after="0" w:before="0"/>
      </w:pPr>
      <w:r>
        <w:rPr>
          <w:rFonts w:ascii="Consolas" w:cs="Consolas" w:eastAsia="Consolas" w:hAnsi="Consolas"/>
          <w:sz w:val="20"/>
          <w:szCs w:val="20"/>
        </w:rPr>
        <w:t xml:space="preserve">  scripts/</w:t>
      </w:r>
    </w:p>
    <w:p>
      <w:pPr>
        <w:pStyle w:val="Heading2"/>
      </w:pPr>
      <w:r>
        <w:t xml:space="preserve">docs folder, structured for extensibility</w:t>
      </w:r>
    </w:p>
    <w:p>
      <w:pPr>
        <w:spacing w:after="120" w:before="120"/>
      </w:pPr>
      <w:r>
        <w:t xml:space="preserve">The docs folder is the methodological backbone. It is organised by ministry, then year, then bill. Adding a new ministry means adding a new sub-folder. The taxonomy and constitution remain shared at the top level.</w:t>
      </w:r>
    </w:p>
    <w:p>
      <w:pPr>
        <w:spacing w:after="0" w:before="0"/>
      </w:pPr>
      <w:r>
        <w:rPr>
          <w:rFonts w:ascii="Consolas" w:cs="Consolas" w:eastAsia="Consolas" w:hAnsi="Consolas"/>
          <w:sz w:val="20"/>
          <w:szCs w:val="20"/>
        </w:rPr>
        <w:t xml:space="preserve">docs/</w:t>
      </w:r>
    </w:p>
    <w:p>
      <w:pPr>
        <w:spacing w:after="0" w:before="0"/>
      </w:pPr>
      <w:r>
        <w:rPr>
          <w:rFonts w:ascii="Consolas" w:cs="Consolas" w:eastAsia="Consolas" w:hAnsi="Consolas"/>
          <w:sz w:val="20"/>
          <w:szCs w:val="20"/>
        </w:rPr>
        <w:t xml:space="preserve">  methodology/</w:t>
      </w:r>
    </w:p>
    <w:p>
      <w:pPr>
        <w:spacing w:after="0" w:before="0"/>
      </w:pPr>
      <w:r>
        <w:rPr>
          <w:rFonts w:ascii="Consolas" w:cs="Consolas" w:eastAsia="Consolas" w:hAnsi="Consolas"/>
          <w:sz w:val="20"/>
          <w:szCs w:val="20"/>
        </w:rPr>
        <w:t xml:space="preserve">    01_taxonomy.md                Risk taxonomy v1</w:t>
      </w:r>
    </w:p>
    <w:p>
      <w:pPr>
        <w:spacing w:after="0" w:before="0"/>
      </w:pPr>
      <w:r>
        <w:rPr>
          <w:rFonts w:ascii="Consolas" w:cs="Consolas" w:eastAsia="Consolas" w:hAnsi="Consolas"/>
          <w:sz w:val="20"/>
          <w:szCs w:val="20"/>
        </w:rPr>
        <w:t xml:space="preserve">    02_constitutional_module.md   Constitutional mapping</w:t>
      </w:r>
    </w:p>
    <w:p>
      <w:pPr>
        <w:spacing w:after="0" w:before="0"/>
      </w:pPr>
      <w:r>
        <w:rPr>
          <w:rFonts w:ascii="Consolas" w:cs="Consolas" w:eastAsia="Consolas" w:hAnsi="Consolas"/>
          <w:sz w:val="20"/>
          <w:szCs w:val="20"/>
        </w:rPr>
        <w:t xml:space="preserve">    03_scoring.md                 Severity and likelihood scales</w:t>
      </w:r>
    </w:p>
    <w:p>
      <w:pPr>
        <w:spacing w:after="0" w:before="0"/>
      </w:pPr>
      <w:r>
        <w:rPr>
          <w:rFonts w:ascii="Consolas" w:cs="Consolas" w:eastAsia="Consolas" w:hAnsi="Consolas"/>
          <w:sz w:val="20"/>
          <w:szCs w:val="20"/>
        </w:rPr>
        <w:t xml:space="preserve">    04_labelling_guide.md         Annotator rulebook</w:t>
      </w:r>
    </w:p>
    <w:p>
      <w:pPr>
        <w:spacing w:after="0" w:before="0"/>
      </w:pPr>
      <w:r>
        <w:rPr>
          <w:rFonts w:ascii="Consolas" w:cs="Consolas" w:eastAsia="Consolas" w:hAnsi="Consolas"/>
          <w:sz w:val="20"/>
          <w:szCs w:val="20"/>
        </w:rPr>
        <w:t xml:space="preserve">    05_evidence_format.md         Evidence card schema</w:t>
      </w:r>
    </w:p>
    <w:p>
      <w:pPr>
        <w:spacing w:after="0" w:before="0"/>
      </w:pPr>
      <w:r>
        <w:rPr>
          <w:rFonts w:ascii="Consolas" w:cs="Consolas" w:eastAsia="Consolas" w:hAnsi="Consolas"/>
          <w:sz w:val="20"/>
          <w:szCs w:val="20"/>
        </w:rPr>
        <w:t xml:space="preserve">  reference/</w:t>
      </w:r>
    </w:p>
    <w:p>
      <w:pPr>
        <w:spacing w:after="0" w:before="0"/>
      </w:pPr>
      <w:r>
        <w:rPr>
          <w:rFonts w:ascii="Consolas" w:cs="Consolas" w:eastAsia="Consolas" w:hAnsi="Consolas"/>
          <w:sz w:val="20"/>
          <w:szCs w:val="20"/>
        </w:rPr>
        <w:t xml:space="preserve">    constitution_1992/</w:t>
      </w:r>
    </w:p>
    <w:p>
      <w:pPr>
        <w:spacing w:after="0" w:before="0"/>
      </w:pPr>
      <w:r>
        <w:rPr>
          <w:rFonts w:ascii="Consolas" w:cs="Consolas" w:eastAsia="Consolas" w:hAnsi="Consolas"/>
          <w:sz w:val="20"/>
          <w:szCs w:val="20"/>
        </w:rPr>
        <w:t xml:space="preserve">      raw.pdf</w:t>
      </w:r>
    </w:p>
    <w:p>
      <w:pPr>
        <w:spacing w:after="0" w:before="0"/>
      </w:pPr>
      <w:r>
        <w:rPr>
          <w:rFonts w:ascii="Consolas" w:cs="Consolas" w:eastAsia="Consolas" w:hAnsi="Consolas"/>
          <w:sz w:val="20"/>
          <w:szCs w:val="20"/>
        </w:rPr>
        <w:t xml:space="preserve">      parsed.json</w:t>
      </w:r>
    </w:p>
    <w:p>
      <w:pPr>
        <w:spacing w:after="0" w:before="0"/>
      </w:pPr>
      <w:r>
        <w:rPr>
          <w:rFonts w:ascii="Consolas" w:cs="Consolas" w:eastAsia="Consolas" w:hAnsi="Consolas"/>
          <w:sz w:val="20"/>
          <w:szCs w:val="20"/>
        </w:rPr>
        <w:t xml:space="preserve">      articles/                   One markdown file per article</w:t>
      </w:r>
    </w:p>
    <w:p>
      <w:pPr>
        <w:spacing w:after="0" w:before="0"/>
      </w:pPr>
      <w:r>
        <w:rPr>
          <w:rFonts w:ascii="Consolas" w:cs="Consolas" w:eastAsia="Consolas" w:hAnsi="Consolas"/>
          <w:sz w:val="20"/>
          <w:szCs w:val="20"/>
        </w:rPr>
        <w:t xml:space="preserve">  bills/</w:t>
      </w:r>
    </w:p>
    <w:p>
      <w:pPr>
        <w:spacing w:after="0" w:before="0"/>
      </w:pPr>
      <w:r>
        <w:rPr>
          <w:rFonts w:ascii="Consolas" w:cs="Consolas" w:eastAsia="Consolas" w:hAnsi="Consolas"/>
          <w:sz w:val="20"/>
          <w:szCs w:val="20"/>
        </w:rPr>
        <w:t xml:space="preserve">    mocdt/                        Ministry of Communications, Innovation and Technology</w:t>
      </w:r>
    </w:p>
    <w:p>
      <w:pPr>
        <w:spacing w:after="0" w:before="0"/>
      </w:pPr>
      <w:r>
        <w:rPr>
          <w:rFonts w:ascii="Consolas" w:cs="Consolas" w:eastAsia="Consolas" w:hAnsi="Consolas"/>
          <w:sz w:val="20"/>
          <w:szCs w:val="20"/>
        </w:rPr>
        <w:t xml:space="preserve">      2025/</w:t>
      </w:r>
    </w:p>
    <w:p>
      <w:pPr>
        <w:spacing w:after="0" w:before="0"/>
      </w:pPr>
      <w:r>
        <w:rPr>
          <w:rFonts w:ascii="Consolas" w:cs="Consolas" w:eastAsia="Consolas" w:hAnsi="Consolas"/>
          <w:sz w:val="20"/>
          <w:szCs w:val="20"/>
        </w:rPr>
        <w:t xml:space="preserve">        nita_bill/</w:t>
      </w:r>
    </w:p>
    <w:p>
      <w:pPr>
        <w:spacing w:after="0" w:before="0"/>
      </w:pPr>
      <w:r>
        <w:rPr>
          <w:rFonts w:ascii="Consolas" w:cs="Consolas" w:eastAsia="Consolas" w:hAnsi="Consolas"/>
          <w:sz w:val="20"/>
          <w:szCs w:val="20"/>
        </w:rPr>
        <w:t xml:space="preserve">          raw.pdf</w:t>
      </w:r>
    </w:p>
    <w:p>
      <w:pPr>
        <w:spacing w:after="0" w:before="0"/>
      </w:pPr>
      <w:r>
        <w:rPr>
          <w:rFonts w:ascii="Consolas" w:cs="Consolas" w:eastAsia="Consolas" w:hAnsi="Consolas"/>
          <w:sz w:val="20"/>
          <w:szCs w:val="20"/>
        </w:rPr>
        <w:t xml:space="preserve">          parsed.json</w:t>
      </w:r>
    </w:p>
    <w:p>
      <w:pPr>
        <w:spacing w:after="0" w:before="0"/>
      </w:pPr>
      <w:r>
        <w:rPr>
          <w:rFonts w:ascii="Consolas" w:cs="Consolas" w:eastAsia="Consolas" w:hAnsi="Consolas"/>
          <w:sz w:val="20"/>
          <w:szCs w:val="20"/>
        </w:rPr>
        <w:t xml:space="preserve">          metadata.yaml           Title, gazette date, status, amends</w:t>
      </w:r>
    </w:p>
    <w:p>
      <w:pPr>
        <w:spacing w:after="0" w:before="0"/>
      </w:pPr>
      <w:r>
        <w:rPr>
          <w:rFonts w:ascii="Consolas" w:cs="Consolas" w:eastAsia="Consolas" w:hAnsi="Consolas"/>
          <w:sz w:val="20"/>
          <w:szCs w:val="20"/>
        </w:rPr>
        <w:t xml:space="preserve">          analysis.md             Final human-reviewed risk report</w:t>
      </w:r>
    </w:p>
    <w:p>
      <w:pPr>
        <w:spacing w:after="0" w:before="0"/>
      </w:pPr>
      <w:r>
        <w:rPr>
          <w:rFonts w:ascii="Consolas" w:cs="Consolas" w:eastAsia="Consolas" w:hAnsi="Consolas"/>
          <w:sz w:val="20"/>
          <w:szCs w:val="20"/>
        </w:rPr>
        <w:t xml:space="preserve">          evidence/               One file per evidence ID, E1.md, E2.md, etc.</w:t>
      </w:r>
    </w:p>
    <w:p>
      <w:pPr>
        <w:spacing w:after="0" w:before="0"/>
      </w:pPr>
      <w:r>
        <w:rPr>
          <w:rFonts w:ascii="Consolas" w:cs="Consolas" w:eastAsia="Consolas" w:hAnsi="Consolas"/>
          <w:sz w:val="20"/>
          <w:szCs w:val="20"/>
        </w:rPr>
        <w:t xml:space="preserve">        data_protection_amendment/</w:t>
      </w:r>
    </w:p>
    <w:p>
      <w:pPr>
        <w:spacing w:after="0" w:before="0"/>
      </w:pPr>
      <w:r>
        <w:rPr>
          <w:rFonts w:ascii="Consolas" w:cs="Consolas" w:eastAsia="Consolas" w:hAnsi="Consolas"/>
          <w:sz w:val="20"/>
          <w:szCs w:val="20"/>
        </w:rPr>
        <w:t xml:space="preserve">        cybersecurity_amendment/</w:t>
      </w:r>
    </w:p>
    <w:p>
      <w:pPr>
        <w:spacing w:after="0" w:before="0"/>
      </w:pPr>
      <w:r>
        <w:rPr>
          <w:rFonts w:ascii="Consolas" w:cs="Consolas" w:eastAsia="Consolas" w:hAnsi="Consolas"/>
          <w:sz w:val="20"/>
          <w:szCs w:val="20"/>
        </w:rPr>
        <w:t xml:space="preserve">        electronic_communications_amendment/</w:t>
      </w:r>
    </w:p>
    <w:p>
      <w:pPr>
        <w:spacing w:after="0" w:before="0"/>
      </w:pPr>
      <w:r>
        <w:rPr>
          <w:rFonts w:ascii="Consolas" w:cs="Consolas" w:eastAsia="Consolas" w:hAnsi="Consolas"/>
          <w:sz w:val="20"/>
          <w:szCs w:val="20"/>
        </w:rPr>
        <w:t xml:space="preserve">        ...</w:t>
      </w:r>
    </w:p>
    <w:p>
      <w:pPr>
        <w:spacing w:after="0" w:before="0"/>
      </w:pPr>
      <w:r>
        <w:rPr>
          <w:rFonts w:ascii="Consolas" w:cs="Consolas" w:eastAsia="Consolas" w:hAnsi="Consolas"/>
          <w:sz w:val="20"/>
          <w:szCs w:val="20"/>
        </w:rPr>
        <w:t xml:space="preserve">    finance/                      Reserved for future ministry</w:t>
      </w:r>
    </w:p>
    <w:p>
      <w:pPr>
        <w:spacing w:after="0" w:before="0"/>
      </w:pPr>
      <w:r>
        <w:rPr>
          <w:rFonts w:ascii="Consolas" w:cs="Consolas" w:eastAsia="Consolas" w:hAnsi="Consolas"/>
          <w:sz w:val="20"/>
          <w:szCs w:val="20"/>
        </w:rPr>
        <w:t xml:space="preserve">    health/                       Reserved for future ministry</w:t>
      </w:r>
    </w:p>
    <w:p>
      <w:pPr>
        <w:spacing w:after="0" w:before="0"/>
      </w:pPr>
      <w:r>
        <w:rPr>
          <w:rFonts w:ascii="Consolas" w:cs="Consolas" w:eastAsia="Consolas" w:hAnsi="Consolas"/>
          <w:sz w:val="20"/>
          <w:szCs w:val="20"/>
        </w:rPr>
        <w:t xml:space="preserve">    interior/                     Reserved for future ministry</w:t>
      </w:r>
    </w:p>
    <w:p>
      <w:pPr>
        <w:spacing w:after="0" w:before="0"/>
      </w:pPr>
      <w:r>
        <w:rPr>
          <w:rFonts w:ascii="Consolas" w:cs="Consolas" w:eastAsia="Consolas" w:hAnsi="Consolas"/>
          <w:sz w:val="20"/>
          <w:szCs w:val="20"/>
        </w:rPr>
        <w:t xml:space="preserve">  reports/</w:t>
      </w:r>
    </w:p>
    <w:p>
      <w:pPr>
        <w:spacing w:after="0" w:before="0"/>
      </w:pPr>
      <w:r>
        <w:rPr>
          <w:rFonts w:ascii="Consolas" w:cs="Consolas" w:eastAsia="Consolas" w:hAnsi="Consolas"/>
          <w:sz w:val="20"/>
          <w:szCs w:val="20"/>
        </w:rPr>
        <w:t xml:space="preserve">    nita_bill_2025_public.md      The launch artefact</w:t>
      </w:r>
    </w:p>
    <w:p>
      <w:pPr>
        <w:spacing w:after="0" w:before="0"/>
      </w:pPr>
      <w:r>
        <w:rPr>
          <w:rFonts w:ascii="Consolas" w:cs="Consolas" w:eastAsia="Consolas" w:hAnsi="Consolas"/>
          <w:sz w:val="20"/>
          <w:szCs w:val="20"/>
        </w:rPr>
        <w:t xml:space="preserve">    methodology_paper.md          For arXiv or a Ghanaian policy journal</w:t>
      </w:r>
    </w:p>
    <w:p>
      <w:pPr>
        <w:pStyle w:val="Heading2"/>
      </w:pPr>
      <w:r>
        <w:t xml:space="preserve">Why this structure</w:t>
      </w:r>
    </w:p>
    <w:p>
      <w:pPr>
        <w:pStyle w:val="ListParagraph"/>
        <w:numPr>
          <w:ilvl w:val="0"/>
          <w:numId w:val="2"/>
        </w:numPr>
        <w:spacing w:after="60" w:before="60"/>
      </w:pPr>
      <w:r>
        <w:t xml:space="preserve">Ministry is the top-level partition because the audience asks questions ministry-first. "What is MoCDT proposing this session." Not "show me all licensing bills."</w:t>
      </w:r>
    </w:p>
    <w:p>
      <w:pPr>
        <w:pStyle w:val="ListParagraph"/>
        <w:numPr>
          <w:ilvl w:val="0"/>
          <w:numId w:val="2"/>
        </w:numPr>
        <w:spacing w:after="60" w:before="60"/>
      </w:pPr>
      <w:r>
        <w:t xml:space="preserve">Year sits under ministry because parliamentary sessions are annual. The same ministry returns each year with new bills.</w:t>
      </w:r>
    </w:p>
    <w:p>
      <w:pPr>
        <w:pStyle w:val="ListParagraph"/>
        <w:numPr>
          <w:ilvl w:val="0"/>
          <w:numId w:val="2"/>
        </w:numPr>
        <w:spacing w:after="60" w:before="60"/>
      </w:pPr>
      <w:r>
        <w:t xml:space="preserve">Bills get their own folder with raw PDF, parsed JSON, metadata, the analysis report, and an evidence sub-folder. Everything about one bill stays together.</w:t>
      </w:r>
    </w:p>
    <w:p>
      <w:pPr>
        <w:pStyle w:val="ListParagraph"/>
        <w:numPr>
          <w:ilvl w:val="0"/>
          <w:numId w:val="2"/>
        </w:numPr>
        <w:spacing w:after="60" w:before="60"/>
      </w:pPr>
      <w:r>
        <w:t xml:space="preserve">The constitution lives in reference, not in bills, because it is the fixed counter-source. It is indexed once.</w:t>
      </w:r>
    </w:p>
    <w:p>
      <w:pPr>
        <w:pStyle w:val="ListParagraph"/>
        <w:numPr>
          <w:ilvl w:val="0"/>
          <w:numId w:val="2"/>
        </w:numPr>
        <w:spacing w:after="60" w:before="60"/>
      </w:pPr>
      <w:r>
        <w:t xml:space="preserve">methodology is separate from any specific bill so the taxonomy and labelling guide can be cited across all ministries.</w:t>
      </w:r>
    </w:p>
    <w:p>
      <w:pPr>
        <w:pStyle w:val="ListParagraph"/>
        <w:numPr>
          <w:ilvl w:val="0"/>
          <w:numId w:val="2"/>
        </w:numPr>
        <w:spacing w:after="60" w:before="60"/>
      </w:pPr>
      <w:r>
        <w:t xml:space="preserve">reports holds the polished public artefacts. The raw analysis lives inside each bill folder. The report is what gets shared.</w:t>
      </w:r>
    </w:p>
    <w:p>
      <w:pPr>
        <w:pStyle w:val="Heading2"/>
      </w:pPr>
      <w:r>
        <w:t xml:space="preserve">src folder</w:t>
      </w:r>
    </w:p>
    <w:p>
      <w:pPr>
        <w:spacing w:after="0" w:before="0"/>
      </w:pPr>
      <w:r>
        <w:rPr>
          <w:rFonts w:ascii="Consolas" w:cs="Consolas" w:eastAsia="Consolas" w:hAnsi="Consolas"/>
          <w:sz w:val="20"/>
          <w:szCs w:val="20"/>
        </w:rPr>
        <w:t>src/clauseguard/</w:t>
      </w:r>
    </w:p>
    <w:p>
      <w:pPr>
        <w:spacing w:after="0" w:before="0"/>
      </w:pPr>
      <w:r>
        <w:rPr>
          <w:rFonts w:ascii="Consolas" w:cs="Consolas" w:eastAsia="Consolas" w:hAnsi="Consolas"/>
          <w:sz w:val="20"/>
          <w:szCs w:val="20"/>
        </w:rPr>
        <w:t xml:space="preserve">  parsing/                      PDF to clause-level JSON</w:t>
      </w:r>
    </w:p>
    <w:p>
      <w:pPr>
        <w:spacing w:after="0" w:before="0"/>
      </w:pPr>
      <w:r>
        <w:rPr>
          <w:rFonts w:ascii="Consolas" w:cs="Consolas" w:eastAsia="Consolas" w:hAnsi="Consolas"/>
          <w:sz w:val="20"/>
          <w:szCs w:val="20"/>
        </w:rPr>
        <w:t xml:space="preserve">    pdf_extractor.py            pdfplumber wrapper</w:t>
      </w:r>
    </w:p>
    <w:p>
      <w:pPr>
        <w:spacing w:after="0" w:before="0"/>
      </w:pPr>
      <w:r>
        <w:rPr>
          <w:rFonts w:ascii="Consolas" w:cs="Consolas" w:eastAsia="Consolas" w:hAnsi="Consolas"/>
          <w:sz w:val="20"/>
          <w:szCs w:val="20"/>
        </w:rPr>
        <w:t xml:space="preserve">    clause_splitter.py          Hierarchical clause parser</w:t>
      </w:r>
    </w:p>
    <w:p>
      <w:pPr>
        <w:spacing w:after="0" w:before="0"/>
      </w:pPr>
      <w:r>
        <w:rPr>
          <w:rFonts w:ascii="Consolas" w:cs="Consolas" w:eastAsia="Consolas" w:hAnsi="Consolas"/>
          <w:sz w:val="20"/>
          <w:szCs w:val="20"/>
        </w:rPr>
        <w:t xml:space="preserve">    cross_reference.py          Detect references to other Acts</w:t>
      </w:r>
    </w:p>
    <w:p>
      <w:pPr>
        <w:spacing w:after="0" w:before="0"/>
      </w:pPr>
      <w:r>
        <w:rPr>
          <w:rFonts w:ascii="Consolas" w:cs="Consolas" w:eastAsia="Consolas" w:hAnsi="Consolas"/>
          <w:sz w:val="20"/>
          <w:szCs w:val="20"/>
        </w:rPr>
        <w:t xml:space="preserve">  retrieval/                    RAG layer</w:t>
      </w:r>
    </w:p>
    <w:p>
      <w:pPr>
        <w:spacing w:after="0" w:before="0"/>
      </w:pPr>
      <w:r>
        <w:rPr>
          <w:rFonts w:ascii="Consolas" w:cs="Consolas" w:eastAsia="Consolas" w:hAnsi="Consolas"/>
          <w:sz w:val="20"/>
          <w:szCs w:val="20"/>
        </w:rPr>
        <w:t xml:space="preserve">    embed_constitution.py       Once, ahead of time</w:t>
      </w:r>
    </w:p>
    <w:p>
      <w:pPr>
        <w:spacing w:after="0" w:before="0"/>
      </w:pPr>
      <w:r>
        <w:rPr>
          <w:rFonts w:ascii="Consolas" w:cs="Consolas" w:eastAsia="Consolas" w:hAnsi="Consolas"/>
          <w:sz w:val="20"/>
          <w:szCs w:val="20"/>
        </w:rPr>
        <w:t xml:space="preserve">    embed_bill.py               Per bill</w:t>
      </w:r>
    </w:p>
    <w:p>
      <w:pPr>
        <w:spacing w:after="0" w:before="0"/>
      </w:pPr>
      <w:r>
        <w:rPr>
          <w:rFonts w:ascii="Consolas" w:cs="Consolas" w:eastAsia="Consolas" w:hAnsi="Consolas"/>
          <w:sz w:val="20"/>
          <w:szCs w:val="20"/>
        </w:rPr>
        <w:t xml:space="preserve">    retrieve.py                 For each clause, get top-k articles</w:t>
      </w:r>
    </w:p>
    <w:p>
      <w:pPr>
        <w:spacing w:after="0" w:before="0"/>
      </w:pPr>
      <w:r>
        <w:rPr>
          <w:rFonts w:ascii="Consolas" w:cs="Consolas" w:eastAsia="Consolas" w:hAnsi="Consolas"/>
          <w:sz w:val="20"/>
          <w:szCs w:val="20"/>
        </w:rPr>
        <w:t xml:space="preserve">  analysis/                     Risk classification</w:t>
      </w:r>
    </w:p>
    <w:p>
      <w:pPr>
        <w:spacing w:after="0" w:before="0"/>
      </w:pPr>
      <w:r>
        <w:rPr>
          <w:rFonts w:ascii="Consolas" w:cs="Consolas" w:eastAsia="Consolas" w:hAnsi="Consolas"/>
          <w:sz w:val="20"/>
          <w:szCs w:val="20"/>
        </w:rPr>
        <w:t xml:space="preserve">    risk_classifier.py          Multi-label LLM prompt</w:t>
      </w:r>
    </w:p>
    <w:p>
      <w:pPr>
        <w:spacing w:after="0" w:before="0"/>
      </w:pPr>
      <w:r>
        <w:rPr>
          <w:rFonts w:ascii="Consolas" w:cs="Consolas" w:eastAsia="Consolas" w:hAnsi="Consolas"/>
          <w:sz w:val="20"/>
          <w:szCs w:val="20"/>
        </w:rPr>
        <w:t xml:space="preserve">    constitutional_check.py     Contradiction prompt</w:t>
      </w:r>
    </w:p>
    <w:p>
      <w:pPr>
        <w:spacing w:after="0" w:before="0"/>
      </w:pPr>
      <w:r>
        <w:rPr>
          <w:rFonts w:ascii="Consolas" w:cs="Consolas" w:eastAsia="Consolas" w:hAnsi="Consolas"/>
          <w:sz w:val="20"/>
          <w:szCs w:val="20"/>
        </w:rPr>
        <w:t xml:space="preserve">    severity_likelihood.py      Ordinal score assignment</w:t>
      </w:r>
    </w:p>
    <w:p>
      <w:pPr>
        <w:spacing w:after="0" w:before="0"/>
      </w:pPr>
      <w:r>
        <w:rPr>
          <w:rFonts w:ascii="Consolas" w:cs="Consolas" w:eastAsia="Consolas" w:hAnsi="Consolas"/>
          <w:sz w:val="20"/>
          <w:szCs w:val="20"/>
        </w:rPr>
        <w:t xml:space="preserve">  evidence/                     Evidence card assembly</w:t>
      </w:r>
    </w:p>
    <w:p>
      <w:pPr>
        <w:spacing w:after="0" w:before="0"/>
      </w:pPr>
      <w:r>
        <w:rPr>
          <w:rFonts w:ascii="Consolas" w:cs="Consolas" w:eastAsia="Consolas" w:hAnsi="Consolas"/>
          <w:sz w:val="20"/>
          <w:szCs w:val="20"/>
        </w:rPr>
        <w:t xml:space="preserve">    extract_excerpt.py          Pull the cited text from the clause</w:t>
      </w:r>
    </w:p>
    <w:p>
      <w:pPr>
        <w:spacing w:after="0" w:before="0"/>
      </w:pPr>
      <w:r>
        <w:rPr>
          <w:rFonts w:ascii="Consolas" w:cs="Consolas" w:eastAsia="Consolas" w:hAnsi="Consolas"/>
          <w:sz w:val="20"/>
          <w:szCs w:val="20"/>
        </w:rPr>
        <w:t xml:space="preserve">    format_card.py              Structured evidence card</w:t>
      </w:r>
    </w:p>
    <w:p>
      <w:pPr>
        <w:spacing w:after="0" w:before="0"/>
      </w:pPr>
      <w:r>
        <w:rPr>
          <w:rFonts w:ascii="Consolas" w:cs="Consolas" w:eastAsia="Consolas" w:hAnsi="Consolas"/>
          <w:sz w:val="20"/>
          <w:szCs w:val="20"/>
        </w:rPr>
        <w:t xml:space="preserve">  api/                          FastAPI exposing clauses and evidence</w:t>
      </w:r>
    </w:p>
    <w:p>
      <w:pPr>
        <w:spacing w:after="0" w:before="0"/>
      </w:pPr>
      <w:r>
        <w:rPr>
          <w:rFonts w:ascii="Consolas" w:cs="Consolas" w:eastAsia="Consolas" w:hAnsi="Consolas"/>
          <w:sz w:val="20"/>
          <w:szCs w:val="20"/>
        </w:rPr>
        <w:t xml:space="preserve">  eval/                         Inter-rater agreement and labelling tool</w:t>
      </w:r>
    </w:p>
    <w:p>
      <w:pPr>
        <w:pBdr>
          <w:bottom w:val="single" w:color="888888" w:sz="6" w:space="4"/>
        </w:pBdr>
      </w:pPr>
      <w:r>
        <w:t xml:space="preserve"/>
      </w:r>
    </w:p>
    <w:p>
      <w:pPr>
        <w:pStyle w:val="Heading1"/>
      </w:pPr>
      <w:r>
        <w:t xml:space="preserve">5. The Four Supporting Files</w:t>
      </w:r>
    </w:p>
    <w:p>
      <w:pPr>
        <w:spacing w:after="120" w:before="120"/>
      </w:pPr>
      <w:r>
        <w:t xml:space="preserve">Every project in the portfolio carries the same four files. They are the working documents that signal seniority and let collaborators or recruiters reverse-engineer the project.</w:t>
      </w:r>
    </w:p>
    <w:p>
      <w:pPr>
        <w:pStyle w:val="Heading2"/>
      </w:pPr>
      <w:r>
        <w:t xml:space="preserve">README.md</w:t>
      </w:r>
    </w:p>
    <w:p>
      <w:pPr>
        <w:spacing w:after="120" w:before="120"/>
      </w:pPr>
      <w:r>
        <w:t xml:space="preserve">The 90-second front door. Tagline, why this matters, demo link, how it works in one diagram, headline metrics, quickstart, repo structure pointer, what was learned, future work, linked writing.</w:t>
      </w:r>
    </w:p>
    <w:p>
      <w:pPr>
        <w:pStyle w:val="Heading2"/>
      </w:pPr>
      <w:r>
        <w:t xml:space="preserve">CLAUDE.md</w:t>
      </w:r>
    </w:p>
    <w:p>
      <w:pPr>
        <w:spacing w:after="120" w:before="120"/>
      </w:pPr>
      <w:r>
        <w:t xml:space="preserve">Working context for any AI assistant that touches the repo. Project goals, the user's writing rules, the file structure, what the assistant should and should not do, where to find the methodology documents. Updated as the project evolves.</w:t>
      </w:r>
    </w:p>
    <w:p>
      <w:pPr>
        <w:pStyle w:val="Heading2"/>
      </w:pPr>
      <w:r>
        <w:t xml:space="preserve">DECISIONS.md</w:t>
      </w:r>
    </w:p>
    <w:p>
      <w:pPr>
        <w:spacing w:after="120" w:before="120"/>
      </w:pPr>
      <w:r>
        <w:t xml:space="preserve">The architectural decision log. One entry per significant decision, with date, the decision, alternatives considered, and the rationale. Starts with the decisions made in the scoping phase and grows from there.</w:t>
      </w:r>
    </w:p>
    <w:p>
      <w:pPr>
        <w:pStyle w:val="Heading2"/>
      </w:pPr>
      <w:r>
        <w:t xml:space="preserve">SKILLS.md</w:t>
      </w:r>
    </w:p>
    <w:p>
      <w:pPr>
        <w:spacing w:after="120" w:before="120"/>
      </w:pPr>
      <w:r>
        <w:t xml:space="preserve">Maps technical capabilities demonstrated by the project to specific files and decisions. Helps a recruiter find the evidence for each skill quickly. Helps the founder write CV bullets and interview talking points without rewriting from scratch.</w:t>
      </w:r>
    </w:p>
    <w:p>
      <w:pPr>
        <w:pBdr>
          <w:bottom w:val="single" w:color="888888" w:sz="6" w:space="4"/>
        </w:pBdr>
      </w:pPr>
      <w:r>
        <w:t xml:space="preserve"/>
      </w:r>
    </w:p>
    <w:p>
      <w:pPr>
        <w:pStyle w:val="Heading1"/>
      </w:pPr>
      <w:r>
        <w:t xml:space="preserve">6. Build Order</w:t>
      </w:r>
    </w:p>
    <w:p>
      <w:pPr>
        <w:spacing w:after="120" w:before="120"/>
      </w:pPr>
      <w:r>
        <w:t xml:space="preserve">Four weeks to v1. The order is methodology first, then parsing, then retrieval, then the human review interface. Code comes last because it is the easiest part.</w:t>
      </w:r>
    </w:p>
    <w:p>
      <w:pPr>
        <w:pStyle w:val="Heading2"/>
      </w:pPr>
      <w:r>
        <w:t xml:space="preserve">Week 1. Methodology lockdown and corpus assembly</w:t>
      </w:r>
    </w:p>
    <w:p>
      <w:pPr>
        <w:pStyle w:val="ListParagraph"/>
        <w:numPr>
          <w:ilvl w:val="0"/>
          <w:numId w:val="2"/>
        </w:numPr>
        <w:spacing w:after="60" w:before="60"/>
      </w:pPr>
      <w:r>
        <w:t xml:space="preserve">Convert the existing taxonomy, NITA worked example, and constitutional module into the three methodology markdown files.</w:t>
      </w:r>
    </w:p>
    <w:p>
      <w:pPr>
        <w:pStyle w:val="ListParagraph"/>
        <w:numPr>
          <w:ilvl w:val="0"/>
          <w:numId w:val="2"/>
        </w:numPr>
        <w:spacing w:after="60" w:before="60"/>
      </w:pPr>
      <w:r>
        <w:t xml:space="preserve">Write the labelling guide. One page. Five examples per category. Include negative examples that look like one category but are actually another.</w:t>
      </w:r>
    </w:p>
    <w:p>
      <w:pPr>
        <w:pStyle w:val="ListParagraph"/>
        <w:numPr>
          <w:ilvl w:val="0"/>
          <w:numId w:val="2"/>
        </w:numPr>
        <w:spacing w:after="60" w:before="60"/>
      </w:pPr>
      <w:r>
        <w:t xml:space="preserve">Source a clean text version of the 1992 Constitution. Split by article and sub-article. Write to docs/reference/constitution_1992/articles/.</w:t>
      </w:r>
    </w:p>
    <w:p>
      <w:pPr>
        <w:pStyle w:val="ListParagraph"/>
        <w:numPr>
          <w:ilvl w:val="0"/>
          <w:numId w:val="2"/>
        </w:numPr>
        <w:spacing w:after="60" w:before="60"/>
      </w:pPr>
      <w:r>
        <w:t xml:space="preserve">Collect the 15 MoCDT bills as PDFs. Write metadata.yaml for each.</w:t>
      </w:r>
    </w:p>
    <w:p>
      <w:pPr>
        <w:pStyle w:val="ListParagraph"/>
        <w:numPr>
          <w:ilvl w:val="0"/>
          <w:numId w:val="2"/>
        </w:numPr>
        <w:spacing w:after="60" w:before="60"/>
      </w:pPr>
      <w:r>
        <w:t xml:space="preserve">Find one Ghanaian ICT lawyer for five hours of consultation over the four weeks. Penplusbytes, MFWA, or a private practice. Book the time now.</w:t>
      </w:r>
    </w:p>
    <w:p>
      <w:pPr>
        <w:pStyle w:val="Heading2"/>
      </w:pPr>
      <w:r>
        <w:t xml:space="preserve">Week 2. Parsing and embedding</w:t>
      </w:r>
    </w:p>
    <w:p>
      <w:pPr>
        <w:pStyle w:val="ListParagraph"/>
        <w:numPr>
          <w:ilvl w:val="0"/>
          <w:numId w:val="2"/>
        </w:numPr>
        <w:spacing w:after="60" w:before="60"/>
      </w:pPr>
      <w:r>
        <w:t xml:space="preserve">Build clause_splitter.py. Test on the NITA Bill first because it is well-structured. Then test on two more bills to confirm the parser is robust.</w:t>
      </w:r>
    </w:p>
    <w:p>
      <w:pPr>
        <w:pStyle w:val="ListParagraph"/>
        <w:numPr>
          <w:ilvl w:val="0"/>
          <w:numId w:val="2"/>
        </w:numPr>
        <w:spacing w:after="60" w:before="60"/>
      </w:pPr>
      <w:r>
        <w:t xml:space="preserve">Build cross_reference.py. The goal is not to resolve references, only to flag them with the cited Act and section number.</w:t>
      </w:r>
    </w:p>
    <w:p>
      <w:pPr>
        <w:pStyle w:val="ListParagraph"/>
        <w:numPr>
          <w:ilvl w:val="0"/>
          <w:numId w:val="2"/>
        </w:numPr>
        <w:spacing w:after="60" w:before="60"/>
      </w:pPr>
      <w:r>
        <w:t xml:space="preserve">Embed the constitution once. Store in a local vector database like Chroma.</w:t>
      </w:r>
    </w:p>
    <w:p>
      <w:pPr>
        <w:pStyle w:val="ListParagraph"/>
        <w:numPr>
          <w:ilvl w:val="0"/>
          <w:numId w:val="2"/>
        </w:numPr>
        <w:spacing w:after="60" w:before="60"/>
      </w:pPr>
      <w:r>
        <w:t xml:space="preserve">Embed all 15 bills at clause level. One vector per clause.</w:t>
      </w:r>
    </w:p>
    <w:p>
      <w:pPr>
        <w:pStyle w:val="ListParagraph"/>
        <w:numPr>
          <w:ilvl w:val="0"/>
          <w:numId w:val="2"/>
        </w:numPr>
        <w:spacing w:after="60" w:before="60"/>
      </w:pPr>
      <w:r>
        <w:t xml:space="preserve">Write retrieve.py. Given a clause, return top-three constitutional articles and top-three similar clauses across the corpus.</w:t>
      </w:r>
    </w:p>
    <w:p>
      <w:pPr>
        <w:pStyle w:val="Heading2"/>
      </w:pPr>
      <w:r>
        <w:t xml:space="preserve">Week 3. Risk classification and constitutional check</w:t>
      </w:r>
    </w:p>
    <w:p>
      <w:pPr>
        <w:pStyle w:val="ListParagraph"/>
        <w:numPr>
          <w:ilvl w:val="0"/>
          <w:numId w:val="2"/>
        </w:numPr>
        <w:spacing w:after="60" w:before="60"/>
      </w:pPr>
      <w:r>
        <w:t xml:space="preserve">Write the risk classification prompt. Multi-label. Return one or more of the 11 categories with severity and likelihood per category.</w:t>
      </w:r>
    </w:p>
    <w:p>
      <w:pPr>
        <w:pStyle w:val="ListParagraph"/>
        <w:numPr>
          <w:ilvl w:val="0"/>
          <w:numId w:val="2"/>
        </w:numPr>
        <w:spacing w:after="60" w:before="60"/>
      </w:pPr>
      <w:r>
        <w:t xml:space="preserve">Write the constitutional contradiction prompt. Input is one clause and one constitutional article. Output is alignment score, red/amber/green, with rationale.</w:t>
      </w:r>
    </w:p>
    <w:p>
      <w:pPr>
        <w:pStyle w:val="ListParagraph"/>
        <w:numPr>
          <w:ilvl w:val="0"/>
          <w:numId w:val="2"/>
        </w:numPr>
        <w:spacing w:after="60" w:before="60"/>
      </w:pPr>
      <w:r>
        <w:t xml:space="preserve">Run on the NITA Bill end to end. Compare to the worked example. Adjust prompts.</w:t>
      </w:r>
    </w:p>
    <w:p>
      <w:pPr>
        <w:pStyle w:val="ListParagraph"/>
        <w:numPr>
          <w:ilvl w:val="0"/>
          <w:numId w:val="2"/>
        </w:numPr>
        <w:spacing w:after="60" w:before="60"/>
      </w:pPr>
      <w:r>
        <w:t xml:space="preserve">Hand-label 30 clauses with the lawyer. Compute Cohen's kappa against the LLM. If agreement is below 0.6, sharpen the taxonomy before scaling.</w:t>
      </w:r>
    </w:p>
    <w:p>
      <w:pPr>
        <w:pStyle w:val="ListParagraph"/>
        <w:numPr>
          <w:ilvl w:val="0"/>
          <w:numId w:val="2"/>
        </w:numPr>
        <w:spacing w:after="60" w:before="60"/>
      </w:pPr>
      <w:r>
        <w:t xml:space="preserve">Lock the methodology at version 1.1. Add an entry to DECISIONS.md describing what changed.</w:t>
      </w:r>
    </w:p>
    <w:p>
      <w:pPr>
        <w:pStyle w:val="Heading2"/>
      </w:pPr>
      <w:r>
        <w:t xml:space="preserve">Week 4. Review interface and the NITA launch report</w:t>
      </w:r>
    </w:p>
    <w:p>
      <w:pPr>
        <w:pStyle w:val="ListParagraph"/>
        <w:numPr>
          <w:ilvl w:val="0"/>
          <w:numId w:val="2"/>
        </w:numPr>
        <w:spacing w:after="60" w:before="60"/>
      </w:pPr>
      <w:r>
        <w:t xml:space="preserve">Build a minimal Streamlit or React interface. Upload a bill, see clauses, see proposed risks and constitutional checks, accept or edit, export.</w:t>
      </w:r>
    </w:p>
    <w:p>
      <w:pPr>
        <w:pStyle w:val="ListParagraph"/>
        <w:numPr>
          <w:ilvl w:val="0"/>
          <w:numId w:val="2"/>
        </w:numPr>
        <w:spacing w:after="60" w:before="60"/>
      </w:pPr>
      <w:r>
        <w:t xml:space="preserve">Run the full pipeline on all 15 bills. Spot-check five of them.</w:t>
      </w:r>
    </w:p>
    <w:p>
      <w:pPr>
        <w:pStyle w:val="ListParagraph"/>
        <w:numPr>
          <w:ilvl w:val="0"/>
          <w:numId w:val="2"/>
        </w:numPr>
        <w:spacing w:after="60" w:before="60"/>
      </w:pPr>
      <w:r>
        <w:t xml:space="preserve">Write the public NITA Bill report. Use the worked example as the template. Publish as a downloadable PDF and as a LinkedIn post.</w:t>
      </w:r>
    </w:p>
    <w:p>
      <w:pPr>
        <w:pStyle w:val="ListParagraph"/>
        <w:numPr>
          <w:ilvl w:val="0"/>
          <w:numId w:val="2"/>
        </w:numPr>
        <w:spacing w:after="60" w:before="60"/>
      </w:pPr>
      <w:r>
        <w:t xml:space="preserve">Tag the v1 release.</w:t>
      </w:r>
    </w:p>
    <w:p>
      <w:pPr>
        <w:pBdr>
          <w:bottom w:val="single" w:color="888888" w:sz="6" w:space="4"/>
        </w:pBdr>
      </w:pPr>
      <w:r>
        <w:t xml:space="preserve"/>
      </w:r>
    </w:p>
    <w:p>
      <w:pPr>
        <w:pStyle w:val="Heading1"/>
      </w:pPr>
      <w:r>
        <w:t xml:space="preserve">7. Scoring</w:t>
      </w:r>
    </w:p>
    <w:p>
      <w:pPr>
        <w:spacing w:after="120" w:before="120"/>
      </w:pPr>
      <w:r>
        <w:t xml:space="preserve">The scoring function is intentionally transparent. Stakeholders trust what they can audit.</w:t>
      </w:r>
    </w:p>
    <w:p>
      <w:pPr>
        <w:pStyle w:val="Heading2"/>
      </w:pPr>
      <w:r>
        <w:t xml:space="preserve">Per risk and per clause</w:t>
      </w:r>
    </w:p>
    <w:p>
      <w:pPr>
        <w:pStyle w:val="ListParagraph"/>
        <w:numPr>
          <w:ilvl w:val="0"/>
          <w:numId w:val="2"/>
        </w:numPr>
        <w:spacing w:after="60" w:before="60"/>
      </w:pPr>
      <w:r>
        <w:t xml:space="preserve">Severity. Ordinal band from low to severe. Four levels.</w:t>
      </w:r>
    </w:p>
    <w:p>
      <w:pPr>
        <w:pStyle w:val="ListParagraph"/>
        <w:numPr>
          <w:ilvl w:val="0"/>
          <w:numId w:val="2"/>
        </w:numPr>
        <w:spacing w:after="60" w:before="60"/>
      </w:pPr>
      <w:r>
        <w:t xml:space="preserve">Likelihood. Ordinal band from rare to certain. Four levels.</w:t>
      </w:r>
    </w:p>
    <w:p>
      <w:pPr>
        <w:pStyle w:val="ListParagraph"/>
        <w:numPr>
          <w:ilvl w:val="0"/>
          <w:numId w:val="2"/>
        </w:numPr>
        <w:spacing w:after="60" w:before="60"/>
      </w:pPr>
      <w:r>
        <w:t xml:space="preserve">Affected parties. List, drawn from the eleven categories of affected parties.</w:t>
      </w:r>
    </w:p>
    <w:p>
      <w:pPr>
        <w:pStyle w:val="ListParagraph"/>
        <w:numPr>
          <w:ilvl w:val="0"/>
          <w:numId w:val="2"/>
        </w:numPr>
        <w:spacing w:after="60" w:before="60"/>
      </w:pPr>
      <w:r>
        <w:t xml:space="preserve">Evidence IDs. One or more E1, E2, etc., each linking to a cited excerpt from the bill.</w:t>
      </w:r>
    </w:p>
    <w:p>
      <w:pPr>
        <w:pStyle w:val="ListParagraph"/>
        <w:numPr>
          <w:ilvl w:val="0"/>
          <w:numId w:val="2"/>
        </w:numPr>
        <w:spacing w:after="60" w:before="60"/>
      </w:pPr>
      <w:r>
        <w:t xml:space="preserve">Constitutional check. Red, amber, or green, with linked article and rationale.</w:t>
      </w:r>
    </w:p>
    <w:p>
      <w:pPr>
        <w:pStyle w:val="Heading2"/>
      </w:pPr>
      <w:r>
        <w:t xml:space="preserve">Per bill</w:t>
      </w:r>
    </w:p>
    <w:p>
      <w:pPr>
        <w:spacing w:after="120" w:before="120"/>
      </w:pPr>
      <w:r>
        <w:t xml:space="preserve">No single bill score is computed by default. Instead, the interface lets the user pick a stakeholder lens. The lens applies weights across the eleven categories. The score for that lens is a weighted sum of severity times likelihood, normalised.</w:t>
      </w:r>
    </w:p>
    <w:p>
      <w:pPr>
        <w:spacing w:after="120" w:before="120"/>
      </w:pPr>
      <w:r>
        <w:t xml:space="preserve">This protects the system from accusations of political bias. A civil society lens will rank the bill differently from an industry lens, and that difference is visible by construction.</w:t>
      </w:r>
    </w:p>
    <w:p>
      <w:pPr>
        <w:pBdr>
          <w:bottom w:val="single" w:color="888888" w:sz="6" w:space="4"/>
        </w:pBdr>
      </w:pPr>
      <w:r>
        <w:t xml:space="preserve"/>
      </w:r>
    </w:p>
    <w:p>
      <w:pPr>
        <w:pStyle w:val="Heading1"/>
      </w:pPr>
      <w:r>
        <w:t xml:space="preserve">8. Where It Will Break</w:t>
      </w:r>
    </w:p>
    <w:p>
      <w:pPr>
        <w:spacing w:after="120" w:before="120"/>
      </w:pPr>
      <w:r>
        <w:t>Most projects fail at the boundaries. These are the ClauseGuard boundaries to watch.</w:t>
      </w:r>
    </w:p>
    <w:p>
      <w:pPr>
        <w:spacing w:after="120" w:before="120"/>
      </w:pPr>
      <w:r>
        <w:rPr>
          <w:b/>
          <w:bCs/>
        </w:rPr>
        <w:t xml:space="preserve">Labelling agreement. </w:t>
      </w:r>
      <w:r>
        <w:t xml:space="preserve">If the lawyer and the founder disagree on more than 40 percent of the first 30 clauses, the taxonomy is not yet stable. Stop and sharpen the categories before labelling another clause. This is the failure mode that stalled GreenLens.</w:t>
      </w:r>
    </w:p>
    <w:p>
      <w:pPr>
        <w:spacing w:after="120" w:before="120"/>
      </w:pPr>
      <w:r>
        <w:rPr>
          <w:b/>
          <w:bCs/>
        </w:rPr>
        <w:t xml:space="preserve">Amendment clauses. </w:t>
      </w:r>
      <w:r>
        <w:t xml:space="preserve">Bills that amend existing Acts can look benign until you read the section being amended. The parser flags these, but the analyst must follow the reference. The launch report should pick a non-amendment-heavy bill if NITA proves too complex.</w:t>
      </w:r>
    </w:p>
    <w:p>
      <w:pPr>
        <w:spacing w:after="120" w:before="120"/>
      </w:pPr>
      <w:r>
        <w:rPr>
          <w:b/>
          <w:bCs/>
        </w:rPr>
        <w:t xml:space="preserve">PDF quirks. </w:t>
      </w:r>
      <w:r>
        <w:t xml:space="preserve">Five percent of pages will break the parser. Tables, footnotes, scanned pages. Build a manual fallback. Do not chase 100 percent automation.</w:t>
      </w:r>
    </w:p>
    <w:p>
      <w:pPr>
        <w:spacing w:after="120" w:before="120"/>
      </w:pPr>
      <w:r>
        <w:rPr>
          <w:b/>
          <w:bCs/>
        </w:rPr>
        <w:t xml:space="preserve">LLM hallucination on constitutional articles. </w:t>
      </w:r>
      <w:r>
        <w:t xml:space="preserve">The model will invent article numbers if the retrieval fails. Validate every cited article against the actual constitution text before showing it to the user. This is a hard rule.</w:t>
      </w:r>
    </w:p>
    <w:p>
      <w:pPr>
        <w:spacing w:after="120" w:before="120"/>
      </w:pPr>
      <w:r>
        <w:rPr>
          <w:b/>
          <w:bCs/>
        </w:rPr>
        <w:t xml:space="preserve">Political reaction. </w:t>
      </w:r>
      <w:r>
        <w:t>The NITA Bill is already on social media. A red-amber-green dashboard on a sitting government's bill will get political reaction. Decide in advance whether ClauseGuard is non-partisan analysis or advocacy. The founder should pick one and document the choice in DECISIONS.md.</w:t>
      </w:r>
    </w:p>
    <w:p>
      <w:pPr>
        <w:pBdr>
          <w:bottom w:val="single" w:color="888888" w:sz="6" w:space="4"/>
        </w:pBdr>
      </w:pPr>
      <w:r>
        <w:t xml:space="preserve"/>
      </w:r>
    </w:p>
    <w:p>
      <w:pPr>
        <w:pStyle w:val="Heading1"/>
      </w:pPr>
      <w:r>
        <w:t xml:space="preserve">9. The NITA Launch</w:t>
      </w:r>
    </w:p>
    <w:p>
      <w:pPr>
        <w:spacing w:after="120" w:before="120"/>
      </w:pPr>
      <w:r>
        <w:t>The NITA Bill report is the public artefact that proves ClauseGuard works. Treat it as a separate deliverable from the platform.</w:t>
      </w:r>
    </w:p>
    <w:p>
      <w:pPr>
        <w:pStyle w:val="ListParagraph"/>
        <w:numPr>
          <w:ilvl w:val="0"/>
          <w:numId w:val="2"/>
        </w:numPr>
        <w:spacing w:after="60" w:before="60"/>
      </w:pPr>
      <w:r>
        <w:t xml:space="preserve">Format. Twelve to fifteen pages. PDF and web. Designed for an analyst to skim in five minutes and read in twenty.</w:t>
      </w:r>
    </w:p>
    <w:p>
      <w:pPr>
        <w:pStyle w:val="ListParagraph"/>
        <w:numPr>
          <w:ilvl w:val="0"/>
          <w:numId w:val="2"/>
        </w:numPr>
        <w:spacing w:after="60" w:before="60"/>
      </w:pPr>
      <w:r>
        <w:t>Structure. Executive summary, the eleven risk categories with scores, the constitutional check table, the evidence appendix with E1 through E30 roughly, methodology footer with a link to ClauseGuard.</w:t>
      </w:r>
    </w:p>
    <w:p>
      <w:pPr>
        <w:pStyle w:val="ListParagraph"/>
        <w:numPr>
          <w:ilvl w:val="0"/>
          <w:numId w:val="2"/>
        </w:numPr>
        <w:spacing w:after="60" w:before="60"/>
      </w:pPr>
      <w:r>
        <w:t xml:space="preserve">Distribution. LinkedIn post by the founder, sent to Penplusbytes, MFWA, Ghana Chamber of Telecommunications, and three or four named parliamentary committee staff. The Twitter or X version is shorter, leads with one finding, and links to the PDF.</w:t>
      </w:r>
    </w:p>
    <w:p>
      <w:pPr>
        <w:pStyle w:val="ListParagraph"/>
        <w:numPr>
          <w:ilvl w:val="0"/>
          <w:numId w:val="2"/>
        </w:numPr>
        <w:spacing w:after="60" w:before="60"/>
      </w:pPr>
      <w:r>
        <w:t xml:space="preserve">Tone. Non-partisan. Cite the bill. Cite the Constitution. Let the evidence make the case.</w:t>
      </w:r>
    </w:p>
    <w:p>
      <w:pPr>
        <w:pBdr>
          <w:bottom w:val="single" w:color="888888" w:sz="6" w:space="4"/>
        </w:pBdr>
      </w:pPr>
      <w:r>
        <w:t xml:space="preserve"/>
      </w:r>
    </w:p>
    <w:p>
      <w:pPr>
        <w:pStyle w:val="Heading1"/>
      </w:pPr>
      <w:r>
        <w:t xml:space="preserve">10. What This Project Demonstrates</w:t>
      </w:r>
    </w:p>
    <w:p>
      <w:pPr>
        <w:spacing w:after="120" w:before="120"/>
      </w:pPr>
      <w:r>
        <w:t>ClauseGuard is an AI4Good project for Ghanaian civic life, and a portfolio piece that maps cleanly to the explainability work at Govaxis. The skills it demonstrates are documented in SKILLS.md, but the headline ones are these.</w:t>
      </w:r>
    </w:p>
    <w:p>
      <w:pPr>
        <w:pStyle w:val="ListParagraph"/>
        <w:numPr>
          <w:ilvl w:val="0"/>
          <w:numId w:val="2"/>
        </w:numPr>
        <w:spacing w:after="60" w:before="60"/>
      </w:pPr>
      <w:r>
        <w:t xml:space="preserve">Domain-grounded RAG. Two-corpus retrieval with a fixed reference and a variable target.</w:t>
      </w:r>
    </w:p>
    <w:p>
      <w:pPr>
        <w:pStyle w:val="ListParagraph"/>
        <w:numPr>
          <w:ilvl w:val="0"/>
          <w:numId w:val="2"/>
        </w:numPr>
        <w:spacing w:after="60" w:before="60"/>
      </w:pPr>
      <w:r>
        <w:t xml:space="preserve">Evidence-first system design. Every model output is anchored to a citation the human can verify.</w:t>
      </w:r>
    </w:p>
    <w:p>
      <w:pPr>
        <w:pStyle w:val="ListParagraph"/>
        <w:numPr>
          <w:ilvl w:val="0"/>
          <w:numId w:val="2"/>
        </w:numPr>
        <w:spacing w:after="60" w:before="60"/>
      </w:pPr>
      <w:r>
        <w:t xml:space="preserve">Multi-label classification on legal text. With an inter-rater agreement protocol that proves the taxonomy is stable.</w:t>
      </w:r>
    </w:p>
    <w:p>
      <w:pPr>
        <w:pStyle w:val="ListParagraph"/>
        <w:numPr>
          <w:ilvl w:val="0"/>
          <w:numId w:val="2"/>
        </w:numPr>
        <w:spacing w:after="60" w:before="60"/>
      </w:pPr>
      <w:r>
        <w:t xml:space="preserve">Hierarchical document parsing. Clauses, sub-clauses, cross-references, schedules.</w:t>
      </w:r>
    </w:p>
    <w:p>
      <w:pPr>
        <w:pStyle w:val="ListParagraph"/>
        <w:numPr>
          <w:ilvl w:val="0"/>
          <w:numId w:val="2"/>
        </w:numPr>
        <w:spacing w:after="60" w:before="60"/>
      </w:pPr>
      <w:r>
        <w:t xml:space="preserve">Transparent scoring. Severity and likelihood separated. Stakeholder lenses make the weighting visible.</w:t>
      </w:r>
    </w:p>
    <w:p>
      <w:pPr>
        <w:pStyle w:val="ListParagraph"/>
        <w:numPr>
          <w:ilvl w:val="0"/>
          <w:numId w:val="2"/>
        </w:numPr>
        <w:spacing w:after="60" w:before="60"/>
      </w:pPr>
      <w:r>
        <w:t xml:space="preserve">Public deliverable in a sensitive domain. Non-partisan analysis on a contested bill, published with full evidence.</w:t>
      </w:r>
    </w:p>
    <w:p>
      <w:r>
        <w:t xml:space="preserve"/>
      </w:r>
    </w:p>
    <w:p>
      <w:pPr>
        <w:spacing w:after="120" w:before="120"/>
      </w:pPr>
      <w:r>
        <w:t xml:space="preserve">End of playbook v1.0. Tracked changes from this point go in DECISIONS.md.</w:t>
      </w:r>
    </w:p>
    <w:sectPr>
      <w:headerReference w:type="default" r:id="rId8"/>
      <w:footerReference w:type="default" r:id="rId9"/>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D2E"/>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1F4D2E"/>
      <w:sz w:val="28"/>
      <w:szCs w:val="28"/>
    </w:rPr>
  </w:style>
  <w:style w:type="paragraph" w:styleId="Heading3">
    <w:name w:val="Heading 3"/>
    <w:basedOn w:val="Normal"/>
    <w:next w:val="Normal"/>
    <w:qFormat/>
    <w:pPr>
      <w:spacing w:after="80" w:before="180"/>
      <w:outlineLvl w:val="2"/>
    </w:pPr>
    <w:rPr>
      <w:rFonts w:ascii="Calibri" w:cs="Calibri" w:eastAsia="Calibri" w:hAnsi="Calibri"/>
      <w:b/>
      <w:bCs/>
      <w:color w:val="333333"/>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eader" Target="header1.xml"/><Relationship Id="rId9"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2026-05-25T20:29:53.268Z</dcterms:created>
  <dcterms:modified xsi:type="dcterms:W3CDTF">2026-05-25T20:29:53.283Z</dcterms:modified>
</cp:coreProperties>
</file>

<file path=docProps/custom.xml><?xml version="1.0" encoding="utf-8"?>
<Properties xmlns="http://schemas.openxmlformats.org/officeDocument/2006/custom-properties" xmlns:vt="http://schemas.openxmlformats.org/officeDocument/2006/docPropsVTypes"/>
</file>