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7A8A" w:rsidRDefault="0079351D">
      <w:r>
        <w:t>H2A Estimation Strategy</w:t>
      </w:r>
    </w:p>
    <w:p w:rsidR="0079351D" w:rsidRDefault="0079351D">
      <w:r>
        <w:t xml:space="preserve">Philip Hoxie, Ken Lee, and David Bier </w:t>
      </w:r>
    </w:p>
    <w:p w:rsidR="0079351D" w:rsidRDefault="0079351D">
      <w:r>
        <w:t>10/6/23</w:t>
      </w:r>
    </w:p>
    <w:p w:rsidR="0079351D" w:rsidRDefault="0079351D"/>
    <w:p w:rsidR="0079351D" w:rsidRDefault="0079351D">
      <w:r>
        <w:t xml:space="preserve">This paper will rely on a panel dataset of US counties to estimate a shift-share instrumental variables design for exposure to border enforcement shocks. </w:t>
      </w:r>
    </w:p>
    <w:p w:rsidR="0079351D" w:rsidRDefault="0079351D"/>
    <w:p w:rsidR="0079351D" w:rsidRDefault="0079351D">
      <w:r>
        <w:t xml:space="preserve">First, we must characterize the shift-share instrument, which uses endogenous exposure shares to changes in border enforcement. We proxy enforcement as the probability of a border encounter given an illegal crossing. This can be calculated for the country using flows of undocumented migrants and the time series of border encounters. </w:t>
      </w:r>
    </w:p>
    <w:p w:rsidR="0079351D" w:rsidRDefault="0079351D"/>
    <w:p w:rsidR="0079351D" w:rsidRPr="0079351D" w:rsidRDefault="0079351D">
      <w:pPr>
        <w:rPr>
          <w:rFonts w:eastAsiaTheme="minorEastAsia"/>
        </w:rPr>
      </w:pPr>
      <m:oMathPara>
        <m:oMath>
          <m:sSub>
            <m:sSubPr>
              <m:ctrlPr>
                <w:rPr>
                  <w:rFonts w:ascii="Cambria Math" w:hAnsi="Cambria Math"/>
                  <w:i/>
                </w:rPr>
              </m:ctrlPr>
            </m:sSubPr>
            <m:e>
              <m:r>
                <w:rPr>
                  <w:rFonts w:ascii="Cambria Math" w:hAnsi="Cambria Math"/>
                </w:rPr>
                <m:t>Enforcment</m:t>
              </m:r>
            </m:e>
            <m:sub>
              <m:r>
                <w:rPr>
                  <w:rFonts w:ascii="Cambria Math" w:hAnsi="Cambria Math"/>
                </w:rPr>
                <m:t>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Encounters</m:t>
                  </m:r>
                </m:e>
                <m:sub>
                  <m:r>
                    <w:rPr>
                      <w:rFonts w:ascii="Cambria Math" w:hAnsi="Cambria Math"/>
                    </w:rPr>
                    <m:t>t</m:t>
                  </m:r>
                </m:sub>
              </m:sSub>
            </m:num>
            <m:den>
              <m:sSub>
                <m:sSubPr>
                  <m:ctrlPr>
                    <w:rPr>
                      <w:rFonts w:ascii="Cambria Math" w:hAnsi="Cambria Math"/>
                      <w:i/>
                    </w:rPr>
                  </m:ctrlPr>
                </m:sSubPr>
                <m:e>
                  <m:r>
                    <w:rPr>
                      <w:rFonts w:ascii="Cambria Math" w:hAnsi="Cambria Math"/>
                    </w:rPr>
                    <m:t>UndocumentedFlows</m:t>
                  </m:r>
                </m:e>
                <m:sub>
                  <m:r>
                    <w:rPr>
                      <w:rFonts w:ascii="Cambria Math" w:hAnsi="Cambria Math"/>
                    </w:rPr>
                    <m:t>t</m:t>
                  </m:r>
                </m:sub>
              </m:sSub>
            </m:den>
          </m:f>
          <m:r>
            <w:rPr>
              <w:rFonts w:ascii="Cambria Math" w:eastAsiaTheme="minorEastAsia" w:hAnsi="Cambria Math"/>
            </w:rPr>
            <m:t>∈[0,1]</m:t>
          </m:r>
        </m:oMath>
      </m:oMathPara>
    </w:p>
    <w:p w:rsidR="0079351D" w:rsidRDefault="0079351D">
      <w:pPr>
        <w:rPr>
          <w:rFonts w:eastAsiaTheme="minorEastAsia"/>
        </w:rPr>
      </w:pPr>
    </w:p>
    <w:p w:rsidR="0079351D" w:rsidRDefault="0079351D">
      <w:pPr>
        <w:rPr>
          <w:rFonts w:eastAsiaTheme="minorEastAsia"/>
        </w:rPr>
      </w:pPr>
      <w:r>
        <w:rPr>
          <w:rFonts w:eastAsiaTheme="minorEastAsia"/>
        </w:rPr>
        <w:t xml:space="preserve">This measure of national enforcement should vary as national political wills and pressures change year to year. We will construct our endogenous shares as the lagged (alternatively, the initial) share of undocumented immigrants in the population (of working age). This gives us our final enforcement exposure instrument: </w:t>
      </w:r>
    </w:p>
    <w:p w:rsidR="0079351D" w:rsidRPr="0079351D" w:rsidRDefault="0079351D" w:rsidP="0079351D">
      <w:pPr>
        <w:rPr>
          <w:rFonts w:eastAsiaTheme="minorEastAsia"/>
        </w:rPr>
      </w:pPr>
      <m:oMathPara>
        <m:oMath>
          <m:sSub>
            <m:sSubPr>
              <m:ctrlPr>
                <w:rPr>
                  <w:rFonts w:ascii="Cambria Math" w:hAnsi="Cambria Math"/>
                  <w:i/>
                </w:rPr>
              </m:ctrlPr>
            </m:sSubPr>
            <m:e>
              <m:r>
                <w:rPr>
                  <w:rFonts w:ascii="Cambria Math" w:hAnsi="Cambria Math"/>
                </w:rPr>
                <m:t>EE</m:t>
              </m:r>
            </m:e>
            <m:sub>
              <m:r>
                <w:rPr>
                  <w:rFonts w:ascii="Cambria Math" w:hAnsi="Cambria Math"/>
                </w:rPr>
                <m:t>i</m:t>
              </m:r>
              <m:r>
                <w:rPr>
                  <w:rFonts w:ascii="Cambria Math" w:hAnsi="Cambria Math"/>
                </w:rPr>
                <m:t>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Undoc</m:t>
                  </m:r>
                </m:e>
                <m:sub>
                  <m:r>
                    <w:rPr>
                      <w:rFonts w:ascii="Cambria Math" w:hAnsi="Cambria Math"/>
                    </w:rPr>
                    <m:t>it-1</m:t>
                  </m:r>
                </m:sub>
              </m:sSub>
            </m:num>
            <m:den>
              <m:sSub>
                <m:sSubPr>
                  <m:ctrlPr>
                    <w:rPr>
                      <w:rFonts w:ascii="Cambria Math" w:hAnsi="Cambria Math"/>
                      <w:i/>
                    </w:rPr>
                  </m:ctrlPr>
                </m:sSubPr>
                <m:e>
                  <m:r>
                    <w:rPr>
                      <w:rFonts w:ascii="Cambria Math" w:hAnsi="Cambria Math"/>
                    </w:rPr>
                    <m:t>Pop</m:t>
                  </m:r>
                </m:e>
                <m:sub>
                  <m:r>
                    <w:rPr>
                      <w:rFonts w:ascii="Cambria Math" w:hAnsi="Cambria Math"/>
                    </w:rPr>
                    <m:t>it-1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Encounters</m:t>
                  </m:r>
                </m:e>
                <m:sub>
                  <m:r>
                    <w:rPr>
                      <w:rFonts w:ascii="Cambria Math" w:hAnsi="Cambria Math"/>
                    </w:rPr>
                    <m:t>t</m:t>
                  </m:r>
                </m:sub>
              </m:sSub>
            </m:num>
            <m:den>
              <m:sSub>
                <m:sSubPr>
                  <m:ctrlPr>
                    <w:rPr>
                      <w:rFonts w:ascii="Cambria Math" w:hAnsi="Cambria Math"/>
                      <w:i/>
                    </w:rPr>
                  </m:ctrlPr>
                </m:sSubPr>
                <m:e>
                  <m:r>
                    <w:rPr>
                      <w:rFonts w:ascii="Cambria Math" w:hAnsi="Cambria Math"/>
                    </w:rPr>
                    <m:t>UndocumentedFlows</m:t>
                  </m:r>
                </m:e>
                <m:sub>
                  <m:r>
                    <w:rPr>
                      <w:rFonts w:ascii="Cambria Math" w:hAnsi="Cambria Math"/>
                    </w:rPr>
                    <m:t>t</m:t>
                  </m:r>
                </m:sub>
              </m:sSub>
            </m:den>
          </m:f>
        </m:oMath>
      </m:oMathPara>
    </w:p>
    <w:p w:rsidR="00354292" w:rsidRDefault="00354292">
      <w:r>
        <w:t xml:space="preserve">We will then include this in a standard TWFE setup run for each county </w:t>
      </w:r>
      <w:r>
        <w:rPr>
          <w:i/>
        </w:rPr>
        <w:t>i</w:t>
      </w:r>
      <w:r>
        <w:t xml:space="preserve"> and year </w:t>
      </w:r>
      <w:r>
        <w:rPr>
          <w:i/>
        </w:rPr>
        <w:t>t</w:t>
      </w:r>
      <w:r>
        <w:t xml:space="preserve">: </w:t>
      </w:r>
    </w:p>
    <w:p w:rsidR="00354292" w:rsidRPr="00354292" w:rsidRDefault="00354292">
      <w:pPr>
        <w:rPr>
          <w:rFonts w:eastAsiaTheme="minorEastAsia"/>
        </w:rPr>
      </w:pPr>
      <m:oMathPara>
        <m:oMath>
          <m:sSub>
            <m:sSubPr>
              <m:ctrlPr>
                <w:rPr>
                  <w:rFonts w:ascii="Cambria Math" w:hAnsi="Cambria Math"/>
                  <w:i/>
                </w:rPr>
              </m:ctrlPr>
            </m:sSubPr>
            <m:e>
              <m:r>
                <w:rPr>
                  <w:rFonts w:ascii="Cambria Math" w:hAnsi="Cambria Math"/>
                </w:rPr>
                <m:t>∆H2AAps</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μ+ρ*∆</m:t>
              </m:r>
              <m:sSub>
                <m:sSubPr>
                  <m:ctrlPr>
                    <w:rPr>
                      <w:rFonts w:ascii="Cambria Math" w:hAnsi="Cambria Math"/>
                      <w:i/>
                    </w:rPr>
                  </m:ctrlPr>
                </m:sSubPr>
                <m:e>
                  <m:r>
                    <w:rPr>
                      <w:rFonts w:ascii="Cambria Math" w:hAnsi="Cambria Math"/>
                    </w:rPr>
                    <m:t>AEWR</m:t>
                  </m:r>
                </m:e>
                <m:sub>
                  <m:r>
                    <w:rPr>
                      <w:rFonts w:ascii="Cambria Math" w:hAnsi="Cambria Math"/>
                    </w:rPr>
                    <m:t>it</m:t>
                  </m:r>
                </m:sub>
              </m:sSub>
              <m:r>
                <w:rPr>
                  <w:rFonts w:ascii="Cambria Math" w:hAnsi="Cambria Math"/>
                </w:rPr>
                <m:t>+ θ*</m:t>
              </m:r>
              <m:r>
                <w:rPr>
                  <w:rFonts w:ascii="Cambria Math" w:hAnsi="Cambria Math"/>
                </w:rPr>
                <m:t>EE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it</m:t>
              </m:r>
            </m:sub>
          </m:sSub>
        </m:oMath>
      </m:oMathPara>
    </w:p>
    <w:p w:rsidR="00354292" w:rsidRPr="00354292" w:rsidRDefault="00354292">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=α+β*</m:t>
          </m:r>
          <m:r>
            <w:rPr>
              <w:rFonts w:ascii="Cambria Math" w:hAnsi="Cambria Math"/>
            </w:rPr>
            <m:t>∆</m:t>
          </m:r>
          <m:sSub>
            <m:sSubPr>
              <m:ctrlPr>
                <w:rPr>
                  <w:rFonts w:ascii="Cambria Math" w:hAnsi="Cambria Math"/>
                  <w:i/>
                </w:rPr>
              </m:ctrlPr>
            </m:sSubPr>
            <m:e>
              <m:r>
                <w:rPr>
                  <w:rFonts w:ascii="Cambria Math" w:hAnsi="Cambria Math"/>
                </w:rPr>
                <m:t>AEWR</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γ*∆</m:t>
              </m:r>
              <m:r>
                <w:rPr>
                  <w:rFonts w:ascii="Cambria Math" w:hAnsi="Cambria Math"/>
                </w:rPr>
                <m:t>H2AAps</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it</m:t>
              </m:r>
            </m:sub>
          </m:sSub>
        </m:oMath>
      </m:oMathPara>
    </w:p>
    <w:p w:rsidR="00354292" w:rsidRDefault="00354292">
      <w:pPr>
        <w:rPr>
          <w:rFonts w:eastAsiaTheme="minorEastAsia"/>
        </w:rPr>
      </w:pPr>
      <w:r>
        <w:rPr>
          <w:rFonts w:eastAsiaTheme="minorEastAsia"/>
        </w:rPr>
        <w:t xml:space="preserve">Here, the change in </w:t>
      </w:r>
      <m:oMath>
        <m:sSub>
          <m:sSubPr>
            <m:ctrlPr>
              <w:rPr>
                <w:rFonts w:ascii="Cambria Math" w:hAnsi="Cambria Math"/>
                <w:i/>
              </w:rPr>
            </m:ctrlPr>
          </m:sSubPr>
          <m:e>
            <m:r>
              <w:rPr>
                <w:rFonts w:ascii="Cambria Math" w:hAnsi="Cambria Math"/>
              </w:rPr>
              <m:t>H2AAps</m:t>
            </m:r>
          </m:e>
          <m:sub>
            <m:r>
              <w:rPr>
                <w:rFonts w:ascii="Cambria Math" w:hAnsi="Cambria Math"/>
              </w:rPr>
              <m:t>it</m:t>
            </m:r>
          </m:sub>
        </m:sSub>
      </m:oMath>
      <w:r>
        <w:rPr>
          <w:rFonts w:eastAsiaTheme="minorEastAsia"/>
        </w:rPr>
        <w:t xml:space="preserve"> can be interpreted as the causal impact of H2A labor on a variety of outcomes from the agricultural census. We can modify this setup to include an event-study set up for the change in the AEWR by classifying large changes as “events” and stacking the dataset appropriately. </w:t>
      </w:r>
    </w:p>
    <w:p w:rsidR="00E8478B" w:rsidRDefault="00E8478B">
      <w:pPr>
        <w:rPr>
          <w:rFonts w:eastAsiaTheme="minorEastAsia"/>
        </w:rPr>
      </w:pPr>
    </w:p>
    <w:p w:rsidR="00E8478B" w:rsidRDefault="00E8478B">
      <w:pPr>
        <w:rPr>
          <w:rFonts w:eastAsiaTheme="minorEastAsia"/>
        </w:rPr>
      </w:pPr>
      <w:r>
        <w:rPr>
          <w:rFonts w:eastAsiaTheme="minorEastAsia"/>
        </w:rPr>
        <w:t xml:space="preserve">Data sources: </w:t>
      </w:r>
    </w:p>
    <w:p w:rsidR="00E8478B" w:rsidRDefault="00E8478B" w:rsidP="00E8478B">
      <w:pPr>
        <w:pStyle w:val="ListParagraph"/>
        <w:numPr>
          <w:ilvl w:val="0"/>
          <w:numId w:val="1"/>
        </w:numPr>
        <w:rPr>
          <w:rFonts w:eastAsiaTheme="minorEastAsia"/>
        </w:rPr>
      </w:pPr>
      <m:oMath>
        <m:sSub>
          <m:sSubPr>
            <m:ctrlPr>
              <w:rPr>
                <w:rFonts w:ascii="Cambria Math" w:hAnsi="Cambria Math"/>
                <w:i/>
              </w:rPr>
            </m:ctrlPr>
          </m:sSubPr>
          <m:e>
            <m:r>
              <w:rPr>
                <w:rFonts w:ascii="Cambria Math" w:hAnsi="Cambria Math"/>
              </w:rPr>
              <m:t>Encounters</m:t>
            </m:r>
          </m:e>
          <m:sub>
            <m:r>
              <w:rPr>
                <w:rFonts w:ascii="Cambria Math" w:hAnsi="Cambria Math"/>
              </w:rPr>
              <m:t>t</m:t>
            </m:r>
          </m:sub>
        </m:sSub>
      </m:oMath>
      <w:r>
        <w:rPr>
          <w:rFonts w:eastAsiaTheme="minorEastAsia"/>
        </w:rPr>
        <w:t xml:space="preserve"> Customs and Border Patrol</w:t>
      </w:r>
    </w:p>
    <w:p w:rsidR="00E8478B" w:rsidRDefault="00E8478B" w:rsidP="00E8478B">
      <w:pPr>
        <w:pStyle w:val="ListParagraph"/>
        <w:numPr>
          <w:ilvl w:val="0"/>
          <w:numId w:val="1"/>
        </w:numPr>
        <w:rPr>
          <w:rFonts w:eastAsiaTheme="minorEastAsia"/>
        </w:rPr>
      </w:pPr>
      <m:oMath>
        <m:sSub>
          <m:sSubPr>
            <m:ctrlPr>
              <w:rPr>
                <w:rFonts w:ascii="Cambria Math" w:hAnsi="Cambria Math"/>
                <w:i/>
              </w:rPr>
            </m:ctrlPr>
          </m:sSubPr>
          <m:e>
            <m:r>
              <w:rPr>
                <w:rFonts w:ascii="Cambria Math" w:hAnsi="Cambria Math"/>
              </w:rPr>
              <m:t>UndocumentedFlows</m:t>
            </m:r>
          </m:e>
          <m:sub>
            <m:r>
              <w:rPr>
                <w:rFonts w:ascii="Cambria Math" w:hAnsi="Cambria Math"/>
              </w:rPr>
              <m:t>t</m:t>
            </m:r>
          </m:sub>
        </m:sSub>
      </m:oMath>
      <w:r>
        <w:rPr>
          <w:rFonts w:eastAsiaTheme="minorEastAsia"/>
        </w:rPr>
        <w:t xml:space="preserve"> from national estimates (or ACS)</w:t>
      </w:r>
    </w:p>
    <w:p w:rsidR="00E8478B" w:rsidRDefault="00E8478B" w:rsidP="00E8478B">
      <w:pPr>
        <w:pStyle w:val="ListParagraph"/>
        <w:numPr>
          <w:ilvl w:val="0"/>
          <w:numId w:val="1"/>
        </w:numPr>
        <w:rPr>
          <w:rFonts w:eastAsiaTheme="minorEastAsia"/>
        </w:rPr>
      </w:pPr>
      <m:oMath>
        <m:sSub>
          <m:sSubPr>
            <m:ctrlPr>
              <w:rPr>
                <w:rFonts w:ascii="Cambria Math" w:hAnsi="Cambria Math"/>
                <w:i/>
              </w:rPr>
            </m:ctrlPr>
          </m:sSubPr>
          <m:e>
            <m:r>
              <w:rPr>
                <w:rFonts w:ascii="Cambria Math" w:hAnsi="Cambria Math"/>
              </w:rPr>
              <m:t>Undoc</m:t>
            </m:r>
          </m:e>
          <m:sub>
            <m:r>
              <w:rPr>
                <w:rFonts w:ascii="Cambria Math" w:hAnsi="Cambria Math"/>
              </w:rPr>
              <m:t>it-1</m:t>
            </m:r>
          </m:sub>
        </m:sSub>
      </m:oMath>
      <w:r>
        <w:rPr>
          <w:rFonts w:eastAsiaTheme="minorEastAsia"/>
        </w:rPr>
        <w:t xml:space="preserve"> from ACS using Borjas procedures</w:t>
      </w:r>
    </w:p>
    <w:p w:rsidR="00E8478B" w:rsidRDefault="00E8478B" w:rsidP="00E8478B">
      <w:pPr>
        <w:pStyle w:val="ListParagraph"/>
        <w:numPr>
          <w:ilvl w:val="0"/>
          <w:numId w:val="1"/>
        </w:numPr>
        <w:rPr>
          <w:rFonts w:eastAsiaTheme="minorEastAsia"/>
        </w:rPr>
      </w:pPr>
      <m:oMath>
        <m:sSub>
          <m:sSubPr>
            <m:ctrlPr>
              <w:rPr>
                <w:rFonts w:ascii="Cambria Math" w:hAnsi="Cambria Math"/>
                <w:i/>
              </w:rPr>
            </m:ctrlPr>
          </m:sSubPr>
          <m:e>
            <m:r>
              <w:rPr>
                <w:rFonts w:ascii="Cambria Math" w:hAnsi="Cambria Math"/>
              </w:rPr>
              <m:t>Pop</m:t>
            </m:r>
          </m:e>
          <m:sub>
            <m:r>
              <w:rPr>
                <w:rFonts w:ascii="Cambria Math" w:hAnsi="Cambria Math"/>
              </w:rPr>
              <m:t>it-1</m:t>
            </m:r>
          </m:sub>
        </m:sSub>
      </m:oMath>
      <w:r>
        <w:rPr>
          <w:rFonts w:eastAsiaTheme="minorEastAsia"/>
        </w:rPr>
        <w:t xml:space="preserve"> from ACS</w:t>
      </w:r>
    </w:p>
    <w:p w:rsidR="00E8478B" w:rsidRDefault="00E8478B" w:rsidP="00E8478B">
      <w:pPr>
        <w:pStyle w:val="ListParagraph"/>
        <w:numPr>
          <w:ilvl w:val="0"/>
          <w:numId w:val="1"/>
        </w:numPr>
        <w:rPr>
          <w:rFonts w:eastAsiaTheme="minorEastAsia"/>
        </w:rPr>
      </w:pPr>
      <m:oMath>
        <m:r>
          <w:rPr>
            <w:rFonts w:ascii="Cambria Math" w:hAnsi="Cambria Math"/>
          </w:rPr>
          <m:t>∆</m:t>
        </m:r>
        <m:sSub>
          <m:sSubPr>
            <m:ctrlPr>
              <w:rPr>
                <w:rFonts w:ascii="Cambria Math" w:hAnsi="Cambria Math"/>
                <w:i/>
              </w:rPr>
            </m:ctrlPr>
          </m:sSubPr>
          <m:e>
            <m:r>
              <w:rPr>
                <w:rFonts w:ascii="Cambria Math" w:hAnsi="Cambria Math"/>
              </w:rPr>
              <m:t>AEWR</m:t>
            </m:r>
          </m:e>
          <m:sub>
            <m:r>
              <w:rPr>
                <w:rFonts w:ascii="Cambria Math" w:hAnsi="Cambria Math"/>
              </w:rPr>
              <m:t>it</m:t>
            </m:r>
          </m:sub>
        </m:sSub>
      </m:oMath>
      <w:r>
        <w:rPr>
          <w:rFonts w:eastAsiaTheme="minorEastAsia"/>
        </w:rPr>
        <w:t xml:space="preserve"> from the federal registry</w:t>
      </w:r>
    </w:p>
    <w:p w:rsidR="00E8478B" w:rsidRDefault="00E8478B" w:rsidP="00E8478B">
      <w:pPr>
        <w:pStyle w:val="ListParagraph"/>
        <w:numPr>
          <w:ilvl w:val="0"/>
          <w:numId w:val="1"/>
        </w:numPr>
        <w:rPr>
          <w:rFonts w:eastAsiaTheme="minorEastAsia"/>
        </w:rPr>
      </w:pPr>
      <m:oMath>
        <m:sSub>
          <m:sSubPr>
            <m:ctrlPr>
              <w:rPr>
                <w:rFonts w:ascii="Cambria Math" w:hAnsi="Cambria Math"/>
                <w:i/>
              </w:rPr>
            </m:ctrlPr>
          </m:sSubPr>
          <m:e>
            <m:r>
              <w:rPr>
                <w:rFonts w:ascii="Cambria Math" w:hAnsi="Cambria Math"/>
              </w:rPr>
              <m:t>∆H2AAps</m:t>
            </m:r>
          </m:e>
          <m:sub>
            <m:r>
              <w:rPr>
                <w:rFonts w:ascii="Cambria Math" w:hAnsi="Cambria Math"/>
              </w:rPr>
              <m:t>it</m:t>
            </m:r>
          </m:sub>
        </m:sSub>
      </m:oMath>
      <w:r>
        <w:rPr>
          <w:rFonts w:eastAsiaTheme="minorEastAsia"/>
        </w:rPr>
        <w:t xml:space="preserve"> from the Department of Labor</w:t>
      </w:r>
    </w:p>
    <w:p w:rsidR="00E8478B" w:rsidRDefault="00E8478B" w:rsidP="00E8478B">
      <w:pPr>
        <w:pStyle w:val="ListParagraph"/>
        <w:numPr>
          <w:ilvl w:val="0"/>
          <w:numId w:val="1"/>
        </w:numP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it</m:t>
            </m:r>
          </m:sub>
        </m:sSub>
      </m:oMath>
      <w:r>
        <w:rPr>
          <w:rFonts w:eastAsiaTheme="minorEastAsia"/>
        </w:rPr>
        <w:t xml:space="preserve"> from the Farm Census and ACS</w:t>
      </w:r>
    </w:p>
    <w:p w:rsidR="00E8478B" w:rsidRDefault="00E8478B" w:rsidP="00E8478B">
      <w:pPr>
        <w:pStyle w:val="ListParagraph"/>
        <w:numPr>
          <w:ilvl w:val="1"/>
          <w:numId w:val="1"/>
        </w:numPr>
        <w:rPr>
          <w:rFonts w:eastAsiaTheme="minorEastAsia"/>
        </w:rPr>
      </w:pPr>
      <w:r>
        <w:rPr>
          <w:rFonts w:eastAsiaTheme="minorEastAsia"/>
        </w:rPr>
        <w:t>Change in crop type</w:t>
      </w:r>
    </w:p>
    <w:p w:rsidR="00E8478B" w:rsidRDefault="00E8478B" w:rsidP="00E8478B">
      <w:pPr>
        <w:pStyle w:val="ListParagraph"/>
        <w:numPr>
          <w:ilvl w:val="2"/>
          <w:numId w:val="1"/>
        </w:numPr>
        <w:rPr>
          <w:rFonts w:eastAsiaTheme="minorEastAsia"/>
        </w:rPr>
      </w:pPr>
      <w:r>
        <w:rPr>
          <w:rFonts w:eastAsiaTheme="minorEastAsia"/>
        </w:rPr>
        <w:t>Grouped by crop year cycle</w:t>
      </w:r>
    </w:p>
    <w:p w:rsidR="00E8478B" w:rsidRDefault="00E8478B" w:rsidP="00E8478B">
      <w:pPr>
        <w:pStyle w:val="ListParagraph"/>
        <w:numPr>
          <w:ilvl w:val="1"/>
          <w:numId w:val="1"/>
        </w:numPr>
        <w:rPr>
          <w:rFonts w:eastAsiaTheme="minorEastAsia"/>
        </w:rPr>
      </w:pPr>
      <w:r>
        <w:rPr>
          <w:rFonts w:eastAsiaTheme="minorEastAsia"/>
        </w:rPr>
        <w:t>Change in area planted</w:t>
      </w:r>
    </w:p>
    <w:p w:rsidR="00E8478B" w:rsidRDefault="00E8478B" w:rsidP="00E8478B">
      <w:pPr>
        <w:pStyle w:val="ListParagraph"/>
        <w:numPr>
          <w:ilvl w:val="1"/>
          <w:numId w:val="1"/>
        </w:numPr>
        <w:rPr>
          <w:rFonts w:eastAsiaTheme="minorEastAsia"/>
        </w:rPr>
      </w:pPr>
      <w:r>
        <w:rPr>
          <w:rFonts w:eastAsiaTheme="minorEastAsia"/>
        </w:rPr>
        <w:t xml:space="preserve">Change in farming practices </w:t>
      </w:r>
    </w:p>
    <w:p w:rsidR="00E8478B" w:rsidRDefault="00E8478B" w:rsidP="00E8478B">
      <w:pPr>
        <w:pStyle w:val="ListParagraph"/>
        <w:numPr>
          <w:ilvl w:val="2"/>
          <w:numId w:val="1"/>
        </w:numPr>
        <w:rPr>
          <w:rFonts w:eastAsiaTheme="minorEastAsia"/>
        </w:rPr>
      </w:pPr>
      <w:r>
        <w:rPr>
          <w:rFonts w:eastAsiaTheme="minorEastAsia"/>
        </w:rPr>
        <w:t>Machine use</w:t>
      </w:r>
    </w:p>
    <w:p w:rsidR="00E8478B" w:rsidRDefault="00E8478B" w:rsidP="00E8478B">
      <w:pPr>
        <w:pStyle w:val="ListParagraph"/>
        <w:numPr>
          <w:ilvl w:val="2"/>
          <w:numId w:val="1"/>
        </w:numPr>
        <w:rPr>
          <w:rFonts w:eastAsiaTheme="minorEastAsia"/>
        </w:rPr>
      </w:pPr>
      <w:r>
        <w:rPr>
          <w:rFonts w:eastAsiaTheme="minorEastAsia"/>
        </w:rPr>
        <w:t>Fertilizer use</w:t>
      </w:r>
    </w:p>
    <w:p w:rsidR="00E8478B" w:rsidRDefault="00E8478B" w:rsidP="00E8478B">
      <w:pPr>
        <w:pStyle w:val="ListParagraph"/>
        <w:numPr>
          <w:ilvl w:val="2"/>
          <w:numId w:val="1"/>
        </w:numPr>
        <w:rPr>
          <w:rFonts w:eastAsiaTheme="minorEastAsia"/>
        </w:rPr>
      </w:pPr>
      <w:r>
        <w:rPr>
          <w:rFonts w:eastAsiaTheme="minorEastAsia"/>
        </w:rPr>
        <w:t>Pesticide use</w:t>
      </w:r>
    </w:p>
    <w:p w:rsidR="00E8478B" w:rsidRDefault="00E8478B" w:rsidP="00E8478B">
      <w:pPr>
        <w:pStyle w:val="ListParagraph"/>
        <w:numPr>
          <w:ilvl w:val="1"/>
          <w:numId w:val="1"/>
        </w:numPr>
        <w:rPr>
          <w:rFonts w:eastAsiaTheme="minorEastAsia"/>
        </w:rPr>
      </w:pPr>
      <w:r>
        <w:rPr>
          <w:rFonts w:eastAsiaTheme="minorEastAsia"/>
        </w:rPr>
        <w:t>Local labor market outcomes (wages) for native born</w:t>
      </w:r>
    </w:p>
    <w:p w:rsidR="00E8478B" w:rsidRDefault="00E8478B" w:rsidP="00E8478B">
      <w:pPr>
        <w:pStyle w:val="ListParagraph"/>
        <w:numPr>
          <w:ilvl w:val="2"/>
          <w:numId w:val="1"/>
        </w:numPr>
        <w:rPr>
          <w:rFonts w:eastAsiaTheme="minorEastAsia"/>
        </w:rPr>
      </w:pPr>
      <w:r>
        <w:rPr>
          <w:rFonts w:eastAsiaTheme="minorEastAsia"/>
        </w:rPr>
        <w:t>With a HS degree or less</w:t>
      </w:r>
    </w:p>
    <w:p w:rsidR="00BF5E48" w:rsidRDefault="00BF5E48" w:rsidP="00BF5E48">
      <w:pPr>
        <w:pStyle w:val="ListParagraph"/>
        <w:ind w:left="1440"/>
        <w:rPr>
          <w:rFonts w:eastAsiaTheme="minorEastAsia"/>
        </w:rPr>
      </w:pPr>
      <w:bookmarkStart w:id="0" w:name="_GoBack"/>
      <w:bookmarkEnd w:id="0"/>
    </w:p>
    <w:p w:rsidR="00E8478B" w:rsidRPr="00E8478B" w:rsidRDefault="00E8478B" w:rsidP="00E8478B">
      <w:pPr>
        <w:pStyle w:val="ListParagraph"/>
        <w:ind w:left="1440"/>
        <w:rPr>
          <w:rFonts w:eastAsiaTheme="minorEastAsia"/>
        </w:rPr>
      </w:pPr>
    </w:p>
    <w:sectPr w:rsidR="00E8478B" w:rsidRPr="00E847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C1FAE"/>
    <w:multiLevelType w:val="hybridMultilevel"/>
    <w:tmpl w:val="049883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351D"/>
    <w:rsid w:val="00354292"/>
    <w:rsid w:val="00517A8A"/>
    <w:rsid w:val="0079351D"/>
    <w:rsid w:val="00BF5E48"/>
    <w:rsid w:val="00D855D9"/>
    <w:rsid w:val="00E84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05482"/>
  <w15:chartTrackingRefBased/>
  <w15:docId w15:val="{17CD2AB1-0B43-4561-83DE-A44CBE8CF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9351D"/>
    <w:rPr>
      <w:sz w:val="16"/>
      <w:szCs w:val="16"/>
    </w:rPr>
  </w:style>
  <w:style w:type="paragraph" w:styleId="CommentText">
    <w:name w:val="annotation text"/>
    <w:basedOn w:val="Normal"/>
    <w:link w:val="CommentTextChar"/>
    <w:uiPriority w:val="99"/>
    <w:semiHidden/>
    <w:unhideWhenUsed/>
    <w:rsid w:val="0079351D"/>
    <w:pPr>
      <w:spacing w:line="240" w:lineRule="auto"/>
    </w:pPr>
    <w:rPr>
      <w:sz w:val="20"/>
      <w:szCs w:val="20"/>
    </w:rPr>
  </w:style>
  <w:style w:type="character" w:customStyle="1" w:styleId="CommentTextChar">
    <w:name w:val="Comment Text Char"/>
    <w:basedOn w:val="DefaultParagraphFont"/>
    <w:link w:val="CommentText"/>
    <w:uiPriority w:val="99"/>
    <w:semiHidden/>
    <w:rsid w:val="0079351D"/>
    <w:rPr>
      <w:sz w:val="20"/>
      <w:szCs w:val="20"/>
    </w:rPr>
  </w:style>
  <w:style w:type="paragraph" w:styleId="CommentSubject">
    <w:name w:val="annotation subject"/>
    <w:basedOn w:val="CommentText"/>
    <w:next w:val="CommentText"/>
    <w:link w:val="CommentSubjectChar"/>
    <w:uiPriority w:val="99"/>
    <w:semiHidden/>
    <w:unhideWhenUsed/>
    <w:rsid w:val="0079351D"/>
    <w:rPr>
      <w:b/>
      <w:bCs/>
    </w:rPr>
  </w:style>
  <w:style w:type="character" w:customStyle="1" w:styleId="CommentSubjectChar">
    <w:name w:val="Comment Subject Char"/>
    <w:basedOn w:val="CommentTextChar"/>
    <w:link w:val="CommentSubject"/>
    <w:uiPriority w:val="99"/>
    <w:semiHidden/>
    <w:rsid w:val="0079351D"/>
    <w:rPr>
      <w:b/>
      <w:bCs/>
      <w:sz w:val="20"/>
      <w:szCs w:val="20"/>
    </w:rPr>
  </w:style>
  <w:style w:type="paragraph" w:styleId="BalloonText">
    <w:name w:val="Balloon Text"/>
    <w:basedOn w:val="Normal"/>
    <w:link w:val="BalloonTextChar"/>
    <w:uiPriority w:val="99"/>
    <w:semiHidden/>
    <w:unhideWhenUsed/>
    <w:rsid w:val="007935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351D"/>
    <w:rPr>
      <w:rFonts w:ascii="Segoe UI" w:hAnsi="Segoe UI" w:cs="Segoe UI"/>
      <w:sz w:val="18"/>
      <w:szCs w:val="18"/>
    </w:rPr>
  </w:style>
  <w:style w:type="character" w:styleId="PlaceholderText">
    <w:name w:val="Placeholder Text"/>
    <w:basedOn w:val="DefaultParagraphFont"/>
    <w:uiPriority w:val="99"/>
    <w:semiHidden/>
    <w:rsid w:val="0079351D"/>
    <w:rPr>
      <w:color w:val="808080"/>
    </w:rPr>
  </w:style>
  <w:style w:type="paragraph" w:styleId="ListParagraph">
    <w:name w:val="List Paragraph"/>
    <w:basedOn w:val="Normal"/>
    <w:uiPriority w:val="34"/>
    <w:qFormat/>
    <w:rsid w:val="00E847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Hoxie</dc:creator>
  <cp:keywords/>
  <dc:description/>
  <cp:lastModifiedBy>Philip Hoxie</cp:lastModifiedBy>
  <cp:revision>4</cp:revision>
  <dcterms:created xsi:type="dcterms:W3CDTF">2023-10-07T01:12:00Z</dcterms:created>
  <dcterms:modified xsi:type="dcterms:W3CDTF">2023-10-07T01:39:00Z</dcterms:modified>
</cp:coreProperties>
</file>