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Reportes y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Dashboards</w:t>
      </w:r>
    </w:p>
    <w:p>
      <w:pPr>
        <w:spacing w:after="120" w:before="3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Sistema RTB · PostgreSQL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Comercial · Margen · Compras · Financiero · Operación · Ejecutivo</w:t>
      </w:r>
    </w:p>
    <w:p>
      <w:pPr>
        <w:spacing w:before="1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de diseño y operación · v1.0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</w:rPr>
        <w:t xml:space="preserve">Este documento describe la capa de reportes y dashboards del sistema RTB. Toda la analítica se construye sobre vistas SQL especializadas que actúan como una API estable: la app, herramientas de BI (Metabase, Superset, Tableau), o dashboards HTML pueden consumirlas directamente sin tocar las tablas operativas.</w:t>
      </w:r>
    </w:p>
    <w:p>
      <w:pPr>
        <w:pStyle w:val="Heading2"/>
      </w:pPr>
      <w:r>
        <w:rPr>
          <w:rFonts w:ascii="Arial" w:cs="Arial" w:eastAsia="Arial" w:hAnsi="Arial"/>
        </w:rPr>
        <w:t xml:space="preserve">1.1 Filosofía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Las tablas operativas NO se consultan directamente para reportes.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Cada reporte es una vista (o consulta sobre vistas) — la lógica está versionada con el schema.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Las vistas son semánticamente significativas: 'top_customers' en lugar de un SELECT con JOINs.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 un reporte se vuelve costoso, se materializa con MATERIALIZED VIEW + REFRESH nocturno.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Permisos: el rol con permiso report.* puede leer las vistas; las tablas operativas siguen restringidas.</w:t>
      </w:r>
    </w:p>
    <w:p>
      <w:pPr>
        <w:pStyle w:val="Heading2"/>
      </w:pPr>
      <w:r>
        <w:rPr>
          <w:rFonts w:ascii="Arial" w:cs="Arial" w:eastAsia="Arial" w:hAnsi="Arial"/>
        </w:rPr>
        <w:t xml:space="preserve">1.2 Vistas por área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quién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Comercial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v_sales_by_period, v_top_customers, v_quote_conversion, v_sales_rep_performance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Director comercial, gerente ventas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Margen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v_product_margin, v_customer_profitability, v_category_margin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Finanzas, comercial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Compras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v_top_suppliers, v_supplier_performance, v_purchase_chain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Compras, dirección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Financiero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v_accounts_receivable, v_accounts_payable, v_cash_flow_projection, v_expenses_by_category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Contabilidad, dirección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Operación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v_warehouse_kpis, v_nc_by_supplier, v_route_efficiency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Almacén, operaciones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Inventario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v_inventory_current, v_inventory_kpis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Compras, almacén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CFDI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v_cfdi_emitted, v_cfdi_ppd_pending_payment, v_cfdi_summary_by_period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Contabilidad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Ejecutivo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v_executive_dashboard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Dirección general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Reportes comerciales</w:t>
      </w:r>
    </w:p>
    <w:p>
      <w:pPr>
        <w:pStyle w:val="Heading2"/>
      </w:pPr>
      <w:r>
        <w:rPr>
          <w:rFonts w:ascii="Arial" w:cs="Arial" w:eastAsia="Arial" w:hAnsi="Arial"/>
        </w:rPr>
        <w:t xml:space="preserve">2.1 v_sales_by_period</w:t>
      </w:r>
    </w:p>
    <w:p>
      <w:pPr>
        <w:spacing w:after="120"/>
      </w:pPr>
      <w:r>
        <w:rPr>
          <w:rFonts w:ascii="Arial" w:cs="Arial" w:eastAsia="Arial" w:hAnsi="Arial"/>
        </w:rPr>
        <w:t xml:space="preserve">Resumen de ventas por mes / trimestre / año, con margen calculado.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v_sales_by_period WHERE year = 2026 ORDER BY month;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Devuelve: year, quarter, month, num_orders, subtotal, total, cost,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          gross_margin, margin_pct</w:t>
      </w:r>
    </w:p>
    <w:p>
      <w:pPr>
        <w:pStyle w:val="Heading2"/>
      </w:pPr>
      <w:r>
        <w:rPr>
          <w:rFonts w:ascii="Arial" w:cs="Arial" w:eastAsia="Arial" w:hAnsi="Arial"/>
        </w:rPr>
        <w:t xml:space="preserve">2.2 v_top_customers</w:t>
      </w:r>
    </w:p>
    <w:p>
      <w:pPr>
        <w:spacing w:after="120"/>
      </w:pPr>
      <w:r>
        <w:rPr>
          <w:rFonts w:ascii="Arial" w:cs="Arial" w:eastAsia="Arial" w:hAnsi="Arial"/>
        </w:rPr>
        <w:t xml:space="preserve">Ranking de clientes por revenue, con margen y días desde última orden.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business_name, num_orders, total_revenue, gross_margin, margin_pct, days_since_last_order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v_top_customers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LIMIT 20;</w:t>
      </w:r>
    </w:p>
    <w:p>
      <w:pPr>
        <w:spacing w:after="120"/>
      </w:pPr>
      <w:r>
        <w:rPr>
          <w:rFonts w:ascii="Arial" w:cs="Arial" w:eastAsia="Arial" w:hAnsi="Arial"/>
        </w:rPr>
        <w:t xml:space="preserve">days_since_last_order alto puede indicar cliente "dormido" — útil para campañas de retención.</w:t>
      </w:r>
    </w:p>
    <w:p>
      <w:pPr>
        <w:pStyle w:val="Heading2"/>
      </w:pPr>
      <w:r>
        <w:rPr>
          <w:rFonts w:ascii="Arial" w:cs="Arial" w:eastAsia="Arial" w:hAnsi="Arial"/>
        </w:rPr>
        <w:t xml:space="preserve">2.3 v_quote_conversion</w:t>
      </w:r>
    </w:p>
    <w:p>
      <w:pPr>
        <w:spacing w:after="120"/>
      </w:pPr>
      <w:r>
        <w:rPr>
          <w:rFonts w:ascii="Arial" w:cs="Arial" w:eastAsia="Arial" w:hAnsi="Arial"/>
        </w:rPr>
        <w:t xml:space="preserve">Tasa de conversión de cotizaciones por mes: cuántas se aprobaron de las que se enviaron.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v_quote_conversion WHERE year = 2026 ORDER BY month;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Métricas: total_quotes, approved, rejected, conversion_pct, total_quoted, total_won</w:t>
      </w:r>
    </w:p>
    <w:p>
      <w:pPr>
        <w:pStyle w:val="Heading2"/>
      </w:pPr>
      <w:r>
        <w:rPr>
          <w:rFonts w:ascii="Arial" w:cs="Arial" w:eastAsia="Arial" w:hAnsi="Arial"/>
        </w:rPr>
        <w:t xml:space="preserve">2.4 v_sales_rep_performance</w:t>
      </w:r>
    </w:p>
    <w:p>
      <w:pPr>
        <w:spacing w:after="120"/>
      </w:pPr>
      <w:r>
        <w:rPr>
          <w:rFonts w:ascii="Arial" w:cs="Arial" w:eastAsia="Arial" w:hAnsi="Arial"/>
        </w:rPr>
        <w:t xml:space="preserve">Performance por vendedor: cotizaciones, conversión, revenue, margen, ticket promedio.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sales_rep, quotes_created, quotes_approved, conversion_pct,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revenue_generated, margin_generated, avg_order_value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v_sales_rep_performance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revenue_generated DESC;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Reportes de margen y rentabilidad</w:t>
      </w:r>
    </w:p>
    <w:p>
      <w:pPr>
        <w:pStyle w:val="Heading2"/>
      </w:pPr>
      <w:r>
        <w:rPr>
          <w:rFonts w:ascii="Arial" w:cs="Arial" w:eastAsia="Arial" w:hAnsi="Arial"/>
        </w:rPr>
        <w:t xml:space="preserve">3.1 v_product_margin</w:t>
      </w:r>
    </w:p>
    <w:p>
      <w:pPr>
        <w:spacing w:after="120"/>
      </w:pPr>
      <w:r>
        <w:rPr>
          <w:rFonts w:ascii="Arial" w:cs="Arial" w:eastAsia="Arial" w:hAnsi="Arial"/>
        </w:rPr>
        <w:t xml:space="preserve">Por cada producto: cuánto se vendió, cuánto costó, margen real vs target de la categoría.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sku, name, category, category_target_margin AS target,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units_sold, revenue, cost, gross_margin, actual_margin_pct AS real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v_product_margin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units_sold &gt; 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actual_margin_pct;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Productos con margen actual &lt; target son señal de revisar precio o costo</w:t>
      </w:r>
    </w:p>
    <w:p>
      <w:pPr>
        <w:pStyle w:val="Heading2"/>
      </w:pPr>
      <w:r>
        <w:rPr>
          <w:rFonts w:ascii="Arial" w:cs="Arial" w:eastAsia="Arial" w:hAnsi="Arial"/>
        </w:rPr>
        <w:t xml:space="preserve">3.2 v_customer_profitability</w:t>
      </w:r>
    </w:p>
    <w:p>
      <w:pPr>
        <w:spacing w:after="120"/>
      </w:pPr>
      <w:r>
        <w:rPr>
          <w:rFonts w:ascii="Arial" w:cs="Arial" w:eastAsia="Arial" w:hAnsi="Arial"/>
        </w:rPr>
        <w:t xml:space="preserve">Rentabilidad por cliente: cuánto se vendió, cuánto se cobró, días promedio de pago.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business_name, revenue, cost, gross_margin, margin_pct,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amount_outstanding, avg_days_to_pay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v_customer_profitability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gross_margin DESC LIMIT 30;</w:t>
      </w:r>
    </w:p>
    <w:p>
      <w:pPr>
        <w:pStyle w:val="Heading2"/>
      </w:pPr>
      <w:r>
        <w:rPr>
          <w:rFonts w:ascii="Arial" w:cs="Arial" w:eastAsia="Arial" w:hAnsi="Arial"/>
        </w:rPr>
        <w:t xml:space="preserve">3.3 v_category_margin</w:t>
      </w:r>
    </w:p>
    <w:p>
      <w:pPr>
        <w:spacing w:after="120"/>
      </w:pPr>
      <w:r>
        <w:rPr>
          <w:rFonts w:ascii="Arial" w:cs="Arial" w:eastAsia="Arial" w:hAnsi="Arial"/>
        </w:rPr>
        <w:t xml:space="preserve">Margen por categoría comparado contra el target establecido.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category, target_margin, actual_margin_pct, revenue, items_sold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v_category_margin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revenue DESC;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Si actual_margin_pct &lt; target_margin, hay que ajustar precios o costos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Reportes de compras</w:t>
      </w:r>
    </w:p>
    <w:p>
      <w:pPr>
        <w:pStyle w:val="Heading2"/>
      </w:pPr>
      <w:r>
        <w:rPr>
          <w:rFonts w:ascii="Arial" w:cs="Arial" w:eastAsia="Arial" w:hAnsi="Arial"/>
        </w:rPr>
        <w:t xml:space="preserve">4.1 v_top_suppliers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business_name, num_pos, total_purchased, avg_po_value,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avg_payment_time_days, days_since_last_po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v_top_suppliers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LIMIT 20;</w:t>
      </w:r>
    </w:p>
    <w:p>
      <w:pPr>
        <w:pStyle w:val="Heading2"/>
      </w:pPr>
      <w:r>
        <w:rPr>
          <w:rFonts w:ascii="Arial" w:cs="Arial" w:eastAsia="Arial" w:hAnsi="Arial"/>
        </w:rPr>
        <w:t xml:space="preserve">4.2 v_supplier_performance</w:t>
      </w:r>
    </w:p>
    <w:p>
      <w:pPr>
        <w:spacing w:after="120"/>
      </w:pPr>
      <w:r>
        <w:rPr>
          <w:rFonts w:ascii="Arial" w:cs="Arial" w:eastAsia="Arial" w:hAnsi="Arial"/>
        </w:rPr>
        <w:t xml:space="preserve">Cumplimiento de tiempos: lead time real vs estimado, % de OCs entregadas a tiempo, NCs registradas.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business_name, pos_completed, avg_actual_lead_days, avg_estimated_lead_days,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avg_delay_days, on_time_pct, total_ncs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v_supplier_performance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on_time_pct ASC;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Proveedores con on_time_pct bajo o muchos NCs son candidatos a revisar</w:t>
      </w:r>
    </w:p>
    <w:p>
      <w:pPr>
        <w:pStyle w:val="Heading2"/>
      </w:pPr>
      <w:r>
        <w:rPr>
          <w:rFonts w:ascii="Arial" w:cs="Arial" w:eastAsia="Arial" w:hAnsi="Arial"/>
        </w:rPr>
        <w:t xml:space="preserve">4.3 v_supplier_invoices_aging</w:t>
      </w:r>
    </w:p>
    <w:p>
      <w:pPr>
        <w:spacing w:after="120"/>
      </w:pPr>
      <w:r>
        <w:rPr>
          <w:rFonts w:ascii="Arial" w:cs="Arial" w:eastAsia="Arial" w:hAnsi="Arial"/>
        </w:rPr>
        <w:t xml:space="preserve">Aging de cuentas por pagar (ya creada en módulo de compras).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supplier, invoice_number, total, payment_due_date, days_overdue, aging_bucket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v_supplier_invoices_aging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payment_status &lt;&gt; 'PAID'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days_overdue DESC;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Reportes financieros</w:t>
      </w:r>
    </w:p>
    <w:p>
      <w:pPr>
        <w:pStyle w:val="Heading2"/>
      </w:pPr>
      <w:r>
        <w:rPr>
          <w:rFonts w:ascii="Arial" w:cs="Arial" w:eastAsia="Arial" w:hAnsi="Arial"/>
        </w:rPr>
        <w:t xml:space="preserve">5.1 v_accounts_receivable (AR aging)</w:t>
      </w:r>
    </w:p>
    <w:p>
      <w:pPr>
        <w:spacing w:after="120"/>
      </w:pPr>
      <w:r>
        <w:rPr>
          <w:rFonts w:ascii="Arial" w:cs="Arial" w:eastAsia="Arial" w:hAnsi="Arial"/>
        </w:rPr>
        <w:t xml:space="preserve">Cuentas por cobrar segmentadas por antigüedad. Lectura rápida del riesgo de cartera.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business_name, billed, collected, outstanding,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bucket_0_30, bucket_31_60, bucket_61_90, bucket_90_plus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v_accounts_receivable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outstanding &gt; 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bucket_90_plus DESC, outstanding DESC;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Clientes con bucket_90_plus son riesgo alto de cobranza</w:t>
      </w:r>
    </w:p>
    <w:p>
      <w:pPr>
        <w:pStyle w:val="Heading2"/>
      </w:pPr>
      <w:r>
        <w:rPr>
          <w:rFonts w:ascii="Arial" w:cs="Arial" w:eastAsia="Arial" w:hAnsi="Arial"/>
        </w:rPr>
        <w:t xml:space="preserve">5.2 v_accounts_payable (AP aging)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business_name, outstanding, bucket_current,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bucket_overdue_30, bucket_overdue_60, bucket_overdue_60_plus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v_accounts_payable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outstanding DESC;</w:t>
      </w:r>
    </w:p>
    <w:p>
      <w:pPr>
        <w:pStyle w:val="Heading2"/>
      </w:pPr>
      <w:r>
        <w:rPr>
          <w:rFonts w:ascii="Arial" w:cs="Arial" w:eastAsia="Arial" w:hAnsi="Arial"/>
        </w:rPr>
        <w:t xml:space="preserve">5.3 v_cash_flow_projection</w:t>
      </w:r>
    </w:p>
    <w:p>
      <w:pPr>
        <w:spacing w:after="120"/>
      </w:pPr>
      <w:r>
        <w:rPr>
          <w:rFonts w:ascii="Arial" w:cs="Arial" w:eastAsia="Arial" w:hAnsi="Arial"/>
        </w:rPr>
        <w:t xml:space="preserve">Proyección de flujo de caja por período (próximos 90 días).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period, period_date, inflow, outflow, net,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SUM(net) OVER (ORDER BY period_date) AS running_balance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v_cash_flow_projection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period_date;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Permite ver: ¿en qué semana o mes el flujo neto se vuelve negativo?</w:t>
      </w:r>
    </w:p>
    <w:p>
      <w:pPr>
        <w:pStyle w:val="Heading2"/>
      </w:pPr>
      <w:r>
        <w:rPr>
          <w:rFonts w:ascii="Arial" w:cs="Arial" w:eastAsia="Arial" w:hAnsi="Arial"/>
        </w:rPr>
        <w:t xml:space="preserve">5.4 v_expenses_by_category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year, month, category, total, deductible, non_deductible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v_expenses_by_category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year = 2026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year DESC, month DESC, total DESC;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Reportes de operación</w:t>
      </w:r>
    </w:p>
    <w:p>
      <w:pPr>
        <w:pStyle w:val="Heading2"/>
      </w:pPr>
      <w:r>
        <w:rPr>
          <w:rFonts w:ascii="Arial" w:cs="Arial" w:eastAsia="Arial" w:hAnsi="Arial"/>
        </w:rPr>
        <w:t xml:space="preserve">6.1 v_warehouse_kpis</w:t>
      </w:r>
    </w:p>
    <w:p>
      <w:pPr>
        <w:spacing w:after="120"/>
      </w:pPr>
      <w:r>
        <w:rPr>
          <w:rFonts w:ascii="Arial" w:cs="Arial" w:eastAsia="Arial" w:hAnsi="Arial"/>
        </w:rPr>
        <w:t xml:space="preserve">Una sola fila con todos los indicadores clave de almacén.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v_warehouse_kpis;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Devuelve: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active_skus_saleable, skus_out_of_stock, skus_below_min, total_inventory_value,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receipts_this_month, issues_this_month,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active_orders, orders_with_shortage, orders_in_packing,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open_non_conformities</w:t>
      </w:r>
    </w:p>
    <w:p>
      <w:pPr>
        <w:pStyle w:val="Heading2"/>
      </w:pPr>
      <w:r>
        <w:rPr>
          <w:rFonts w:ascii="Arial" w:cs="Arial" w:eastAsia="Arial" w:hAnsi="Arial"/>
        </w:rPr>
        <w:t xml:space="preserve">6.2 v_nc_by_supplier</w:t>
      </w:r>
    </w:p>
    <w:p>
      <w:pPr>
        <w:spacing w:after="120"/>
      </w:pPr>
      <w:r>
        <w:rPr>
          <w:rFonts w:ascii="Arial" w:cs="Arial" w:eastAsia="Arial" w:hAnsi="Arial"/>
        </w:rPr>
        <w:t xml:space="preserve">Calidad por proveedor: cuántos NCs se han recibido en el último trimestre.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business_name, total_ncs, ncs_last_90d, open_ncs, total_quantity_affected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v_nc_by_supplier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ncs_last_90d DESC;</w:t>
      </w:r>
    </w:p>
    <w:p>
      <w:pPr>
        <w:pStyle w:val="Heading2"/>
      </w:pPr>
      <w:r>
        <w:rPr>
          <w:rFonts w:ascii="Arial" w:cs="Arial" w:eastAsia="Arial" w:hAnsi="Arial"/>
        </w:rPr>
        <w:t xml:space="preserve">6.3 v_route_efficiency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route_number, route_date, driver, total_stops, completed_stops,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deliveries, pickups, duration_hours, completion_pct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v_route_efficiency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route_date DESC;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Inventario y KPIs (vistas existentes recap)</w:t>
      </w:r>
    </w:p>
    <w:p>
      <w:pPr>
        <w:pStyle w:val="Heading2"/>
      </w:pPr>
      <w:r>
        <w:rPr>
          <w:rFonts w:ascii="Arial" w:cs="Arial" w:eastAsia="Arial" w:hAnsi="Arial"/>
        </w:rPr>
        <w:t xml:space="preserve">7.1 ABC, semáforo, días sin movimiento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sku, name, quantity_on_hand, abc_classification,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movement_traffic_light, days_without_movement,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suggested_action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v_inventory_kpis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abc_classification = 'A' AND movement_traffic_light = 'RED';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Productos clase A sin movimiento — situación crítica</w:t>
      </w:r>
    </w:p>
    <w:p>
      <w:pPr>
        <w:pStyle w:val="Heading2"/>
      </w:pPr>
      <w:r>
        <w:rPr>
          <w:rFonts w:ascii="Arial" w:cs="Arial" w:eastAsia="Arial" w:hAnsi="Arial"/>
        </w:rPr>
        <w:t xml:space="preserve">7.2 Productos para reorden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sku, name, quantity_on_hand, min_stock, demand_90d, suggested_action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v_inventory_kpis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suggested_action IN ('PURCHASE_URGENT','PURCHASE')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demand_90d DESC;</w:t>
      </w:r>
    </w:p>
    <w:p>
      <w:pPr>
        <w:pStyle w:val="Heading2"/>
      </w:pPr>
      <w:r>
        <w:rPr>
          <w:rFonts w:ascii="Arial" w:cs="Arial" w:eastAsia="Arial" w:hAnsi="Arial"/>
        </w:rPr>
        <w:t xml:space="preserve">7.3 Demanda histórica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sku, name, demand_90d, demand_180d,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demand_180d - demand_90d AS demand_91_180,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(demand_90d * 4)::INT AS estimated_annual_demand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FROM v_inventory_kpis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WHERE demand_90d &gt; 0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ORDER BY demand_90d DESC;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Dashboard ejecutivo</w:t>
      </w:r>
    </w:p>
    <w:p>
      <w:pPr>
        <w:spacing w:after="120"/>
      </w:pPr>
      <w:r>
        <w:rPr>
          <w:rFonts w:ascii="Arial" w:cs="Arial" w:eastAsia="Arial" w:hAnsi="Arial"/>
        </w:rPr>
        <w:t xml:space="preserve">Una sola consulta que devuelve todos los KPIs clave para la dirección.</w:t>
      </w:r>
    </w:p>
    <w:p>
      <w:pPr>
        <w:pStyle w:val="Heading2"/>
      </w:pPr>
      <w:r>
        <w:rPr>
          <w:rFonts w:ascii="Arial" w:cs="Arial" w:eastAsia="Arial" w:hAnsi="Arial"/>
        </w:rPr>
        <w:t xml:space="preserve">8.1 v_executive_dashboard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v_executive_dashboard;</w:t>
      </w:r>
    </w:p>
    <w:p>
      <w:pPr>
        <w:pStyle w:val="Heading2"/>
      </w:pPr>
      <w:r>
        <w:rPr>
          <w:rFonts w:ascii="Arial" w:cs="Arial" w:eastAsia="Arial" w:hAnsi="Arial"/>
        </w:rPr>
        <w:t xml:space="preserve">8.2 Métricas que devuelve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revenue_mtd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Ventas del mes a la fecha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margin_mtd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Margen bruto del mes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open_quotes / open_quotes_value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Pipeline de cotizaciones abiertas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total_ar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 cuentas por cobrar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ar_overdue_60_plus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Cartera vencida &gt; 60 días (riesgo alto)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total_ap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 cuentas por pagar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inventory_value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Valor total del inventario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skus_in_alert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Productos sin stock o bajo mínimo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active_orders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Pedidos en proceso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orders_with_shortage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Pedidos con faltante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open_ncs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conformes abiertos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cfdis_emitted_mtd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CFDIs timbrados en el mes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cfdis_cancelled_mtd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CFDIs cancelados en el mes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Esta vista alimenta el dashboard HTML de la página principal del sistema.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Consumo desde herramientas de BI</w:t>
      </w:r>
    </w:p>
    <w:p>
      <w:pPr>
        <w:pStyle w:val="Heading2"/>
      </w:pPr>
      <w:r>
        <w:rPr>
          <w:rFonts w:ascii="Arial" w:cs="Arial" w:eastAsia="Arial" w:hAnsi="Arial"/>
        </w:rPr>
        <w:t xml:space="preserve">9.1 Metabase / Superset</w:t>
      </w:r>
    </w:p>
    <w:p>
      <w:pPr>
        <w:spacing w:after="120"/>
      </w:pPr>
      <w:r>
        <w:rPr>
          <w:rFonts w:ascii="Arial" w:cs="Arial" w:eastAsia="Arial" w:hAnsi="Arial"/>
        </w:rPr>
        <w:t xml:space="preserve">Conexión directa a PostgreSQL con un usuario read-only que solo tenga GRANT SELECT en las vistas v_*. Esto separa la consulta analítica de la operación, evitando bloqueos en producción.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-- Crear usuario para BI con permisos solo en vistas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ROLE bi_readonly LOGIN PASSWORD '...';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GRANT USAGE ON SCHEMA rtb TO bi_readonly;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GRANT SELECT ON ALL TABLES IN SCHEMA rtb TO bi_readonly;  -- vistas y tablas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Mejor: solo vistas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REVOKE SELECT ON ALL TABLES IN SCHEMA rtb FROM bi_readonly;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GRANT SELECT ON v_sales_by_period, v_top_customers, v_quote_conversion,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v_inventory_kpis, v_accounts_receivable, ... TO bi_readonly;</w:t>
      </w:r>
    </w:p>
    <w:p>
      <w:pPr>
        <w:pStyle w:val="Heading2"/>
      </w:pPr>
      <w:r>
        <w:rPr>
          <w:rFonts w:ascii="Arial" w:cs="Arial" w:eastAsia="Arial" w:hAnsi="Arial"/>
        </w:rPr>
        <w:t xml:space="preserve">9.2 Excel vía ODBC</w:t>
      </w:r>
    </w:p>
    <w:p>
      <w:pPr>
        <w:spacing w:after="120"/>
      </w:pPr>
      <w:r>
        <w:rPr>
          <w:rFonts w:ascii="Arial" w:cs="Arial" w:eastAsia="Arial" w:hAnsi="Arial"/>
        </w:rPr>
        <w:t xml:space="preserve">Para usuarios que prefieren Excel, se puede instalar ODBC driver de PostgreSQL y conectar directo. Cada vista aparece como una tabla.</w:t>
      </w:r>
    </w:p>
    <w:p>
      <w:pPr>
        <w:pStyle w:val="Heading2"/>
      </w:pPr>
      <w:r>
        <w:rPr>
          <w:rFonts w:ascii="Arial" w:cs="Arial" w:eastAsia="Arial" w:hAnsi="Arial"/>
        </w:rPr>
        <w:t xml:space="preserve">9.3 API REST</w:t>
      </w:r>
    </w:p>
    <w:p>
      <w:pPr>
        <w:spacing w:after="120"/>
      </w:pPr>
      <w:r>
        <w:rPr>
          <w:rFonts w:ascii="Arial" w:cs="Arial" w:eastAsia="Arial" w:hAnsi="Arial"/>
        </w:rPr>
        <w:t xml:space="preserve">La app puede exponer endpoints como /api/reports/sales-by-period que ejecutan SELECT en las vistas y devuelven JSON. Esto desacopla el frontend del schema.</w:t>
      </w:r>
    </w:p>
    <w:p>
      <w:pPr>
        <w:pStyle w:val="Heading2"/>
      </w:pPr>
      <w:r>
        <w:rPr>
          <w:rFonts w:ascii="Arial" w:cs="Arial" w:eastAsia="Arial" w:hAnsi="Arial"/>
        </w:rPr>
        <w:t xml:space="preserve">9.4 Materialización</w:t>
      </w:r>
    </w:p>
    <w:p>
      <w:pPr>
        <w:spacing w:after="120"/>
      </w:pPr>
      <w:r>
        <w:rPr>
          <w:rFonts w:ascii="Arial" w:cs="Arial" w:eastAsia="Arial" w:hAnsi="Arial"/>
        </w:rPr>
        <w:t xml:space="preserve">Si una vista se vuelve lenta (ej. v_inventory_kpis con muchos productos):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MATERIALIZED VIEW mv_inventory_kpis AS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SELECT * FROM v_inventory_kpis;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CREATE INDEX ON mv_inventory_kpis (product_id);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-- Refrescar cada noche (con CONCURRENTLY para no bloquear queries)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REFRESH MATERIALIZED VIEW CONCURRENTLY mv_inventory_kpis;</w:t>
      </w:r>
    </w:p>
    <w:p>
      <w:pPr>
        <w:spacing w:after="120"/>
      </w:pPr>
      <w:r>
        <w:rPr>
          <w:rFonts w:ascii="Arial" w:cs="Arial" w:eastAsia="Arial" w:hAnsi="Arial"/>
        </w:rPr>
        <w:t xml:space="preserve">Lo recomendado: arrancar con vistas regulares y materializar solo cuando hay evidencia de lentitud (&gt;2s).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RTB · Reportes y Dashboards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Reportes y Dashboards</dc:title>
  <dc:creator>Sistema RTB</dc:creator>
  <cp:lastModifiedBy>Un-named</cp:lastModifiedBy>
  <cp:revision>1</cp:revision>
  <dcterms:created xsi:type="dcterms:W3CDTF">2026-04-27T22:27:11.965Z</dcterms:created>
  <dcterms:modified xsi:type="dcterms:W3CDTF">2026-04-27T22:27:11.966Z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