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6414" w14:textId="4506F70C" w:rsidR="00422CCD" w:rsidRDefault="00422CCD" w:rsidP="00422CCD">
      <w:r>
        <w:t>Lee and Song in [1] research highlights the capabilities of LLMs, such as ChatGPT and Gemini, in understanding and evaluating short-answer responses. By leveraging these models, the study aims to address challenges in traditional grading systems, including subjectivity and inconsistency. The authors emphasize the importance of developing Automated Short Answer Grading (ASAG) systems that ensure dependability through fairness, uniformity, consistency, and accuracy. However, they also caution about the potential for LLMs to assign var-ying scores to identical responses due to the large number of random variables, which may lead to incorrect grade assignments.</w:t>
      </w:r>
    </w:p>
    <w:p w14:paraId="003316A1" w14:textId="46DF2FF0" w:rsidR="00422CCD" w:rsidRDefault="00422CCD" w:rsidP="00422CCD">
      <w:r>
        <w:t>Agarwal et al. in [5] proposes an automated grading system for descriptive answers using NLP techniques such as text pre-processing, keyword matching, and semantic similarity measures. The system compares student responses with model answers to assign scores, aiming to reduce subjectivity, save time, and ensure grading consistency. It leverages tools like NLTK and Gensim to evaluate gram-mar, relevance, and meaning. While effective in structured settings, AutoEval’s reliance on instructor-provided ideal answers and surface-level similarity may limit its ability to assess nuanced or creative responses. This work highlights a foundational step toward more scalable, fair, and efficient assessment systems and aligns with ongoing research in semantic-based grading and AI-assisted evaluation.</w:t>
      </w:r>
    </w:p>
    <w:p w14:paraId="42F7DD47" w14:textId="61AFCB63" w:rsidR="00422CCD" w:rsidRDefault="00422CCD" w:rsidP="00422CCD">
      <w:r>
        <w:t>Smolic et al. in [6] explore the application of generative AI (LLMs) for evaluating students’ exam code, aiming to shift tasks like debugging, optimization checks, and non</w:t>
      </w:r>
      <w:r>
        <w:rPr>
          <w:rFonts w:ascii="Cambria Math" w:hAnsi="Cambria Math" w:cs="Cambria Math"/>
        </w:rPr>
        <w:t>‑</w:t>
      </w:r>
      <w:r>
        <w:t>compilable code assessment from human graders to LLMs. Their mixed-method study identifies limitations in the ability of LLMs to reliably evaluate both descriptive and numerical aspects of student</w:t>
      </w:r>
      <w:r>
        <w:rPr>
          <w:rFonts w:ascii="Cambria Math" w:hAnsi="Cambria Math" w:cs="Cambria Math"/>
        </w:rPr>
        <w:t>‑</w:t>
      </w:r>
      <w:r>
        <w:t>written code pointing out that LLMs still primarily rely on token patterns and probabilistic generation rather than deep understanding of semantics. The authors highlight risks of incorrect code evaluation and suggest that, while LLMs can assist with routine code review, human supervision remains essential. They propose future directions including risk mitigation strategies and expanded research into more robust LLM-based grading frameworks to improve reliability in educational program-ming contexts.</w:t>
      </w:r>
    </w:p>
    <w:p w14:paraId="39F0CEE0" w14:textId="2B54060D" w:rsidR="00422CCD" w:rsidRDefault="00422CCD" w:rsidP="00422CCD">
      <w:r>
        <w:t xml:space="preserve">Liu et al. in [7] introduce MGRC, an end-to-end multigranularity reading com-prehension model that jointly addresses paragraph identification, sentence selection, and answer </w:t>
      </w:r>
      <w:r>
        <w:lastRenderedPageBreak/>
        <w:t>extraction within a unified architecture departing from traditional pipelined approaches prone to error propagation between stages. By sharing features across these three matching granularities, MGRC alleviates cascading errors and enhances representation learning. Evaluated on four large-scale datasets (SQuAD</w:t>
      </w:r>
      <w:r>
        <w:rPr>
          <w:rFonts w:ascii="Cambria Math" w:hAnsi="Cambria Math" w:cs="Cambria Math"/>
        </w:rPr>
        <w:t>‑</w:t>
      </w:r>
      <w:r>
        <w:t>open, NewsQA, SQuAD</w:t>
      </w:r>
      <w:r>
        <w:rPr>
          <w:rFonts w:ascii="Arial" w:hAnsi="Arial" w:cs="Arial"/>
        </w:rPr>
        <w:t> </w:t>
      </w:r>
      <w:r>
        <w:t>2.0, and SQuAD Adversarial), MGRC consistently outperforms vanilla BERT and prior multistage matching methods. An ablation study further confirms the efficacy of its unified structure in improving retrieval precision and answer extraction accuracy. This work positions MGRC as a more robust and integrated solution compared to separate retrieval-plus-extraction pipelines in extractive question answering.</w:t>
      </w:r>
    </w:p>
    <w:p w14:paraId="663D46AF" w14:textId="0A0101E2" w:rsidR="00422CCD" w:rsidRDefault="00422CCD" w:rsidP="00422CCD">
      <w:r>
        <w:t>Lertpiya et</w:t>
      </w:r>
      <w:r>
        <w:rPr>
          <w:rFonts w:ascii="Arial" w:hAnsi="Arial" w:cs="Arial"/>
        </w:rPr>
        <w:t> </w:t>
      </w:r>
      <w:r>
        <w:t>al. in [8] present a foundational investigation into core Thai NLP tasks tailored to user-generated web content, such as social media posts and online forums, which pose unique challenges including informal language, mis-spellings, and mixed code</w:t>
      </w:r>
      <w:r>
        <w:rPr>
          <w:rFonts w:ascii="Cambria Math" w:hAnsi="Cambria Math" w:cs="Cambria Math"/>
        </w:rPr>
        <w:t>‑</w:t>
      </w:r>
      <w:r>
        <w:t>switching. While Thai NLP research has historically focused on formal text domains (e.g., news or academic writing), this study evaluates the suitability of tasks like word segmentation, part-of-speech tagging, named entity recognition, and sentiment analysis in noisy, colloquial contexts. The authors analyze existing resources and techniques, identify performance gaps when standard models are applied to informal web text, and stress the need for domain</w:t>
      </w:r>
      <w:r>
        <w:rPr>
          <w:rFonts w:ascii="Cambria Math" w:hAnsi="Cambria Math" w:cs="Cambria Math"/>
        </w:rPr>
        <w:t>‑</w:t>
      </w:r>
      <w:r>
        <w:t>adapted corpora and methods (e.g. robust segmentation, lexicon expansion, colloquial POS tagsets). Their results underscore that specialized pre-processing pipelines and annotated datasets are critical for accurate Thai NLP in web environments, providing a roadmap for more inclusive language technologies applicable to user</w:t>
      </w:r>
      <w:r>
        <w:rPr>
          <w:rFonts w:ascii="Cambria Math" w:hAnsi="Cambria Math" w:cs="Cambria Math"/>
        </w:rPr>
        <w:t>‑</w:t>
      </w:r>
      <w:r>
        <w:t>generated content on Thai digital platforms.</w:t>
      </w:r>
    </w:p>
    <w:p w14:paraId="57CD8336" w14:textId="0E481E7C" w:rsidR="00422CCD" w:rsidRDefault="00422CCD" w:rsidP="00422CCD">
      <w:r>
        <w:t>Lende and Raghuwanshi in [9] propose a closed</w:t>
      </w:r>
      <w:r>
        <w:rPr>
          <w:rFonts w:ascii="Cambria Math" w:hAnsi="Cambria Math" w:cs="Cambria Math"/>
        </w:rPr>
        <w:t>‑</w:t>
      </w:r>
      <w:r>
        <w:t>domain question answering (QA) system focused on sections of education-related legislative documents, aiming to deliver precise responses to natural language questions without retrieving full documents as search engines do. The system integrates Natural Language Processing (NLP) techniques including query processing, document indexing, information retrieval, and answer extraction tailored to the education</w:t>
      </w:r>
      <w:r>
        <w:rPr>
          <w:rFonts w:ascii="Cambria Math" w:hAnsi="Cambria Math" w:cs="Cambria Math"/>
        </w:rPr>
        <w:t>‑</w:t>
      </w:r>
      <w:r>
        <w:t>acts do-main, enhancing accuracy and relevance in comparison to open</w:t>
      </w:r>
      <w:r>
        <w:rPr>
          <w:rFonts w:ascii="Cambria Math" w:hAnsi="Cambria Math" w:cs="Cambria Math"/>
        </w:rPr>
        <w:t>‑</w:t>
      </w:r>
      <w:r>
        <w:t xml:space="preserve">domain systems. By structuring the knowledge base around education acts, the architecture enables </w:t>
      </w:r>
      <w:r>
        <w:lastRenderedPageBreak/>
        <w:t>efficient mapping from questions to specific statutory provisions, minimizing irrelevant result noise and improving user experience in legislative QA con-texts. While foundational, the work underscores the importance of domain specificity, structured document segmentation, and targeted NLP pipelines when con-structing precision QA systems in legal and regulatory environments.</w:t>
      </w:r>
    </w:p>
    <w:p w14:paraId="022F8E14" w14:textId="73214342" w:rsidR="00422CCD" w:rsidRDefault="00422CCD" w:rsidP="00422CCD">
      <w:r>
        <w:t>Kaya and Tantuğ in [10] propose BERT2D, a novel adaptation of BERT that introduces two-dimensional positional embeddings one dimension for words and another for their subword tokens to better model the complex morphology of Turkish. Unlike standard one-dimensional absolute positional encodings, BERT2D enhances representation by capturing finer-grained positional relation-ships, coupled with whole</w:t>
      </w:r>
      <w:r>
        <w:rPr>
          <w:rFonts w:ascii="Cambria Math" w:hAnsi="Cambria Math" w:cs="Cambria Math"/>
        </w:rPr>
        <w:t xml:space="preserve"> </w:t>
      </w:r>
      <w:r>
        <w:t>word masking to strengthen the model’s sensitivity to morphological structure. When pretrained on the same corpus as BERTurk, BERT2D achieves consistent and statistically significant improvements across multiple downstream tasks, including text classification, token-level labeling (e.g. NER), and question answering. These gains come with minimal parameter overhead, demonstrating that the richer positional encoding scheme yields better performance than the prevailing Turkish-language baseline. This study highlights a promising direction for morphologically rich languages, where conventional positional encoding schemes fall short.</w:t>
      </w:r>
    </w:p>
    <w:p w14:paraId="756A5879" w14:textId="15A179C2" w:rsidR="00422CCD" w:rsidRDefault="00422CCD" w:rsidP="00422CCD">
      <w:r>
        <w:t>Rodrigo and Peñas in [11] examine the role of answer validation in question answering (QA) systems, conceptualizing it as a classification problem that distinguishes correct from incorrect candidate answers. They compare evaluation approaches especially precision-recall metrics versus receiver operating characteristic (ROC) analysis to determine which better reflects system performance in contexts with imbalanced answer distributions. Their analysis reveals that while precision and recall offer intuitive insights, ROC-based evaluation offers greater stability and discrimination power in QA validation tasks, particularly when correct answers are rare. By framing validation as a supervised classification step and scrutinizing metrics for unbalanced QA datasets, this work underlines the importance of rigorous validation modules in QA pipelines, influencing extraction-based retrieval architectures and informing model-centered versus trial-based performance analyses in system design.</w:t>
      </w:r>
    </w:p>
    <w:p w14:paraId="0BD1178B" w14:textId="689E617F" w:rsidR="00422CCD" w:rsidRDefault="00422CCD" w:rsidP="00422CCD">
      <w:r>
        <w:lastRenderedPageBreak/>
        <w:t>Chi et</w:t>
      </w:r>
      <w:r>
        <w:rPr>
          <w:rFonts w:ascii="Arial" w:hAnsi="Arial" w:cs="Arial"/>
        </w:rPr>
        <w:t> </w:t>
      </w:r>
      <w:r>
        <w:t>al. in [12] explore whether pretrained English language models can effectively support NLP tasks in non-English, low-resource languages through cross-lingual knowledge transfer. They investigate scenarios with limited target-language corpora or annotated data, employing methods such as model fine-tuning and annotation projection to transfer knowledge from English models into low-resource settings. Their experimental framework demonstrates that leveraging English pretrained models either via zero/few-shot fine-tuning or annotation transfer can yield meaningful performance improvements on downstream non-English tasks despite minimal in-language data. This research highlights cross-lingual transfer and multilingual modeling as practical strategies for bridging resource gaps, aligning with broader trends in low-resource NLP where models like mBERT, XLM-RoBERTa, and other English-rooted architectures serve as initial backbones before adaptation. In doing so, the study offers empirical sup-port for transfer learning approaches as an efficient route to bootstrapping NLP capability in under-resourced languages.</w:t>
      </w:r>
    </w:p>
    <w:p w14:paraId="6F80E42B" w14:textId="26517E63" w:rsidR="00422CCD" w:rsidRDefault="00422CCD" w:rsidP="00422CCD">
      <w:r>
        <w:t>Dodia et al. in [13] propose an automated evaluation system that leverages machine learning and NLP techniques including WordNet, Word2Vec embed-dings, Word Mover’s Distance (WMD), cosine similarity, TF</w:t>
      </w:r>
      <w:r>
        <w:rPr>
          <w:rFonts w:ascii="Cambria Math" w:hAnsi="Cambria Math" w:cs="Cambria Math"/>
        </w:rPr>
        <w:t>‑</w:t>
      </w:r>
      <w:r>
        <w:t>IDF features, and a multinomial Naive Bayes (MNB) classifier to grade student-written descriptive answers. The system compares student responses with solution statements and keyword sets, using similarity metrics to assess relevance before feeding features into the classifier. Experimental results demonstrate that WMD outperforms co-sine similarity, and incorporating the MNB classifier improves accuracy, achieving around 88% accuracy without MNB, with a further 1.3% reduction in error when including it. This work emphasizes how combining semantic distance measures and statistical classifiers can yield reliable automated grading for subjective answers, while also highlighting the dependence on curated solution sets and the limitations of traditional similarity-based strategies in capturing nuanced reasoning.</w:t>
      </w:r>
    </w:p>
    <w:p w14:paraId="3EBE3A0F" w14:textId="53A7CDAF" w:rsidR="00422CCD" w:rsidRDefault="00422CCD" w:rsidP="00422CCD">
      <w:r>
        <w:t>Aathithyan et</w:t>
      </w:r>
      <w:r>
        <w:rPr>
          <w:rFonts w:ascii="Arial" w:hAnsi="Arial" w:cs="Arial"/>
        </w:rPr>
        <w:t> </w:t>
      </w:r>
      <w:r>
        <w:t xml:space="preserve">al. in [14] introduce an affective hierarchical classification framework to detect emotions in text by leveraging an NLP toolkit and a structured hierarchy of affective labels. Their approach treats emotion detection as a multi-level classification task first determining subjectivity (whether text carries emotional content), then classifying broad polarity (positive/negative/neutral), and finally identifying fine-grained emotional categories (e.g., joy, </w:t>
      </w:r>
      <w:r>
        <w:lastRenderedPageBreak/>
        <w:t>anger, sad-ness) within a hierarchical taxonomy. Unlike traditional flat classification models, this hierarchical pipeline mitigates error compounding across stages and better reflects the semantic relationships among emotion labels. The system employs standard NLP preprocessing (tokenization, feature extraction) along with ma-chine learning classifiers tailored to each level. By applying evaluation techniques designed for hierarchical tasks which consider parent-child misclassifications differently this method achieves more accurate emotion recognition than flat classifiers using identical features and algorithms. This work contributes to the growing body of research highlighting the importance of hierarchy-sensitive evaluation metrics and the enhanced performance of tiered classification schemes in affective text analysis.</w:t>
      </w:r>
    </w:p>
    <w:p w14:paraId="22C635C8" w14:textId="27816845" w:rsidR="00422CCD" w:rsidRDefault="00422CCD" w:rsidP="00422CCD">
      <w:r>
        <w:t>Pezzulli et</w:t>
      </w:r>
      <w:r>
        <w:rPr>
          <w:rFonts w:ascii="Arial" w:hAnsi="Arial" w:cs="Arial"/>
        </w:rPr>
        <w:t> </w:t>
      </w:r>
      <w:r>
        <w:t>al. in [15] challenge the conventional reliance on Mean Opinion Score (MOS) in quality-of-experience (QoE) studies, noting that MOS suffers from biases (e.g. contraction, centering, range-equalizing) and poor statistical robustness in small-sample scenarios typical of subjective tests. They propose a probabilistic ordinal model that recognizes the multinomial nature of ratings and accounts for subject-level correlations, producing more credible estimates of true population quality than traditional MOS, particularly in settings with limited participants. Evaluated on assessments of gaming videos under various compression and resolution conditions (with only 25 raters), the model yields smoother and more coherent quality trends than MOS, and the authors make their software publicly available to enable reproducibility. This work highlights the importance of statistical modeling beyond naive aggregation laying groundwork for more reliable subjective testing frameworks that better reflect underlying QoE phenomena.</w:t>
      </w:r>
    </w:p>
    <w:p w14:paraId="2909F573" w14:textId="7E44BF7D" w:rsidR="00422CCD" w:rsidRDefault="00422CCD" w:rsidP="00422CCD">
      <w:r>
        <w:t>Lin et al. in [16] address the under</w:t>
      </w:r>
      <w:r>
        <w:rPr>
          <w:rFonts w:ascii="Cambria Math" w:hAnsi="Cambria Math" w:cs="Cambria Math"/>
        </w:rPr>
        <w:t>‑</w:t>
      </w:r>
      <w:r>
        <w:t>explored problem of sentiment intensity regression, moving beyond coarse sentiment classification by fine-tuning LLMs to predict nuanced emotion intensity scores. They first enhance a RoBERTa model by integrating an efficient additive attention mechanism and an adaptive weighted Huber loss, yielding significantly improved regression performance on the SemEval 2017 and 2018 benchmarks. Using prompt engineering and data augmentation, they then enrich training data with RoBERTa model outputs before fine</w:t>
      </w:r>
      <w:r>
        <w:rPr>
          <w:rFonts w:ascii="Cambria Math" w:hAnsi="Cambria Math" w:cs="Cambria Math"/>
        </w:rPr>
        <w:t>‑</w:t>
      </w:r>
      <w:r>
        <w:t>tuning a Llama 3</w:t>
      </w:r>
      <w:r>
        <w:rPr>
          <w:rFonts w:ascii="Cambria Math" w:hAnsi="Cambria Math" w:cs="Cambria Math"/>
        </w:rPr>
        <w:t>‑</w:t>
      </w:r>
      <w:r>
        <w:t>8B model using LoRA (Low</w:t>
      </w:r>
      <w:r w:rsidR="008F0DAF">
        <w:rPr>
          <w:rFonts w:ascii="Cambria Math" w:hAnsi="Cambria Math" w:cs="Cambria Math"/>
        </w:rPr>
        <w:t>-</w:t>
      </w:r>
      <w:r>
        <w:t xml:space="preserve">Rank Adaptation) within the Unsloth framework. This hybrid approach combining enriched signals from RoBERTa and </w:t>
      </w:r>
      <w:r>
        <w:lastRenderedPageBreak/>
        <w:t>the Llama 3 architecture achieves lower MAE and MSE and higher Pearson correlation compared to other LLMs at similar scale (Pearson ≈</w:t>
      </w:r>
      <w:r>
        <w:rPr>
          <w:rFonts w:ascii="Arial" w:hAnsi="Arial" w:cs="Arial"/>
        </w:rPr>
        <w:t> </w:t>
      </w:r>
      <w:r>
        <w:t>0.8441 on SemEval 2018, ≈</w:t>
      </w:r>
      <w:r>
        <w:rPr>
          <w:rFonts w:ascii="Arial" w:hAnsi="Arial" w:cs="Arial"/>
        </w:rPr>
        <w:t> </w:t>
      </w:r>
      <w:r>
        <w:t>0.8268 on 2017), demonstrating superior predictive strength and robustness. Ablation studies further confirm the contributions of each com-ponent, underlining the effectiveness of coupling advanced loss/attention design with parameter-efficient fine-tuning for fine-grained sentiment regression.</w:t>
      </w:r>
    </w:p>
    <w:p w14:paraId="7E1A14AA" w14:textId="5ADA2A57" w:rsidR="00422CCD" w:rsidRDefault="00422CCD" w:rsidP="00422CCD">
      <w:r>
        <w:t>Sakai and Lam in [17] address the growing challenge of classifying healthcare text data often multi-label and scarce in annotations by introducing QUAD</w:t>
      </w:r>
      <w:r>
        <w:rPr>
          <w:rFonts w:ascii="Cambria Math" w:hAnsi="Cambria Math" w:cs="Cambria Math"/>
        </w:rPr>
        <w:t>‑</w:t>
      </w:r>
      <w:r>
        <w:t>LLM</w:t>
      </w:r>
      <w:r>
        <w:rPr>
          <w:rFonts w:ascii="Cambria Math" w:hAnsi="Cambria Math" w:cs="Cambria Math"/>
        </w:rPr>
        <w:t>‑</w:t>
      </w:r>
      <w:r>
        <w:t>MLTC, a zero</w:t>
      </w:r>
      <w:r>
        <w:rPr>
          <w:rFonts w:ascii="Cambria Math" w:hAnsi="Cambria Math" w:cs="Cambria Math"/>
        </w:rPr>
        <w:t>‑</w:t>
      </w:r>
      <w:r>
        <w:t>shot ensemble framework that harnesses the complementary strengths of four large language models (LLMs): BERT for key-token extraction, PEGASUS for data augmentation, GPT</w:t>
      </w:r>
      <w:r>
        <w:rPr>
          <w:rFonts w:ascii="Cambria Math" w:hAnsi="Cambria Math" w:cs="Cambria Math"/>
        </w:rPr>
        <w:t>‑</w:t>
      </w:r>
      <w:r>
        <w:t>4o for initial classification, and BART for topic probability estimation. These individual outputs are integrated via a meta</w:t>
      </w:r>
      <w:r>
        <w:rPr>
          <w:rFonts w:ascii="Cambria Math" w:hAnsi="Cambria Math" w:cs="Cambria Math"/>
        </w:rPr>
        <w:t>‑</w:t>
      </w:r>
      <w:r>
        <w:t>classifier (e.g., linear SVM) to produce the final multi-label assignments. The system achieves impressive performance gains over traditional single</w:t>
      </w:r>
      <w:r>
        <w:rPr>
          <w:rFonts w:ascii="Cambria Math" w:hAnsi="Cambria Math" w:cs="Cambria Math"/>
        </w:rPr>
        <w:t>‑</w:t>
      </w:r>
      <w:r>
        <w:t>model or classical ML approaches, with average F1 and micro</w:t>
      </w:r>
      <w:r>
        <w:rPr>
          <w:rFonts w:ascii="Cambria Math" w:hAnsi="Cambria Math" w:cs="Cambria Math"/>
        </w:rPr>
        <w:t>‑</w:t>
      </w:r>
      <w:r>
        <w:t>F1 scores of approximately 78.17% and 80.16% (standard deviations around 0.025 and 0.011), demonstrating superior consistency and accuracy in healthcare contexts. This work highlights a scalable ensemble-based alternative for processing com-plex and nuanced medical narratives without relying on large labeled datasets, marking a substantive advancement in LLM-powered healthcare NLP applications.</w:t>
      </w:r>
    </w:p>
    <w:p w14:paraId="4997C06F" w14:textId="7B533A8F" w:rsidR="00422CCD" w:rsidRDefault="00422CCD" w:rsidP="00422CCD">
      <w:r>
        <w:t>Tekin et</w:t>
      </w:r>
      <w:r>
        <w:rPr>
          <w:rFonts w:ascii="Arial" w:hAnsi="Arial" w:cs="Arial"/>
        </w:rPr>
        <w:t> </w:t>
      </w:r>
      <w:r>
        <w:t>al. in [18] present LLM</w:t>
      </w:r>
      <w:r>
        <w:rPr>
          <w:rFonts w:ascii="Cambria Math" w:hAnsi="Cambria Math" w:cs="Cambria Math"/>
        </w:rPr>
        <w:t>‑</w:t>
      </w:r>
      <w:r>
        <w:t>TOPLA, a novel ensemble framework de-signed to optimize performance by maximizing diversity among component large language models (LLMs). They introduce a focal diversity metric to capture how variation in model predictions correlates with ensemble performance, and devel-op a diversity</w:t>
      </w:r>
      <w:r>
        <w:rPr>
          <w:rFonts w:ascii="Cambria Math" w:hAnsi="Cambria Math" w:cs="Cambria Math"/>
        </w:rPr>
        <w:t>‑</w:t>
      </w:r>
      <w:r>
        <w:t>optimized pruning algorithm to select compact, high-performing subsets of base models from a larger pool. In addition, they implement a learn</w:t>
      </w:r>
      <w:r>
        <w:rPr>
          <w:rFonts w:ascii="Cambria Math" w:hAnsi="Cambria Math" w:cs="Cambria Math"/>
        </w:rPr>
        <w:t>‑</w:t>
      </w:r>
      <w:r>
        <w:t>to</w:t>
      </w:r>
      <w:r>
        <w:rPr>
          <w:rFonts w:ascii="Cambria Math" w:hAnsi="Cambria Math" w:cs="Cambria Math"/>
        </w:rPr>
        <w:t>‑</w:t>
      </w:r>
      <w:r>
        <w:t>ensemble module that learns to detect and resolve output inconsistencies across models for each prompt. Extensive evaluations on four benchmark datasets including MMLU, GSM8k, SearchQA, and XSum show that LLM</w:t>
      </w:r>
      <w:r>
        <w:rPr>
          <w:rFonts w:ascii="Cambria Math" w:hAnsi="Cambria Math" w:cs="Cambria Math"/>
        </w:rPr>
        <w:t>‑</w:t>
      </w:r>
      <w:r>
        <w:t>TOPLA consistently outperforms the best existing ensemble methods: it improves accuracy by about 2.2</w:t>
      </w:r>
      <w:r>
        <w:rPr>
          <w:rFonts w:ascii="Arial" w:hAnsi="Arial" w:cs="Arial"/>
        </w:rPr>
        <w:t> </w:t>
      </w:r>
      <w:r>
        <w:t>% over Mixtral on MMLU and about 2.1</w:t>
      </w:r>
      <w:r>
        <w:rPr>
          <w:rFonts w:ascii="Arial" w:hAnsi="Arial" w:cs="Arial"/>
        </w:rPr>
        <w:t> </w:t>
      </w:r>
      <w:r>
        <w:t xml:space="preserve">% over MoreAgent on GSM8k, while offering substantial </w:t>
      </w:r>
      <w:r>
        <w:lastRenderedPageBreak/>
        <w:t>gains in generative tasks (</w:t>
      </w:r>
      <w:r>
        <w:rPr>
          <w:rFonts w:ascii="Cambria Math" w:hAnsi="Cambria Math" w:cs="Cambria Math"/>
        </w:rPr>
        <w:t>∼</w:t>
      </w:r>
      <w:r>
        <w:t>3.9× higher F1 on SearchQA and &gt; 38</w:t>
      </w:r>
      <w:r>
        <w:rPr>
          <w:rFonts w:ascii="Arial" w:hAnsi="Arial" w:cs="Arial"/>
        </w:rPr>
        <w:t> </w:t>
      </w:r>
      <w:r>
        <w:t>% higher ROUGE</w:t>
      </w:r>
      <w:r>
        <w:rPr>
          <w:rFonts w:ascii="Cambria Math" w:hAnsi="Cambria Math" w:cs="Cambria Math"/>
        </w:rPr>
        <w:t>‑</w:t>
      </w:r>
      <w:r>
        <w:t>1 on XSum). This work demonstrates that carefully calibrated ensemble diversity, combined with intelligent output recon-ciliation, can significantly enhance both constrained and generative LLM applications.</w:t>
      </w:r>
    </w:p>
    <w:p w14:paraId="0FF5FED8" w14:textId="207A79AD" w:rsidR="00E61699" w:rsidRDefault="00422CCD" w:rsidP="00422CCD">
      <w:r>
        <w:t>Abduljabbar and Omar in [19] propose an automated method to classify short exam questions (≤</w:t>
      </w:r>
      <w:r>
        <w:rPr>
          <w:rFonts w:ascii="Arial" w:hAnsi="Arial" w:cs="Arial"/>
        </w:rPr>
        <w:t> </w:t>
      </w:r>
      <w:r>
        <w:t>200 characters) according to the cognitive levels of Bloom’s Taxonomy by combining multiple machine learning classifiers namely SVM, Naïve Bayes, and k</w:t>
      </w:r>
      <w:r>
        <w:rPr>
          <w:rFonts w:ascii="Cambria Math" w:hAnsi="Cambria Math" w:cs="Cambria Math"/>
        </w:rPr>
        <w:t>‑</w:t>
      </w:r>
      <w:r>
        <w:t>Nearest Neighbors with feature selection techniques (Chi</w:t>
      </w:r>
      <w:r>
        <w:rPr>
          <w:rFonts w:ascii="Cambria Math" w:hAnsi="Cambria Math" w:cs="Cambria Math"/>
        </w:rPr>
        <w:t>‑</w:t>
      </w:r>
      <w:r>
        <w:t>Square, Mutual Information, Odd Ratio). They integrate the strengths of individual models via a voting ensemble strategy, resulting in the highest accuracy when Mutual Information was used for feature selection. Their experiments demonstrate that classifier combinations outperform standalone models, effectively addressing the sparsity and brevity of exam questions through ensemble learning. This research underscores the value of hybrid feature engineering and ensemble approaches for reliably mapping questions to Bloom’s cognitive levels in educational assessment systems.</w:t>
      </w:r>
    </w:p>
    <w:sectPr w:rsidR="00E61699" w:rsidSect="006A2738">
      <w:pgSz w:w="11907" w:h="16840" w:code="9"/>
      <w:pgMar w:top="1440" w:right="1440" w:bottom="1440" w:left="1440" w:header="709" w:footer="709"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altName w:val="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8F"/>
    <w:rsid w:val="00267203"/>
    <w:rsid w:val="003D508F"/>
    <w:rsid w:val="00404098"/>
    <w:rsid w:val="00422CCD"/>
    <w:rsid w:val="005A67EF"/>
    <w:rsid w:val="006A2738"/>
    <w:rsid w:val="006F78E1"/>
    <w:rsid w:val="007D0ADE"/>
    <w:rsid w:val="008F0DAF"/>
    <w:rsid w:val="009128E6"/>
    <w:rsid w:val="009D14FE"/>
    <w:rsid w:val="00CD1F2F"/>
    <w:rsid w:val="00E61699"/>
  </w:rsids>
  <m:mathPr>
    <m:mathFont m:val="Latin Modern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3A5E"/>
  <w15:chartTrackingRefBased/>
  <w15:docId w15:val="{3C241A29-C063-452B-9521-250436349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508F"/>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3D508F"/>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3">
    <w:name w:val="heading 3"/>
    <w:basedOn w:val="a"/>
    <w:next w:val="a"/>
    <w:link w:val="30"/>
    <w:uiPriority w:val="9"/>
    <w:semiHidden/>
    <w:unhideWhenUsed/>
    <w:qFormat/>
    <w:rsid w:val="003D508F"/>
    <w:pPr>
      <w:keepNext/>
      <w:keepLines/>
      <w:spacing w:before="120" w:after="40"/>
      <w:outlineLvl w:val="2"/>
    </w:pPr>
    <w:rPr>
      <w:rFonts w:asciiTheme="minorHAnsi" w:eastAsiaTheme="majorEastAsia" w:hAnsiTheme="minorHAnsi" w:cstheme="majorBidi"/>
      <w:color w:val="2F5496" w:themeColor="accent1" w:themeShade="BF"/>
      <w:sz w:val="28"/>
      <w:szCs w:val="35"/>
    </w:rPr>
  </w:style>
  <w:style w:type="paragraph" w:styleId="4">
    <w:name w:val="heading 4"/>
    <w:basedOn w:val="a"/>
    <w:next w:val="a"/>
    <w:link w:val="40"/>
    <w:uiPriority w:val="9"/>
    <w:semiHidden/>
    <w:unhideWhenUsed/>
    <w:qFormat/>
    <w:rsid w:val="003D508F"/>
    <w:pPr>
      <w:keepNext/>
      <w:keepLines/>
      <w:spacing w:before="80" w:after="40"/>
      <w:outlineLvl w:val="3"/>
    </w:pPr>
    <w:rPr>
      <w:rFonts w:asciiTheme="minorHAnsi" w:eastAsiaTheme="majorEastAsia" w:hAnsiTheme="minorHAnsi" w:cstheme="majorBidi"/>
      <w:i/>
      <w:iCs/>
      <w:color w:val="2F5496" w:themeColor="accent1" w:themeShade="BF"/>
      <w:szCs w:val="40"/>
    </w:rPr>
  </w:style>
  <w:style w:type="paragraph" w:styleId="5">
    <w:name w:val="heading 5"/>
    <w:basedOn w:val="a"/>
    <w:next w:val="a"/>
    <w:link w:val="50"/>
    <w:uiPriority w:val="9"/>
    <w:semiHidden/>
    <w:unhideWhenUsed/>
    <w:qFormat/>
    <w:rsid w:val="003D508F"/>
    <w:pPr>
      <w:keepNext/>
      <w:keepLines/>
      <w:spacing w:before="80" w:after="40"/>
      <w:outlineLvl w:val="4"/>
    </w:pPr>
    <w:rPr>
      <w:rFonts w:asciiTheme="minorHAnsi" w:eastAsiaTheme="majorEastAsia" w:hAnsiTheme="minorHAnsi" w:cstheme="majorBidi"/>
      <w:color w:val="2F5496" w:themeColor="accent1" w:themeShade="BF"/>
      <w:szCs w:val="40"/>
    </w:rPr>
  </w:style>
  <w:style w:type="paragraph" w:styleId="6">
    <w:name w:val="heading 6"/>
    <w:basedOn w:val="a"/>
    <w:next w:val="a"/>
    <w:link w:val="60"/>
    <w:uiPriority w:val="9"/>
    <w:semiHidden/>
    <w:unhideWhenUsed/>
    <w:qFormat/>
    <w:rsid w:val="003D508F"/>
    <w:pPr>
      <w:keepNext/>
      <w:keepLines/>
      <w:spacing w:before="40" w:after="0"/>
      <w:outlineLvl w:val="5"/>
    </w:pPr>
    <w:rPr>
      <w:rFonts w:asciiTheme="minorHAnsi" w:eastAsiaTheme="majorEastAsia" w:hAnsiTheme="minorHAnsi" w:cstheme="majorBidi"/>
      <w:i/>
      <w:iCs/>
      <w:color w:val="595959" w:themeColor="text1" w:themeTint="A6"/>
      <w:szCs w:val="40"/>
    </w:rPr>
  </w:style>
  <w:style w:type="paragraph" w:styleId="7">
    <w:name w:val="heading 7"/>
    <w:basedOn w:val="a"/>
    <w:next w:val="a"/>
    <w:link w:val="70"/>
    <w:uiPriority w:val="9"/>
    <w:semiHidden/>
    <w:unhideWhenUsed/>
    <w:qFormat/>
    <w:rsid w:val="003D508F"/>
    <w:pPr>
      <w:keepNext/>
      <w:keepLines/>
      <w:spacing w:before="40" w:after="0"/>
      <w:outlineLvl w:val="6"/>
    </w:pPr>
    <w:rPr>
      <w:rFonts w:asciiTheme="minorHAnsi" w:eastAsiaTheme="majorEastAsia" w:hAnsiTheme="minorHAnsi" w:cstheme="majorBidi"/>
      <w:color w:val="595959" w:themeColor="text1" w:themeTint="A6"/>
      <w:szCs w:val="40"/>
    </w:rPr>
  </w:style>
  <w:style w:type="paragraph" w:styleId="8">
    <w:name w:val="heading 8"/>
    <w:basedOn w:val="a"/>
    <w:next w:val="a"/>
    <w:link w:val="80"/>
    <w:uiPriority w:val="9"/>
    <w:semiHidden/>
    <w:unhideWhenUsed/>
    <w:qFormat/>
    <w:rsid w:val="003D508F"/>
    <w:pPr>
      <w:keepNext/>
      <w:keepLines/>
      <w:spacing w:after="0"/>
      <w:outlineLvl w:val="7"/>
    </w:pPr>
    <w:rPr>
      <w:rFonts w:asciiTheme="minorHAnsi" w:eastAsiaTheme="majorEastAsia" w:hAnsiTheme="minorHAnsi" w:cstheme="majorBidi"/>
      <w:i/>
      <w:iCs/>
      <w:color w:val="272727" w:themeColor="text1" w:themeTint="D8"/>
      <w:szCs w:val="40"/>
    </w:rPr>
  </w:style>
  <w:style w:type="paragraph" w:styleId="9">
    <w:name w:val="heading 9"/>
    <w:basedOn w:val="a"/>
    <w:next w:val="a"/>
    <w:link w:val="90"/>
    <w:uiPriority w:val="9"/>
    <w:semiHidden/>
    <w:unhideWhenUsed/>
    <w:qFormat/>
    <w:rsid w:val="003D508F"/>
    <w:pPr>
      <w:keepNext/>
      <w:keepLines/>
      <w:spacing w:after="0"/>
      <w:outlineLvl w:val="8"/>
    </w:pPr>
    <w:rPr>
      <w:rFonts w:asciiTheme="minorHAnsi" w:eastAsiaTheme="majorEastAsia" w:hAnsiTheme="minorHAnsi" w:cstheme="majorBidi"/>
      <w:color w:val="272727" w:themeColor="text1" w:themeTint="D8"/>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4098"/>
    <w:pPr>
      <w:ind w:left="720"/>
      <w:contextualSpacing/>
    </w:pPr>
  </w:style>
  <w:style w:type="character" w:customStyle="1" w:styleId="10">
    <w:name w:val="หัวเรื่อง 1 อักขระ"/>
    <w:basedOn w:val="a0"/>
    <w:link w:val="1"/>
    <w:uiPriority w:val="9"/>
    <w:rsid w:val="003D508F"/>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3D508F"/>
    <w:rPr>
      <w:rFonts w:asciiTheme="majorHAnsi" w:eastAsiaTheme="majorEastAsia" w:hAnsiTheme="majorHAnsi" w:cstheme="majorBidi"/>
      <w:color w:val="2F5496" w:themeColor="accent1" w:themeShade="BF"/>
      <w:szCs w:val="40"/>
    </w:rPr>
  </w:style>
  <w:style w:type="character" w:customStyle="1" w:styleId="30">
    <w:name w:val="หัวเรื่อง 3 อักขระ"/>
    <w:basedOn w:val="a0"/>
    <w:link w:val="3"/>
    <w:uiPriority w:val="9"/>
    <w:semiHidden/>
    <w:rsid w:val="003D508F"/>
    <w:rPr>
      <w:rFonts w:asciiTheme="minorHAnsi" w:eastAsiaTheme="majorEastAsia" w:hAnsiTheme="minorHAnsi" w:cstheme="majorBidi"/>
      <w:color w:val="2F5496" w:themeColor="accent1" w:themeShade="BF"/>
      <w:sz w:val="28"/>
      <w:szCs w:val="35"/>
    </w:rPr>
  </w:style>
  <w:style w:type="character" w:customStyle="1" w:styleId="40">
    <w:name w:val="หัวเรื่อง 4 อักขระ"/>
    <w:basedOn w:val="a0"/>
    <w:link w:val="4"/>
    <w:uiPriority w:val="9"/>
    <w:semiHidden/>
    <w:rsid w:val="003D508F"/>
    <w:rPr>
      <w:rFonts w:asciiTheme="minorHAnsi" w:eastAsiaTheme="majorEastAsia" w:hAnsiTheme="minorHAnsi" w:cstheme="majorBidi"/>
      <w:i/>
      <w:iCs/>
      <w:color w:val="2F5496" w:themeColor="accent1" w:themeShade="BF"/>
      <w:szCs w:val="40"/>
    </w:rPr>
  </w:style>
  <w:style w:type="character" w:customStyle="1" w:styleId="50">
    <w:name w:val="หัวเรื่อง 5 อักขระ"/>
    <w:basedOn w:val="a0"/>
    <w:link w:val="5"/>
    <w:uiPriority w:val="9"/>
    <w:semiHidden/>
    <w:rsid w:val="003D508F"/>
    <w:rPr>
      <w:rFonts w:asciiTheme="minorHAnsi" w:eastAsiaTheme="majorEastAsia" w:hAnsiTheme="minorHAnsi" w:cstheme="majorBidi"/>
      <w:color w:val="2F5496" w:themeColor="accent1" w:themeShade="BF"/>
      <w:szCs w:val="40"/>
    </w:rPr>
  </w:style>
  <w:style w:type="character" w:customStyle="1" w:styleId="60">
    <w:name w:val="หัวเรื่อง 6 อักขระ"/>
    <w:basedOn w:val="a0"/>
    <w:link w:val="6"/>
    <w:uiPriority w:val="9"/>
    <w:semiHidden/>
    <w:rsid w:val="003D508F"/>
    <w:rPr>
      <w:rFonts w:asciiTheme="minorHAnsi" w:eastAsiaTheme="majorEastAsia" w:hAnsiTheme="minorHAnsi" w:cstheme="majorBidi"/>
      <w:i/>
      <w:iCs/>
      <w:color w:val="595959" w:themeColor="text1" w:themeTint="A6"/>
      <w:szCs w:val="40"/>
    </w:rPr>
  </w:style>
  <w:style w:type="character" w:customStyle="1" w:styleId="70">
    <w:name w:val="หัวเรื่อง 7 อักขระ"/>
    <w:basedOn w:val="a0"/>
    <w:link w:val="7"/>
    <w:uiPriority w:val="9"/>
    <w:semiHidden/>
    <w:rsid w:val="003D508F"/>
    <w:rPr>
      <w:rFonts w:asciiTheme="minorHAnsi" w:eastAsiaTheme="majorEastAsia" w:hAnsiTheme="minorHAnsi" w:cstheme="majorBidi"/>
      <w:color w:val="595959" w:themeColor="text1" w:themeTint="A6"/>
      <w:szCs w:val="40"/>
    </w:rPr>
  </w:style>
  <w:style w:type="character" w:customStyle="1" w:styleId="80">
    <w:name w:val="หัวเรื่อง 8 อักขระ"/>
    <w:basedOn w:val="a0"/>
    <w:link w:val="8"/>
    <w:uiPriority w:val="9"/>
    <w:semiHidden/>
    <w:rsid w:val="003D508F"/>
    <w:rPr>
      <w:rFonts w:asciiTheme="minorHAnsi" w:eastAsiaTheme="majorEastAsia" w:hAnsiTheme="minorHAnsi" w:cstheme="majorBidi"/>
      <w:i/>
      <w:iCs/>
      <w:color w:val="272727" w:themeColor="text1" w:themeTint="D8"/>
      <w:szCs w:val="40"/>
    </w:rPr>
  </w:style>
  <w:style w:type="character" w:customStyle="1" w:styleId="90">
    <w:name w:val="หัวเรื่อง 9 อักขระ"/>
    <w:basedOn w:val="a0"/>
    <w:link w:val="9"/>
    <w:uiPriority w:val="9"/>
    <w:semiHidden/>
    <w:rsid w:val="003D508F"/>
    <w:rPr>
      <w:rFonts w:asciiTheme="minorHAnsi" w:eastAsiaTheme="majorEastAsia" w:hAnsiTheme="minorHAnsi" w:cstheme="majorBidi"/>
      <w:color w:val="272727" w:themeColor="text1" w:themeTint="D8"/>
      <w:szCs w:val="40"/>
    </w:rPr>
  </w:style>
  <w:style w:type="paragraph" w:styleId="a4">
    <w:name w:val="Title"/>
    <w:basedOn w:val="a"/>
    <w:next w:val="a"/>
    <w:link w:val="a5"/>
    <w:uiPriority w:val="10"/>
    <w:qFormat/>
    <w:rsid w:val="003D508F"/>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5">
    <w:name w:val="ชื่อเรื่อง อักขระ"/>
    <w:basedOn w:val="a0"/>
    <w:link w:val="a4"/>
    <w:uiPriority w:val="10"/>
    <w:rsid w:val="003D508F"/>
    <w:rPr>
      <w:rFonts w:asciiTheme="majorHAnsi" w:eastAsiaTheme="majorEastAsia" w:hAnsiTheme="majorHAnsi" w:cstheme="majorBidi"/>
      <w:spacing w:val="-10"/>
      <w:kern w:val="28"/>
      <w:sz w:val="56"/>
      <w:szCs w:val="71"/>
    </w:rPr>
  </w:style>
  <w:style w:type="paragraph" w:styleId="a6">
    <w:name w:val="Subtitle"/>
    <w:basedOn w:val="a"/>
    <w:next w:val="a"/>
    <w:link w:val="a7"/>
    <w:uiPriority w:val="11"/>
    <w:qFormat/>
    <w:rsid w:val="003D508F"/>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a7">
    <w:name w:val="ชื่อเรื่องรอง อักขระ"/>
    <w:basedOn w:val="a0"/>
    <w:link w:val="a6"/>
    <w:uiPriority w:val="11"/>
    <w:rsid w:val="003D508F"/>
    <w:rPr>
      <w:rFonts w:asciiTheme="minorHAnsi" w:eastAsiaTheme="majorEastAsia" w:hAnsiTheme="minorHAnsi" w:cstheme="majorBidi"/>
      <w:color w:val="595959" w:themeColor="text1" w:themeTint="A6"/>
      <w:spacing w:val="15"/>
      <w:sz w:val="28"/>
      <w:szCs w:val="35"/>
    </w:rPr>
  </w:style>
  <w:style w:type="paragraph" w:styleId="a8">
    <w:name w:val="Quote"/>
    <w:basedOn w:val="a"/>
    <w:next w:val="a"/>
    <w:link w:val="a9"/>
    <w:uiPriority w:val="29"/>
    <w:qFormat/>
    <w:rsid w:val="003D508F"/>
    <w:pPr>
      <w:spacing w:before="160"/>
      <w:jc w:val="center"/>
    </w:pPr>
    <w:rPr>
      <w:rFonts w:cs="Angsana New"/>
      <w:i/>
      <w:iCs/>
      <w:color w:val="404040" w:themeColor="text1" w:themeTint="BF"/>
      <w:szCs w:val="40"/>
    </w:rPr>
  </w:style>
  <w:style w:type="character" w:customStyle="1" w:styleId="a9">
    <w:name w:val="คำอ้างอิง อักขระ"/>
    <w:basedOn w:val="a0"/>
    <w:link w:val="a8"/>
    <w:uiPriority w:val="29"/>
    <w:rsid w:val="003D508F"/>
    <w:rPr>
      <w:rFonts w:cs="Angsana New"/>
      <w:i/>
      <w:iCs/>
      <w:color w:val="404040" w:themeColor="text1" w:themeTint="BF"/>
      <w:szCs w:val="40"/>
    </w:rPr>
  </w:style>
  <w:style w:type="character" w:styleId="aa">
    <w:name w:val="Intense Emphasis"/>
    <w:basedOn w:val="a0"/>
    <w:uiPriority w:val="21"/>
    <w:qFormat/>
    <w:rsid w:val="003D508F"/>
    <w:rPr>
      <w:i/>
      <w:iCs/>
      <w:color w:val="2F5496" w:themeColor="accent1" w:themeShade="BF"/>
    </w:rPr>
  </w:style>
  <w:style w:type="paragraph" w:styleId="ab">
    <w:name w:val="Intense Quote"/>
    <w:basedOn w:val="a"/>
    <w:next w:val="a"/>
    <w:link w:val="ac"/>
    <w:uiPriority w:val="30"/>
    <w:qFormat/>
    <w:rsid w:val="003D508F"/>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40"/>
    </w:rPr>
  </w:style>
  <w:style w:type="character" w:customStyle="1" w:styleId="ac">
    <w:name w:val="ทำให้คำอ้างอิงเป็นสีเข้มขึ้น อักขระ"/>
    <w:basedOn w:val="a0"/>
    <w:link w:val="ab"/>
    <w:uiPriority w:val="30"/>
    <w:rsid w:val="003D508F"/>
    <w:rPr>
      <w:rFonts w:cs="Angsana New"/>
      <w:i/>
      <w:iCs/>
      <w:color w:val="2F5496" w:themeColor="accent1" w:themeShade="BF"/>
      <w:szCs w:val="40"/>
    </w:rPr>
  </w:style>
  <w:style w:type="character" w:styleId="ad">
    <w:name w:val="Intense Reference"/>
    <w:basedOn w:val="a0"/>
    <w:uiPriority w:val="32"/>
    <w:qFormat/>
    <w:rsid w:val="003D50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2406</Words>
  <Characters>13717</Characters>
  <Application>Microsoft Office Word</Application>
  <DocSecurity>0</DocSecurity>
  <Lines>114</Lines>
  <Paragraphs>32</Paragraphs>
  <ScaleCrop>false</ScaleCrop>
  <Company/>
  <LinksUpToDate>false</LinksUpToDate>
  <CharactersWithSpaces>16091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chutipon trirattananurak</dc:creator>
  <cp:keywords/>
  <dc:description/>
  <cp:lastModifiedBy>chutipon trirattananurak</cp:lastModifiedBy>
  <cp:revision>6</cp:revision>
  <dcterms:created xsi:type="dcterms:W3CDTF">2025-08-02T14:00:00Z</dcterms:created>
  <dcterms:modified xsi:type="dcterms:W3CDTF">2025-08-02T14:03:00Z</dcterms:modified>
</cp:coreProperties>
</file>