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0A1128"/>
          <w:sz w:val="64"/>
          <w:szCs w:val="64"/>
        </w:rPr>
        <w:t xml:space="preserve">SYNQED AIR</w:t>
      </w:r>
    </w:p>
    <w:p>
      <w:pPr>
        <w:pBdr>
          <w:bottom w:val="single" w:color="3DDCFF" w:sz="8" w:space="12"/>
        </w:pBdr>
        <w:spacing w:after="100" w:before="160"/>
        <w:jc w:val="center"/>
      </w:pPr>
      <w:r>
        <w:rPr>
          <w:i/>
          <w:iCs/>
          <w:color w:val="333333"/>
          <w:sz w:val="32"/>
          <w:szCs w:val="32"/>
        </w:rPr>
        <w:t xml:space="preserve">“Travel Synqed”</w:t>
      </w:r>
    </w:p>
    <w:p>
      <w:pPr>
        <w:spacing w:before="600"/>
        <w:jc w:val="center"/>
      </w:pPr>
      <w:r>
        <w:rPr>
          <w:color w:val="555555"/>
          <w:sz w:val="24"/>
          <w:szCs w:val="24"/>
        </w:rPr>
        <w:t xml:space="preserve">Strategy, Product &amp; Build Document</w:t>
      </w:r>
    </w:p>
    <w:p>
      <w:pPr>
        <w:spacing w:before="100"/>
        <w:jc w:val="center"/>
      </w:pPr>
      <w:r>
        <w:rPr>
          <w:color w:val="555555"/>
          <w:sz w:val="22"/>
          <w:szCs w:val="22"/>
        </w:rPr>
        <w:t xml:space="preserve">A sister company to SynqedAI</w:t>
      </w:r>
    </w:p>
    <w:p>
      <w:pPr>
        <w:spacing w:before="2400"/>
        <w:jc w:val="center"/>
      </w:pPr>
      <w:r>
        <w:rPr>
          <w:color w:val="333333"/>
          <w:sz w:val="22"/>
          <w:szCs w:val="22"/>
        </w:rPr>
        <w:t xml:space="preserve">Co-founder: Emmanuel “Chuzzy” Onyia</w:t>
      </w:r>
    </w:p>
    <w:p>
      <w:pPr>
        <w:spacing w:before="100"/>
        <w:jc w:val="center"/>
      </w:pPr>
      <w:r>
        <w:rPr>
          <w:color w:val="555555"/>
          <w:sz w:val="20"/>
          <w:szCs w:val="20"/>
        </w:rPr>
        <w:t xml:space="preserve">August 2026</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1. Executive Summary</w:t>
      </w:r>
    </w:p>
    <w:p>
      <w:pPr>
        <w:spacing w:after="160"/>
      </w:pPr>
      <w:r>
        <w:t xml:space="preserve">Synqed Air is a flight-booking app built for the diaspora and price-conscious traveler — the fourth business in the SynqedAI empire architecture, and the second consumer-facing product after AI Native Studio's Haven and Mavin. Where SynqedAI is the agency that funds the empire, Synqed Air is a bet that travel booking in and out of Africa is still full of removable friction: hidden fees, poor support after disruption, no diaspora-specific guidance, and no single trustworthy price.</w:t>
      </w:r>
    </w:p>
    <w:p>
      <w:pPr>
        <w:spacing w:after="160"/>
      </w:pPr>
      <w:r>
        <w:t xml:space="preserve">The motto — “Travel Synqed” — is the product philosophy in two words: search, price, book, support, and the whole journey around a flight, synchronized into one simple experience instead of scattered across five apps, a GDS-era airline site, and a WhatsApp agent.</w:t>
      </w:r>
    </w:p>
    <w:p>
      <w:pPr>
        <w:spacing w:after="160"/>
      </w:pPr>
      <w:r>
        <w:t xml:space="preserve">The plan is not to become another OTA. It is to start as one (MVP on Duffel, December 2026 launch) and grow into the transparent-pricing challenger and diaspora-corridor specialist — with the underlying architecture built from day one to eventually become travel infrastructure other fintechs and apps can build on.</w:t>
      </w:r>
    </w:p>
    <w:p>
      <w:pPr>
        <w:pStyle w:val="Heading1"/>
        <w:spacing w:after="200" w:before="400"/>
      </w:pPr>
      <w:r>
        <w:t xml:space="preserve">2. Vision &amp; Positioning</w:t>
      </w:r>
    </w:p>
    <w:p>
      <w:pPr>
        <w:pStyle w:val="Heading2"/>
        <w:spacing w:after="150" w:before="300"/>
      </w:pPr>
      <w:r>
        <w:t xml:space="preserve">2.1 The real job customers are hiring for</w:t>
      </w:r>
    </w:p>
    <w:p>
      <w:pPr>
        <w:spacing w:after="160"/>
      </w:pPr>
      <w:r>
        <w:t xml:space="preserve">Per the Product Strategy Playbook's core philosophy: customers don't buy a category, they hire something to get a job done. Nobody's real goal is “book a flight” — it's get to a destination, spend as little as possible, avoid stress, and trust that everything will go smoothly. Synqed Air's competition is therefore every substitute a traveler reaches for today, not just other flight apps.</w:t>
      </w:r>
    </w:p>
    <w:p>
      <w:pPr>
        <w:pStyle w:val="Heading3"/>
        <w:spacing w:after="100" w:before="200"/>
      </w:pPr>
      <w:r>
        <w:t xml:space="preserve">Substitutes and where they fail</w:t>
      </w:r>
    </w:p>
    <w:p>
      <w:pPr>
        <w:pStyle w:val="ListParagraph"/>
        <w:numPr>
          <w:ilvl w:val="0"/>
          <w:numId w:val="2"/>
        </w:numPr>
        <w:spacing w:after="80"/>
      </w:pPr>
      <w:r>
        <w:t xml:space="preserve">Airline websites — no price comparison, confusing fare rules</w:t>
      </w:r>
    </w:p>
    <w:p>
      <w:pPr>
        <w:pStyle w:val="ListParagraph"/>
        <w:numPr>
          <w:ilvl w:val="0"/>
          <w:numId w:val="2"/>
        </w:numPr>
        <w:spacing w:after="80"/>
      </w:pPr>
      <w:r>
        <w:t xml:space="preserve">Wakanow and other OTAs — hidden charges, inconsistent support</w:t>
      </w:r>
    </w:p>
    <w:p>
      <w:pPr>
        <w:pStyle w:val="ListParagraph"/>
        <w:numPr>
          <w:ilvl w:val="0"/>
          <w:numId w:val="2"/>
        </w:numPr>
        <w:spacing w:after="80"/>
      </w:pPr>
      <w:r>
        <w:t xml:space="preserve">Google Flights — no booking, support, or diaspora guidance</w:t>
      </w:r>
    </w:p>
    <w:p>
      <w:pPr>
        <w:pStyle w:val="ListParagraph"/>
        <w:numPr>
          <w:ilvl w:val="0"/>
          <w:numId w:val="2"/>
        </w:numPr>
        <w:spacing w:after="80"/>
      </w:pPr>
      <w:r>
        <w:t xml:space="preserve">WhatsApp travel agents — fast but unverifiable, scam risk</w:t>
      </w:r>
    </w:p>
    <w:p>
      <w:pPr>
        <w:pStyle w:val="ListParagraph"/>
        <w:numPr>
          <w:ilvl w:val="0"/>
          <w:numId w:val="2"/>
        </w:numPr>
        <w:spacing w:after="80"/>
      </w:pPr>
      <w:r>
        <w:t xml:space="preserve">Physical travel agencies — slow, no price transparency</w:t>
      </w:r>
    </w:p>
    <w:p>
      <w:pPr>
        <w:pStyle w:val="ListParagraph"/>
        <w:numPr>
          <w:ilvl w:val="0"/>
          <w:numId w:val="2"/>
        </w:numPr>
        <w:spacing w:after="80"/>
      </w:pPr>
      <w:r>
        <w:t xml:space="preserve">Friends/family booking on your behalf — doesn't scale, no accountability</w:t>
      </w:r>
    </w:p>
    <w:p>
      <w:pPr>
        <w:pStyle w:val="Heading3"/>
        <w:spacing w:after="100" w:before="200"/>
      </w:pPr>
      <w:r>
        <w:t xml:space="preserve">Common friction across all of them</w:t>
      </w:r>
    </w:p>
    <w:p>
      <w:pPr>
        <w:pStyle w:val="ListParagraph"/>
        <w:numPr>
          <w:ilvl w:val="0"/>
          <w:numId w:val="2"/>
        </w:numPr>
        <w:spacing w:after="80"/>
      </w:pPr>
      <w:r>
        <w:t xml:space="preserve">Not knowing if you're getting the best price</w:t>
      </w:r>
    </w:p>
    <w:p>
      <w:pPr>
        <w:pStyle w:val="ListParagraph"/>
        <w:numPr>
          <w:ilvl w:val="0"/>
          <w:numId w:val="2"/>
        </w:numPr>
        <w:spacing w:after="80"/>
      </w:pPr>
      <w:r>
        <w:t xml:space="preserve">Hidden charges revealed only at checkout</w:t>
      </w:r>
    </w:p>
    <w:p>
      <w:pPr>
        <w:pStyle w:val="ListParagraph"/>
        <w:numPr>
          <w:ilvl w:val="0"/>
          <w:numId w:val="2"/>
        </w:numPr>
        <w:spacing w:after="80"/>
      </w:pPr>
      <w:r>
        <w:t xml:space="preserve">Poor support when a flight is delayed or cancelled</w:t>
      </w:r>
    </w:p>
    <w:p>
      <w:pPr>
        <w:pStyle w:val="ListParagraph"/>
        <w:numPr>
          <w:ilvl w:val="0"/>
          <w:numId w:val="2"/>
        </w:numPr>
        <w:spacing w:after="80"/>
      </w:pPr>
      <w:r>
        <w:t xml:space="preserve">Having to check multiple sites to feel confident</w:t>
      </w:r>
    </w:p>
    <w:p>
      <w:pPr>
        <w:pStyle w:val="ListParagraph"/>
        <w:numPr>
          <w:ilvl w:val="0"/>
          <w:numId w:val="2"/>
        </w:numPr>
        <w:spacing w:after="80"/>
      </w:pPr>
      <w:r>
        <w:t xml:space="preserve">Complicated refunds or ticket changes</w:t>
      </w:r>
    </w:p>
    <w:p>
      <w:pPr>
        <w:pStyle w:val="ListParagraph"/>
        <w:numPr>
          <w:ilvl w:val="0"/>
          <w:numId w:val="2"/>
        </w:numPr>
        <w:spacing w:after="80"/>
      </w:pPr>
      <w:r>
        <w:t xml:space="preserve">Fear of scams, especially with informal agents</w:t>
      </w:r>
    </w:p>
    <w:p>
      <w:pPr>
        <w:pStyle w:val="ListParagraph"/>
        <w:numPr>
          <w:ilvl w:val="0"/>
          <w:numId w:val="2"/>
        </w:numPr>
        <w:spacing w:after="80"/>
      </w:pPr>
      <w:r>
        <w:t xml:space="preserve">No guidance tailored to a diaspora traveler's specific needs (visas, corridors, currencies)</w:t>
      </w:r>
    </w:p>
    <w:p>
      <w:pPr>
        <w:pStyle w:val="Heading2"/>
        <w:spacing w:after="150" w:before="300"/>
      </w:pPr>
      <w:r>
        <w:t xml:space="preserve">2.2 Positioning statement</w:t>
      </w:r>
    </w:p>
    <w:p>
      <w:pPr>
        <w:pBdr>
          <w:left w:val="single" w:color="3DDCFF" w:sz="12" w:space="8"/>
        </w:pBdr>
        <w:spacing w:after="200" w:before="120"/>
        <w:ind w:left="360"/>
      </w:pPr>
      <w:r>
        <w:rPr>
          <w:i/>
          <w:iCs/>
          <w:color w:val="555555"/>
        </w:rPr>
        <w:t xml:space="preserve">“We remove every source of friction from travel — before, during, and after the flight.”</w:t>
      </w:r>
    </w:p>
    <w:p>
      <w:pPr>
        <w:spacing w:after="160"/>
      </w:pPr>
      <w:r>
        <w:t xml:space="preserve">The external-facing story, already locked for the Dec 31 PR launch, is deliberately not a “first AI flight booking app” claim — that's already taken by Flightpadi's Ava, and a journalist could disprove it in one search. Instead:</w:t>
      </w:r>
    </w:p>
    <w:p>
      <w:pPr>
        <w:pBdr>
          <w:left w:val="single" w:color="3DDCFF" w:sz="12" w:space="8"/>
        </w:pBdr>
        <w:spacing w:after="200" w:before="120"/>
        <w:ind w:left="360"/>
      </w:pPr>
      <w:r>
        <w:rPr>
          <w:i/>
          <w:iCs/>
          <w:color w:val="555555"/>
        </w:rPr>
        <w:t xml:space="preserve">Positioning: “The transparent-pricing challenger” and diaspora-corridor specialist.</w:t>
      </w:r>
    </w:p>
    <w:p>
      <w:pPr>
        <w:spacing w:after="160"/>
      </w:pPr>
      <w:r>
        <w:t xml:space="preserve">Every piece of outreach and content should carry the substitute-analysis story — hidden fees, poor support, no diaspora focus among existing players — not a superiority claim about AI.</w:t>
      </w:r>
    </w:p>
    <w:p>
      <w:pPr>
        <w:pStyle w:val="Heading2"/>
        <w:spacing w:after="150" w:before="300"/>
      </w:pPr>
      <w:r>
        <w:t xml:space="preserve">2.3 Advantage vs. unfair advantage</w:t>
      </w:r>
    </w:p>
    <w:p>
      <w:pPr>
        <w:spacing w:after="160"/>
      </w:pPr>
      <w:r>
        <w:t xml:space="preserve">An advantage (price, UI, support hours) is something a competitor can copy within a product cycle. An unfair advantage — an ecosystem, a data loop, a trust relationship, a network effect — is what Synqed Air should be built toward. Two are already visible in the current plan:</w:t>
      </w:r>
    </w:p>
    <w:p>
      <w:pPr>
        <w:pStyle w:val="ListParagraph"/>
        <w:numPr>
          <w:ilvl w:val="0"/>
          <w:numId w:val="2"/>
        </w:numPr>
        <w:spacing w:after="80"/>
      </w:pPr>
      <w:r>
        <w:t xml:space="preserve">Provider-agnostic architecture — the backend is built as Flight Service → Provider Interface → DuffelAdapter (with room for FutureAdapter) from day one, not hard-wired to Duffel. This is what makes it possible to eventually flip the model: instead of Synqed Air consuming Duffel/Amadeus/Travelport, other companies consume a Synqed Air API.</w:t>
      </w:r>
    </w:p>
    <w:p>
      <w:pPr>
        <w:pStyle w:val="ListParagraph"/>
        <w:numPr>
          <w:ilvl w:val="0"/>
          <w:numId w:val="2"/>
        </w:numPr>
        <w:spacing w:after="80"/>
      </w:pPr>
      <w:r>
        <w:t xml:space="preserve">Diaspora-corridor focus — international-card Paystack fees (3.9% + ₦100, uncapped) are exactly the friction point generic OTAs ignore because the segment is narrower. Owning that corridor's pricing clarity and trust is harder to retrofit than to copy a UI.</w:t>
      </w:r>
    </w:p>
    <w:p>
      <w:pPr>
        <w:spacing w:after="160"/>
      </w:pPr>
      <w:r>
        <w:t xml:space="preserve">A single feature claim (“cheaper flights”) is deliberately avoided — the advantage is framed broadly, across the whole journey, which is what keeps the roadmap (Section 8) coherent as the product grows past flights alone.</w:t>
      </w:r>
    </w:p>
    <w:p>
      <w:pPr>
        <w:pStyle w:val="Heading3"/>
        <w:spacing w:after="100" w:before="200"/>
      </w:pPr>
      <w:r>
        <w:t xml:space="preserve">Potential competitive advantages (feature layer)</w:t>
      </w:r>
    </w:p>
    <w:p>
      <w:pPr>
        <w:pStyle w:val="ListParagraph"/>
        <w:numPr>
          <w:ilvl w:val="0"/>
          <w:numId w:val="2"/>
        </w:numPr>
        <w:spacing w:after="80"/>
      </w:pPr>
      <w:r>
        <w:t xml:space="preserve">AI Travel Advisor — answer questions like “I have ₦500,000, what's the cheapest way to Nairobi next month?” Become a travel decision engine, not just a booking engine.</w:t>
      </w:r>
    </w:p>
    <w:p>
      <w:pPr>
        <w:pStyle w:val="ListParagraph"/>
        <w:numPr>
          <w:ilvl w:val="0"/>
          <w:numId w:val="2"/>
        </w:numPr>
        <w:spacing w:after="80"/>
      </w:pPr>
      <w:r>
        <w:t xml:space="preserve">Total Price Transparency — show every fee upfront, no hidden charges, ever.</w:t>
      </w:r>
    </w:p>
    <w:p>
      <w:pPr>
        <w:pStyle w:val="ListParagraph"/>
        <w:numPr>
          <w:ilvl w:val="0"/>
          <w:numId w:val="2"/>
        </w:numPr>
        <w:spacing w:after="80"/>
      </w:pPr>
      <w:r>
        <w:t xml:space="preserve">Instant Human Support — every customer reaches a real person within 2 minutes.</w:t>
      </w:r>
    </w:p>
    <w:p>
      <w:pPr>
        <w:pStyle w:val="ListParagraph"/>
        <w:numPr>
          <w:ilvl w:val="0"/>
          <w:numId w:val="2"/>
        </w:numPr>
        <w:spacing w:after="80"/>
      </w:pPr>
      <w:r>
        <w:t xml:space="preserve">Smart Refund Assistant — AI helps users request refunds, change flights, and understand airline policies.</w:t>
      </w:r>
    </w:p>
    <w:p>
      <w:pPr>
        <w:pStyle w:val="ListParagraph"/>
        <w:numPr>
          <w:ilvl w:val="0"/>
          <w:numId w:val="2"/>
        </w:numPr>
        <w:spacing w:after="80"/>
      </w:pPr>
      <w:r>
        <w:t xml:space="preserve">Africa-first Experience — local payment methods, regional airlines, visa guidance, airport information, local currencies.</w:t>
      </w:r>
    </w:p>
    <w:p>
      <w:pPr>
        <w:pStyle w:val="ListParagraph"/>
        <w:numPr>
          <w:ilvl w:val="0"/>
          <w:numId w:val="2"/>
        </w:numPr>
        <w:spacing w:after="80"/>
      </w:pPr>
      <w:r>
        <w:t xml:space="preserve">Travel Companion — after booking, help with visa reminders, check-in reminders, gate changes, weather, baggage rules, airport navigation.</w:t>
      </w:r>
    </w:p>
    <w:p>
      <w:pPr>
        <w:pStyle w:val="Heading3"/>
        <w:spacing w:after="100" w:before="200"/>
      </w:pPr>
      <w:r>
        <w:t xml:space="preserve">The real unfair advantage: the travel operating system</w:t>
      </w:r>
    </w:p>
    <w:p>
      <w:pPr>
        <w:spacing w:after="160"/>
      </w:pPr>
      <w:r>
        <w:t xml:space="preserve">Rather than building another booking agency, the aim is the operating system for the whole journey:</w:t>
      </w:r>
    </w:p>
    <w:p>
      <w:pPr>
        <w:pBdr>
          <w:left w:val="single" w:color="3DDCFF" w:sz="12" w:space="8"/>
        </w:pBdr>
        <w:spacing w:after="200" w:before="120"/>
        <w:ind w:left="360"/>
      </w:pPr>
      <w:r>
        <w:rPr>
          <w:i/>
          <w:iCs/>
          <w:color w:val="555555"/>
        </w:rPr>
        <w:t xml:space="preserve">“From the moment you decide to travel until you arrive at your destination, you never need another travel app.”</w:t>
      </w:r>
    </w:p>
    <w:p>
      <w:pPr>
        <w:spacing w:after="160"/>
      </w:pPr>
      <w:r>
        <w:t xml:space="preserve">Flights are only the beginning — the ecosystem can eventually include hotels, airport transfers, visa information, insurance, eSIMs, currency conversion, AI itinerary planning, travel alerts, loyalty rewards, and corporate travel. Competitors can copy a single feature; it is much harder to copy an entire ecosystem that customers rely on.</w:t>
      </w:r>
    </w:p>
    <w:p>
      <w:pPr>
        <w:pStyle w:val="Heading3"/>
        <w:spacing w:after="100" w:before="200"/>
      </w:pPr>
      <w:r>
        <w:t xml:space="preserve">North Star</w:t>
      </w:r>
    </w:p>
    <w:p>
      <w:pPr>
        <w:spacing w:after="160"/>
      </w:pPr>
      <w:r>
        <w:t xml:space="preserve">Don't ask “Who are my competitors?” Ask “How else are customers solving this problem, where do those solutions fall short, and how can we become the simplest, most trusted solution?” Those gaps are where every competitive advantage comes from.</w:t>
      </w:r>
    </w:p>
    <w:p>
      <w:pPr>
        <w:pStyle w:val="Heading2"/>
        <w:spacing w:after="150" w:before="300"/>
      </w:pPr>
      <w:r>
        <w:t xml:space="preserve">2.4 Applied product principles</w:t>
      </w:r>
    </w:p>
    <w:p>
      <w:pPr>
        <w:spacing w:after="160"/>
      </w:pPr>
      <w:r>
        <w:t xml:space="preserve">Every screen and flow should be built against the Playbook's reduce/clarify/simplify standard:</w:t>
      </w:r>
    </w:p>
    <w:p>
      <w:pPr>
        <w:pStyle w:val="ListParagraph"/>
        <w:numPr>
          <w:ilvl w:val="0"/>
          <w:numId w:val="2"/>
        </w:numPr>
        <w:spacing w:after="80"/>
      </w:pPr>
      <w:r>
        <w:t xml:space="preserve">Instead of 500 flight options → surface Best Value, Fastest, and Cheapest first</w:t>
      </w:r>
    </w:p>
    <w:p>
      <w:pPr>
        <w:pStyle w:val="ListParagraph"/>
        <w:numPr>
          <w:ilvl w:val="0"/>
          <w:numId w:val="2"/>
        </w:numPr>
        <w:spacing w:after="80"/>
      </w:pPr>
      <w:r>
        <w:t xml:space="preserve">Instead of making users compare baggage policies → summarize them in plain English</w:t>
      </w:r>
    </w:p>
    <w:p>
      <w:pPr>
        <w:pStyle w:val="ListParagraph"/>
        <w:numPr>
          <w:ilvl w:val="0"/>
          <w:numId w:val="2"/>
        </w:numPr>
        <w:spacing w:after="80"/>
      </w:pPr>
      <w:r>
        <w:t xml:space="preserve">Instead of making users search visa requirements → tell them automatically based on passport and destination</w:t>
      </w:r>
    </w:p>
    <w:p>
      <w:pPr>
        <w:pStyle w:val="ListParagraph"/>
        <w:numPr>
          <w:ilvl w:val="0"/>
          <w:numId w:val="2"/>
        </w:numPr>
        <w:spacing w:after="80"/>
      </w:pPr>
      <w:r>
        <w:t xml:space="preserve">Instead of making users remember check-in times → remind them at the right moment</w:t>
      </w:r>
    </w:p>
    <w:p>
      <w:pPr>
        <w:pStyle w:val="ListParagraph"/>
        <w:numPr>
          <w:ilvl w:val="0"/>
          <w:numId w:val="2"/>
        </w:numPr>
        <w:spacing w:after="80"/>
      </w:pPr>
      <w:r>
        <w:t xml:space="preserve">Instead of making users contact support after a cancellation → proactively present their options</w:t>
      </w:r>
    </w:p>
    <w:p>
      <w:pPr>
        <w:pStyle w:val="Heading1"/>
        <w:spacing w:after="200" w:before="400"/>
      </w:pPr>
      <w:r>
        <w:t xml:space="preserve">3. Product &amp; Technical Architecture</w:t>
      </w:r>
    </w:p>
    <w:p>
      <w:pPr>
        <w:pStyle w:val="Heading2"/>
        <w:spacing w:after="150" w:before="300"/>
      </w:pPr>
      <w:r>
        <w:t xml:space="preserve">3.1 Framework decision</w:t>
      </w:r>
    </w:p>
    <w:p>
      <w:pPr>
        <w:spacing w:after="160"/>
      </w:pPr>
      <w:r>
        <w:t xml:space="preserve">One app, one framework. Dev 1 builds the actual mobile app in Flutter — a complete cross-platform toolkit (one codebase, iOS + Android), so nothing is missing by not using React Native. Dev 2's React Native background is really a JavaScript/TypeScript background, which maps directly onto the Node.js backend: AI advisor orchestration, flight aggregator integration, and payments. This was already Dev 2's role in the original plan — only the mobile framework changed, and nobody has to learn a new stack.</w:t>
      </w:r>
    </w:p>
    <w:p>
      <w:pPr>
        <w:pStyle w:val="Heading3"/>
        <w:spacing w:after="100" w:before="200"/>
      </w:pPr>
      <w:r>
        <w:t xml:space="preserve">System diagram</w:t>
      </w:r>
    </w:p>
    <w:p>
      <w:pPr>
        <w:spacing w:after="160"/>
      </w:pPr>
      <w:r>
        <w:rPr>
          <w:rFonts w:ascii="Consolas" w:cs="Consolas" w:eastAsia="Consolas" w:hAnsi="Consolas"/>
          <w:sz w:val="20"/>
          <w:szCs w:val="20"/>
        </w:rPr>
        <w:t xml:space="preserve">Flutter app (Dev 1)  —HTTPS/JSON→  Node.js backend (Dev 2)</w:t>
      </w:r>
    </w:p>
    <w:p>
      <w:pPr>
        <w:spacing w:after="160"/>
      </w:pPr>
      <w:r>
        <w:rPr>
          <w:color w:val="555555"/>
          <w:sz w:val="20"/>
          <w:szCs w:val="20"/>
        </w:rPr>
        <w:t xml:space="preserve">Backend integrates: Claude API (AI advisor parsing) · Duffel API (flight search) · Paystack API (payments) · Postgres (bookings, users).</w:t>
      </w:r>
    </w:p>
    <w:p>
      <w:pPr>
        <w:spacing w:after="160"/>
      </w:pPr>
      <w:r>
        <w:t xml:space="preserve">The Flutter app never talks to Claude, Duffel, or Paystack directly — it only ever calls the Node backend. This keeps API keys off the device and keeps ranking logic, fee calculation, and pricing rules in one place instead of duplicated across clients.</w:t>
      </w:r>
    </w:p>
    <w:p>
      <w:pPr>
        <w:pStyle w:val="Heading3"/>
        <w:spacing w:after="100" w:before="200"/>
      </w:pPr>
      <w:r>
        <w:t xml:space="preserve">What's already built</w:t>
      </w:r>
    </w:p>
    <w:p>
      <w:pPr>
        <w:pStyle w:val="ListParagraph"/>
        <w:numPr>
          <w:ilvl w:val="0"/>
          <w:numId w:val="2"/>
        </w:numPr>
        <w:spacing w:after="80"/>
      </w:pPr>
      <w:r>
        <w:t xml:space="preserve">synqedair_flutter/ — Flutter starter for Dev 1: installs clean, three real screens (Home, Results, Companion) built to the approved design, wired for an API base URL, currently on mock data.</w:t>
      </w:r>
    </w:p>
    <w:p>
      <w:pPr>
        <w:pStyle w:val="ListParagraph"/>
        <w:numPr>
          <w:ilvl w:val="0"/>
          <w:numId w:val="2"/>
        </w:numPr>
        <w:spacing w:after="80"/>
      </w:pPr>
      <w:r>
        <w:t xml:space="preserve">synqedair-backend/ — Node.js + TypeScript starter for Dev 2: installs clean, type-checks clean, boots and responds. Real Claude, Duffel, and Paystack clients are implemented; auth is stubbed.</w:t>
      </w:r>
    </w:p>
    <w:p>
      <w:pPr>
        <w:pStyle w:val="Heading3"/>
        <w:spacing w:after="100" w:before="200"/>
      </w:pPr>
      <w:r>
        <w:t xml:space="preserve">Provider architecture — the one non-negotiable decision</w:t>
      </w:r>
    </w:p>
    <w:p>
      <w:pPr>
        <w:spacing w:after="160"/>
      </w:pPr>
      <w:r>
        <w:t xml:space="preserve">Even though Duffel is the only provider for the MVP, the backend must not be architected as “everything is Duffel.” Instead:</w:t>
      </w:r>
    </w:p>
    <w:p>
      <w:pPr>
        <w:spacing w:after="160"/>
      </w:pPr>
      <w:r>
        <w:rPr>
          <w:rFonts w:ascii="Consolas" w:cs="Consolas" w:eastAsia="Consolas" w:hAnsi="Consolas"/>
          <w:sz w:val="20"/>
          <w:szCs w:val="20"/>
        </w:rPr>
        <w:t xml:space="preserve">Flight Service → Provider Interface → DuffelAdapter | FutureAdapter → Duffel</w:t>
      </w:r>
    </w:p>
    <w:p>
      <w:pPr>
        <w:spacing w:after="160"/>
      </w:pPr>
      <w:r>
        <w:t xml:space="preserve">This keeps the December MVP simple while leaving the system structurally ready to add Amadeus, Travelport, or NDC sources later without a rewrite — see the roadmap in Section 8.</w:t>
      </w:r>
    </w:p>
    <w:p>
      <w:pPr>
        <w:pStyle w:val="Heading3"/>
        <w:spacing w:after="100" w:before="200"/>
      </w:pPr>
      <w:r>
        <w:t xml:space="preserve">Item to verify before writing production logic against it</w:t>
      </w:r>
    </w:p>
    <w:p>
      <w:pPr>
        <w:spacing w:after="160"/>
      </w:pPr>
      <w:r>
        <w:t xml:space="preserve">The Duffel client in the backend starter is written from documented API patterns but hasn't been run against a real Duffel account — nor has the Paystack client been run against a real transaction. Both type-check clean, but exact field names must be confirmed against current docs (duffel.com/docs, paystack.com/docs) in week 1, since APIs shift.</w:t>
      </w:r>
    </w:p>
    <w:p>
      <w:pPr>
        <w:pStyle w:val="Heading2"/>
        <w:spacing w:after="150" w:before="300"/>
      </w:pPr>
      <w:r>
        <w:t xml:space="preserve">3.2 API contract (v0.1)</w:t>
      </w:r>
    </w:p>
    <w:p>
      <w:pPr>
        <w:spacing w:after="160"/>
      </w:pPr>
      <w:r>
        <w:t xml:space="preserve">Full types live in src/types/index.ts (backend) and lib/models/*.dart (Flutter). Rule: whoever changes a field updates both in the same PR — a rename on one side and not the other is the #1 way two people building in parallel end up blocked on each other in week 6.</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560"/>
      </w:tblGrid>
      <w:tr>
        <w:trPr>
          <w:tblHeader/>
        </w:trPr>
        <w:tc>
          <w:tcPr>
            <w:tcW w:type="dxa" w:w="3400"/>
            <w:shd w:fill="0A1128" w:color="auto" w:val="clear"/>
            <w:tcMar>
              <w:top w:type="dxa" w:w="80"/>
              <w:left w:type="dxa" w:w="100"/>
              <w:bottom w:type="dxa" w:w="80"/>
              <w:right w:type="dxa" w:w="100"/>
            </w:tcMar>
            <w:vAlign w:val="center"/>
          </w:tcPr>
          <w:p>
            <w:pPr>
              <w:jc w:val="left"/>
            </w:pPr>
            <w:r>
              <w:rPr>
                <w:b/>
                <w:bCs/>
                <w:color w:val="FFFFFF"/>
              </w:rPr>
              <w:t xml:space="preserve">Endpoint</w:t>
            </w:r>
          </w:p>
        </w:tc>
        <w:tc>
          <w:tcPr>
            <w:tcW w:type="dxa" w:w="1600"/>
            <w:shd w:fill="0A1128" w:color="auto" w:val="clear"/>
            <w:tcMar>
              <w:top w:type="dxa" w:w="80"/>
              <w:left w:type="dxa" w:w="100"/>
              <w:bottom w:type="dxa" w:w="80"/>
              <w:right w:type="dxa" w:w="100"/>
            </w:tcMar>
            <w:vAlign w:val="center"/>
          </w:tcPr>
          <w:p>
            <w:pPr>
              <w:jc w:val="left"/>
            </w:pPr>
            <w:r>
              <w:rPr>
                <w:b/>
                <w:bCs/>
                <w:color w:val="FFFFFF"/>
              </w:rPr>
              <w:t xml:space="preserve">Method</w:t>
            </w:r>
          </w:p>
        </w:tc>
        <w:tc>
          <w:tcPr>
            <w:tcW w:type="dxa" w:w="4560"/>
            <w:shd w:fill="0A1128" w:color="auto" w:val="clear"/>
            <w:tcMar>
              <w:top w:type="dxa" w:w="80"/>
              <w:left w:type="dxa" w:w="100"/>
              <w:bottom w:type="dxa" w:w="80"/>
              <w:right w:type="dxa" w:w="100"/>
            </w:tcMar>
            <w:vAlign w:val="center"/>
          </w:tcPr>
          <w:p>
            <w:pPr>
              <w:jc w:val="left"/>
            </w:pPr>
            <w:r>
              <w:rPr>
                <w:b/>
                <w:bCs/>
                <w:color w:val="FFFFFF"/>
              </w:rPr>
              <w:t xml:space="preserve">Purpose</w:t>
            </w:r>
          </w:p>
        </w:tc>
      </w:tr>
      <w:tr>
        <w:tc>
          <w:tcPr>
            <w:tcW w:type="dxa" w:w="3400"/>
            <w:tcMar>
              <w:top w:type="dxa" w:w="80"/>
              <w:left w:type="dxa" w:w="100"/>
              <w:bottom w:type="dxa" w:w="80"/>
              <w:right w:type="dxa" w:w="100"/>
            </w:tcMar>
            <w:vAlign w:val="center"/>
          </w:tcPr>
          <w:p>
            <w:pPr>
              <w:jc w:val="left"/>
            </w:pPr>
            <w:r>
              <w:rPr>
                <w:b w:val="false"/>
                <w:bCs w:val="false"/>
              </w:rPr>
              <w:t xml:space="preserve">/api/advisor/parse</w:t>
            </w:r>
          </w:p>
        </w:tc>
        <w:tc>
          <w:tcPr>
            <w:tcW w:type="dxa" w:w="1600"/>
            <w:tcMar>
              <w:top w:type="dxa" w:w="80"/>
              <w:left w:type="dxa" w:w="100"/>
              <w:bottom w:type="dxa" w:w="80"/>
              <w:right w:type="dxa" w:w="100"/>
            </w:tcMar>
            <w:vAlign w:val="center"/>
          </w:tcPr>
          <w:p>
            <w:pPr>
              <w:jc w:val="left"/>
            </w:pPr>
            <w:r>
              <w:rPr>
                <w:b w:val="false"/>
                <w:bCs w:val="false"/>
              </w:rPr>
              <w:t xml:space="preserve">POST</w:t>
            </w:r>
          </w:p>
        </w:tc>
        <w:tc>
          <w:tcPr>
            <w:tcW w:type="dxa" w:w="4560"/>
            <w:tcMar>
              <w:top w:type="dxa" w:w="80"/>
              <w:left w:type="dxa" w:w="100"/>
              <w:bottom w:type="dxa" w:w="80"/>
              <w:right w:type="dxa" w:w="100"/>
            </w:tcMar>
            <w:vAlign w:val="center"/>
          </w:tcPr>
          <w:p>
            <w:pPr>
              <w:jc w:val="left"/>
            </w:pPr>
            <w:r>
              <w:rPr>
                <w:b w:val="false"/>
                <w:bCs w:val="false"/>
              </w:rPr>
              <w:t xml:space="preserve">Natural language → structured search params</w:t>
            </w:r>
          </w:p>
        </w:tc>
      </w:tr>
      <w:tr>
        <w:tc>
          <w:tcPr>
            <w:tcW w:type="dxa" w:w="3400"/>
            <w:shd w:fill="F4F6FA" w:color="auto" w:val="clear"/>
            <w:tcMar>
              <w:top w:type="dxa" w:w="80"/>
              <w:left w:type="dxa" w:w="100"/>
              <w:bottom w:type="dxa" w:w="80"/>
              <w:right w:type="dxa" w:w="100"/>
            </w:tcMar>
            <w:vAlign w:val="center"/>
          </w:tcPr>
          <w:p>
            <w:pPr>
              <w:jc w:val="left"/>
            </w:pPr>
            <w:r>
              <w:rPr>
                <w:b w:val="false"/>
                <w:bCs w:val="false"/>
              </w:rPr>
              <w:t xml:space="preserve">/api/flights/search</w:t>
            </w:r>
          </w:p>
        </w:tc>
        <w:tc>
          <w:tcPr>
            <w:tcW w:type="dxa" w:w="1600"/>
            <w:shd w:fill="F4F6FA" w:color="auto" w:val="clear"/>
            <w:tcMar>
              <w:top w:type="dxa" w:w="80"/>
              <w:left w:type="dxa" w:w="100"/>
              <w:bottom w:type="dxa" w:w="80"/>
              <w:right w:type="dxa" w:w="100"/>
            </w:tcMar>
            <w:vAlign w:val="center"/>
          </w:tcPr>
          <w:p>
            <w:pPr>
              <w:jc w:val="left"/>
            </w:pPr>
            <w:r>
              <w:rPr>
                <w:b w:val="false"/>
                <w:bCs w:val="false"/>
              </w:rPr>
              <w:t xml:space="preserve">GET</w:t>
            </w:r>
          </w:p>
        </w:tc>
        <w:tc>
          <w:tcPr>
            <w:tcW w:type="dxa" w:w="4560"/>
            <w:shd w:fill="F4F6FA" w:color="auto" w:val="clear"/>
            <w:tcMar>
              <w:top w:type="dxa" w:w="80"/>
              <w:left w:type="dxa" w:w="100"/>
              <w:bottom w:type="dxa" w:w="80"/>
              <w:right w:type="dxa" w:w="100"/>
            </w:tcMar>
            <w:vAlign w:val="center"/>
          </w:tcPr>
          <w:p>
            <w:pPr>
              <w:jc w:val="left"/>
            </w:pPr>
            <w:r>
              <w:rPr>
                <w:b w:val="false"/>
                <w:bCs w:val="false"/>
              </w:rPr>
              <w:t xml:space="preserve">Ranked flight offers with full fee breakdown</w:t>
            </w:r>
          </w:p>
        </w:tc>
      </w:tr>
      <w:tr>
        <w:tc>
          <w:tcPr>
            <w:tcW w:type="dxa" w:w="3400"/>
            <w:tcMar>
              <w:top w:type="dxa" w:w="80"/>
              <w:left w:type="dxa" w:w="100"/>
              <w:bottom w:type="dxa" w:w="80"/>
              <w:right w:type="dxa" w:w="100"/>
            </w:tcMar>
            <w:vAlign w:val="center"/>
          </w:tcPr>
          <w:p>
            <w:pPr>
              <w:jc w:val="left"/>
            </w:pPr>
            <w:r>
              <w:rPr>
                <w:b w:val="false"/>
                <w:bCs w:val="false"/>
              </w:rPr>
              <w:t xml:space="preserve">/api/bookings</w:t>
            </w:r>
          </w:p>
        </w:tc>
        <w:tc>
          <w:tcPr>
            <w:tcW w:type="dxa" w:w="1600"/>
            <w:tcMar>
              <w:top w:type="dxa" w:w="80"/>
              <w:left w:type="dxa" w:w="100"/>
              <w:bottom w:type="dxa" w:w="80"/>
              <w:right w:type="dxa" w:w="100"/>
            </w:tcMar>
            <w:vAlign w:val="center"/>
          </w:tcPr>
          <w:p>
            <w:pPr>
              <w:jc w:val="left"/>
            </w:pPr>
            <w:r>
              <w:rPr>
                <w:b w:val="false"/>
                <w:bCs w:val="false"/>
              </w:rPr>
              <w:t xml:space="preserve">POST</w:t>
            </w:r>
          </w:p>
        </w:tc>
        <w:tc>
          <w:tcPr>
            <w:tcW w:type="dxa" w:w="4560"/>
            <w:tcMar>
              <w:top w:type="dxa" w:w="80"/>
              <w:left w:type="dxa" w:w="100"/>
              <w:bottom w:type="dxa" w:w="80"/>
              <w:right w:type="dxa" w:w="100"/>
            </w:tcMar>
            <w:vAlign w:val="center"/>
          </w:tcPr>
          <w:p>
            <w:pPr>
              <w:jc w:val="left"/>
            </w:pPr>
            <w:r>
              <w:rPr>
                <w:b w:val="false"/>
                <w:bCs w:val="false"/>
              </w:rPr>
              <w:t xml:space="preserve">Create a booking, get a Paystack payment link</w:t>
            </w:r>
          </w:p>
        </w:tc>
      </w:tr>
      <w:tr>
        <w:tc>
          <w:tcPr>
            <w:tcW w:type="dxa" w:w="3400"/>
            <w:shd w:fill="F4F6FA" w:color="auto" w:val="clear"/>
            <w:tcMar>
              <w:top w:type="dxa" w:w="80"/>
              <w:left w:type="dxa" w:w="100"/>
              <w:bottom w:type="dxa" w:w="80"/>
              <w:right w:type="dxa" w:w="100"/>
            </w:tcMar>
            <w:vAlign w:val="center"/>
          </w:tcPr>
          <w:p>
            <w:pPr>
              <w:jc w:val="left"/>
            </w:pPr>
            <w:r>
              <w:rPr>
                <w:b w:val="false"/>
                <w:bCs w:val="false"/>
              </w:rPr>
              <w:t xml:space="preserve">/api/auth/request-otp</w:t>
            </w:r>
          </w:p>
        </w:tc>
        <w:tc>
          <w:tcPr>
            <w:tcW w:type="dxa" w:w="1600"/>
            <w:shd w:fill="F4F6FA" w:color="auto" w:val="clear"/>
            <w:tcMar>
              <w:top w:type="dxa" w:w="80"/>
              <w:left w:type="dxa" w:w="100"/>
              <w:bottom w:type="dxa" w:w="80"/>
              <w:right w:type="dxa" w:w="100"/>
            </w:tcMar>
            <w:vAlign w:val="center"/>
          </w:tcPr>
          <w:p>
            <w:pPr>
              <w:jc w:val="left"/>
            </w:pPr>
            <w:r>
              <w:rPr>
                <w:b w:val="false"/>
                <w:bCs w:val="false"/>
              </w:rPr>
              <w:t xml:space="preserve">POST</w:t>
            </w:r>
          </w:p>
        </w:tc>
        <w:tc>
          <w:tcPr>
            <w:tcW w:type="dxa" w:w="4560"/>
            <w:shd w:fill="F4F6FA" w:color="auto" w:val="clear"/>
            <w:tcMar>
              <w:top w:type="dxa" w:w="80"/>
              <w:left w:type="dxa" w:w="100"/>
              <w:bottom w:type="dxa" w:w="80"/>
              <w:right w:type="dxa" w:w="100"/>
            </w:tcMar>
            <w:vAlign w:val="center"/>
          </w:tcPr>
          <w:p>
            <w:pPr>
              <w:jc w:val="left"/>
            </w:pPr>
            <w:r>
              <w:rPr>
                <w:b w:val="false"/>
                <w:bCs w:val="false"/>
              </w:rPr>
              <w:t xml:space="preserve">Send a phone OTP (stubbed)</w:t>
            </w:r>
          </w:p>
        </w:tc>
      </w:tr>
      <w:tr>
        <w:tc>
          <w:tcPr>
            <w:tcW w:type="dxa" w:w="3400"/>
            <w:tcMar>
              <w:top w:type="dxa" w:w="80"/>
              <w:left w:type="dxa" w:w="100"/>
              <w:bottom w:type="dxa" w:w="80"/>
              <w:right w:type="dxa" w:w="100"/>
            </w:tcMar>
            <w:vAlign w:val="center"/>
          </w:tcPr>
          <w:p>
            <w:pPr>
              <w:jc w:val="left"/>
            </w:pPr>
            <w:r>
              <w:rPr>
                <w:b w:val="false"/>
                <w:bCs w:val="false"/>
              </w:rPr>
              <w:t xml:space="preserve">/api/auth/verify-otp</w:t>
            </w:r>
          </w:p>
        </w:tc>
        <w:tc>
          <w:tcPr>
            <w:tcW w:type="dxa" w:w="1600"/>
            <w:tcMar>
              <w:top w:type="dxa" w:w="80"/>
              <w:left w:type="dxa" w:w="100"/>
              <w:bottom w:type="dxa" w:w="80"/>
              <w:right w:type="dxa" w:w="100"/>
            </w:tcMar>
            <w:vAlign w:val="center"/>
          </w:tcPr>
          <w:p>
            <w:pPr>
              <w:jc w:val="left"/>
            </w:pPr>
            <w:r>
              <w:rPr>
                <w:b w:val="false"/>
                <w:bCs w:val="false"/>
              </w:rPr>
              <w:t xml:space="preserve">POST</w:t>
            </w:r>
          </w:p>
        </w:tc>
        <w:tc>
          <w:tcPr>
            <w:tcW w:type="dxa" w:w="4560"/>
            <w:tcMar>
              <w:top w:type="dxa" w:w="80"/>
              <w:left w:type="dxa" w:w="100"/>
              <w:bottom w:type="dxa" w:w="80"/>
              <w:right w:type="dxa" w:w="100"/>
            </w:tcMar>
            <w:vAlign w:val="center"/>
          </w:tcPr>
          <w:p>
            <w:pPr>
              <w:jc w:val="left"/>
            </w:pPr>
            <w:r>
              <w:rPr>
                <w:b w:val="false"/>
                <w:bCs w:val="false"/>
              </w:rPr>
              <w:t xml:space="preserve">Verify OTP, get a session token (stubbed)</w:t>
            </w:r>
          </w:p>
        </w:tc>
      </w:tr>
    </w:tbl>
    <w:p>
      <w:pPr>
        <w:pStyle w:val="Heading2"/>
        <w:spacing w:after="150" w:before="300"/>
      </w:pPr>
      <w:r>
        <w:t xml:space="preserve">3.3 Local setup</w:t>
      </w:r>
    </w:p>
    <w:p>
      <w:pPr>
        <w:spacing w:after="160"/>
      </w:pPr>
      <w:r>
        <w:t xml:space="preserve">Dev 2 (backend) runs first — Dev 1 depends on it:</w:t>
      </w:r>
    </w:p>
    <w:p>
      <w:pPr>
        <w:spacing w:after="160"/>
      </w:pPr>
      <w:r>
        <w:rPr>
          <w:rFonts w:ascii="Consolas" w:cs="Consolas" w:eastAsia="Consolas" w:hAnsi="Consolas"/>
          <w:sz w:val="18"/>
          <w:szCs w:val="18"/>
        </w:rPr>
        <w:t xml:space="preserve">cd synqedair-backend &amp;&amp; npm install &amp;&amp; cp .env.example .env  (fill in real keys)  &amp;&amp; npm run dev  → http://localhost:4000</w:t>
      </w:r>
    </w:p>
    <w:p>
      <w:pPr>
        <w:spacing w:after="160"/>
      </w:pPr>
      <w:r>
        <w:t xml:space="preserve">Dev 1 (Flutter):</w:t>
      </w:r>
    </w:p>
    <w:p>
      <w:pPr>
        <w:spacing w:after="160"/>
      </w:pPr>
      <w:r>
        <w:rPr>
          <w:rFonts w:ascii="Consolas" w:cs="Consolas" w:eastAsia="Consolas" w:hAnsi="Consolas"/>
          <w:sz w:val="18"/>
          <w:szCs w:val="18"/>
        </w:rPr>
        <w:t xml:space="preserve">cd synqedair_flutter &amp;&amp; flutter pub get &amp;&amp; flutter run --dartdefine=API_BASE_URL=http://localhost:4000</w:t>
      </w:r>
    </w:p>
    <w:p>
      <w:pPr>
        <w:spacing w:after="160"/>
      </w:pPr>
      <w:r>
        <w:t xml:space="preserve">If Dev 1 is on a physical device, localhost won't reach a backend running on Dev 2's machine — point API_BASE_URL at a shared dev server or a tunnel (ngrok or similar) once past day-one local testing.</w:t>
      </w:r>
    </w:p>
    <w:p>
      <w:pPr>
        <w:pStyle w:val="Heading1"/>
        <w:spacing w:after="200" w:before="400"/>
      </w:pPr>
      <w:r>
        <w:t xml:space="preserve">4. Team &amp; Roles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6960"/>
      </w:tblGrid>
      <w:tr>
        <w:trPr>
          <w:tblHeader/>
        </w:trPr>
        <w:tc>
          <w:tcPr>
            <w:tcW w:type="dxa" w:w="2600"/>
            <w:shd w:fill="0A1128" w:color="auto" w:val="clear"/>
            <w:tcMar>
              <w:top w:type="dxa" w:w="80"/>
              <w:left w:type="dxa" w:w="100"/>
              <w:bottom w:type="dxa" w:w="80"/>
              <w:right w:type="dxa" w:w="100"/>
            </w:tcMar>
            <w:vAlign w:val="center"/>
          </w:tcPr>
          <w:p>
            <w:pPr>
              <w:jc w:val="left"/>
            </w:pPr>
            <w:r>
              <w:rPr>
                <w:b/>
                <w:bCs/>
                <w:color w:val="FFFFFF"/>
              </w:rPr>
              <w:t xml:space="preserve">Role</w:t>
            </w:r>
          </w:p>
        </w:tc>
        <w:tc>
          <w:tcPr>
            <w:tcW w:type="dxa" w:w="6960"/>
            <w:shd w:fill="0A1128" w:color="auto" w:val="clear"/>
            <w:tcMar>
              <w:top w:type="dxa" w:w="80"/>
              <w:left w:type="dxa" w:w="100"/>
              <w:bottom w:type="dxa" w:w="80"/>
              <w:right w:type="dxa" w:w="100"/>
            </w:tcMar>
            <w:vAlign w:val="center"/>
          </w:tcPr>
          <w:p>
            <w:pPr>
              <w:jc w:val="left"/>
            </w:pPr>
            <w:r>
              <w:rPr>
                <w:b/>
                <w:bCs/>
                <w:color w:val="FFFFFF"/>
              </w:rPr>
              <w:t xml:space="preserve">Owns</w:t>
            </w:r>
          </w:p>
        </w:tc>
      </w:tr>
      <w:tr>
        <w:tc>
          <w:tcPr>
            <w:tcW w:type="dxa" w:w="2600"/>
            <w:tcMar>
              <w:top w:type="dxa" w:w="80"/>
              <w:left w:type="dxa" w:w="100"/>
              <w:bottom w:type="dxa" w:w="80"/>
              <w:right w:type="dxa" w:w="100"/>
            </w:tcMar>
            <w:vAlign w:val="center"/>
          </w:tcPr>
          <w:p>
            <w:pPr>
              <w:jc w:val="left"/>
            </w:pPr>
            <w:r>
              <w:rPr>
                <w:b w:val="false"/>
                <w:bCs w:val="false"/>
              </w:rPr>
              <w:t xml:space="preserve">Co-founder (Chuzzy)</w:t>
            </w:r>
          </w:p>
        </w:tc>
        <w:tc>
          <w:tcPr>
            <w:tcW w:type="dxa" w:w="6960"/>
            <w:tcMar>
              <w:top w:type="dxa" w:w="80"/>
              <w:left w:type="dxa" w:w="100"/>
              <w:bottom w:type="dxa" w:w="80"/>
              <w:right w:type="dxa" w:w="100"/>
            </w:tcMar>
            <w:vAlign w:val="center"/>
          </w:tcPr>
          <w:p>
            <w:pPr>
              <w:jc w:val="left"/>
            </w:pPr>
            <w:r>
              <w:rPr>
                <w:b w:val="false"/>
                <w:bCs w:val="false"/>
              </w:rPr>
              <w:t xml:space="preserve">Vendor/payment-provider KYC signoff, partnerships, PR relationships, content (Substack/LinkedIn), final QA approval, budget</w:t>
            </w:r>
          </w:p>
        </w:tc>
      </w:tr>
      <w:tr>
        <w:tc>
          <w:tcPr>
            <w:tcW w:type="dxa" w:w="2600"/>
            <w:shd w:fill="F4F6FA" w:color="auto" w:val="clear"/>
            <w:tcMar>
              <w:top w:type="dxa" w:w="80"/>
              <w:left w:type="dxa" w:w="100"/>
              <w:bottom w:type="dxa" w:w="80"/>
              <w:right w:type="dxa" w:w="100"/>
            </w:tcMar>
            <w:vAlign w:val="center"/>
          </w:tcPr>
          <w:p>
            <w:pPr>
              <w:jc w:val="left"/>
            </w:pPr>
            <w:r>
              <w:rPr>
                <w:b w:val="false"/>
                <w:bCs w:val="false"/>
              </w:rPr>
              <w:t xml:space="preserve">App Designer</w:t>
            </w:r>
          </w:p>
        </w:tc>
        <w:tc>
          <w:tcPr>
            <w:tcW w:type="dxa" w:w="6960"/>
            <w:shd w:fill="F4F6FA" w:color="auto" w:val="clear"/>
            <w:tcMar>
              <w:top w:type="dxa" w:w="80"/>
              <w:left w:type="dxa" w:w="100"/>
              <w:bottom w:type="dxa" w:w="80"/>
              <w:right w:type="dxa" w:w="100"/>
            </w:tcMar>
            <w:vAlign w:val="center"/>
          </w:tcPr>
          <w:p>
            <w:pPr>
              <w:jc w:val="left"/>
            </w:pPr>
            <w:r>
              <w:rPr>
                <w:b w:val="false"/>
                <w:bCs w:val="false"/>
              </w:rPr>
              <w:t xml:space="preserve">Design system (deep space-indigo direction), all app screens, App Store/Play Store assets, launch site, press kit visuals</w:t>
            </w:r>
          </w:p>
        </w:tc>
      </w:tr>
      <w:tr>
        <w:tc>
          <w:tcPr>
            <w:tcW w:type="dxa" w:w="2600"/>
            <w:tcMar>
              <w:top w:type="dxa" w:w="80"/>
              <w:left w:type="dxa" w:w="100"/>
              <w:bottom w:type="dxa" w:w="80"/>
              <w:right w:type="dxa" w:w="100"/>
            </w:tcMar>
            <w:vAlign w:val="center"/>
          </w:tcPr>
          <w:p>
            <w:pPr>
              <w:jc w:val="left"/>
            </w:pPr>
            <w:r>
              <w:rPr>
                <w:b w:val="false"/>
                <w:bCs w:val="false"/>
              </w:rPr>
              <w:t xml:space="preserve">Dev 1 — Mobile lead</w:t>
            </w:r>
          </w:p>
        </w:tc>
        <w:tc>
          <w:tcPr>
            <w:tcW w:type="dxa" w:w="6960"/>
            <w:tcMar>
              <w:top w:type="dxa" w:w="80"/>
              <w:left w:type="dxa" w:w="100"/>
              <w:bottom w:type="dxa" w:w="80"/>
              <w:right w:type="dxa" w:w="100"/>
            </w:tcMar>
            <w:vAlign w:val="center"/>
          </w:tcPr>
          <w:p>
            <w:pPr>
              <w:jc w:val="left"/>
            </w:pPr>
            <w:r>
              <w:rPr>
                <w:b w:val="false"/>
                <w:bCs w:val="false"/>
              </w:rPr>
              <w:t xml:space="preserve">Flutter app, AI advisor UI/interactions, navigation, state management</w:t>
            </w:r>
          </w:p>
        </w:tc>
      </w:tr>
      <w:tr>
        <w:tc>
          <w:tcPr>
            <w:tcW w:type="dxa" w:w="2600"/>
            <w:shd w:fill="F4F6FA" w:color="auto" w:val="clear"/>
            <w:tcMar>
              <w:top w:type="dxa" w:w="80"/>
              <w:left w:type="dxa" w:w="100"/>
              <w:bottom w:type="dxa" w:w="80"/>
              <w:right w:type="dxa" w:w="100"/>
            </w:tcMar>
            <w:vAlign w:val="center"/>
          </w:tcPr>
          <w:p>
            <w:pPr>
              <w:jc w:val="left"/>
            </w:pPr>
            <w:r>
              <w:rPr>
                <w:b w:val="false"/>
                <w:bCs w:val="false"/>
              </w:rPr>
              <w:t xml:space="preserve">Dev 2 — Backend lead</w:t>
            </w:r>
          </w:p>
        </w:tc>
        <w:tc>
          <w:tcPr>
            <w:tcW w:type="dxa" w:w="6960"/>
            <w:shd w:fill="F4F6FA" w:color="auto" w:val="clear"/>
            <w:tcMar>
              <w:top w:type="dxa" w:w="80"/>
              <w:left w:type="dxa" w:w="100"/>
              <w:bottom w:type="dxa" w:w="80"/>
              <w:right w:type="dxa" w:w="100"/>
            </w:tcMar>
            <w:vAlign w:val="center"/>
          </w:tcPr>
          <w:p>
            <w:pPr>
              <w:jc w:val="left"/>
            </w:pPr>
            <w:r>
              <w:rPr>
                <w:b w:val="false"/>
                <w:bCs w:val="false"/>
              </w:rPr>
              <w:t xml:space="preserve">Node.js API, flight aggregator integration, payment integration, AI orchestration (Claude API calls), infra/CI-CD</w:t>
            </w:r>
          </w:p>
        </w:tc>
      </w:tr>
    </w:tbl>
    <w:p>
      <w:pPr>
        <w:spacing w:after="160"/>
      </w:pPr>
      <w:r>
        <w:t xml:space="preserve">Both devs are full-stack, so they can pair or cover each other during crunch weeks — but each keeps a primary lane so nothing gets duplicated or dropped.</w:t>
      </w:r>
    </w:p>
    <w:p>
      <w:pPr>
        <w:spacing w:after="160"/>
      </w:pPr>
      <w:r>
        <w:rPr>
          <w:b/>
          <w:bCs/>
        </w:rPr>
        <w:t xml:space="preserve">Note: </w:t>
      </w:r>
      <w:r>
        <w:t xml:space="preserve">the Team Budget &amp; PR Plan still lists Dev 1's lane as “React Native app,” while the Engineering Build Brief correctly specifies Flutter. This should be corrected in the Team Plan before week 1 to avoid confusion.</w:t>
      </w:r>
    </w:p>
    <w:p>
      <w:pPr>
        <w:pStyle w:val="Heading1"/>
        <w:spacing w:after="200" w:before="400"/>
      </w:pPr>
      <w:r>
        <w:t xml:space="preserve">5. Budget</w:t>
      </w:r>
    </w:p>
    <w:p>
      <w:pPr>
        <w:pStyle w:val="Heading2"/>
        <w:spacing w:after="150" w:before="300"/>
      </w:pPr>
      <w:r>
        <w:t xml:space="preserve">5.1 One-time setup</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6000"/>
        <w:gridCol w:w="3560"/>
      </w:tblGrid>
      <w:tr>
        <w:trPr>
          <w:tblHeader/>
        </w:trPr>
        <w:tc>
          <w:tcPr>
            <w:tcW w:type="dxa" w:w="6000"/>
            <w:shd w:fill="0A1128" w:color="auto" w:val="clear"/>
            <w:tcMar>
              <w:top w:type="dxa" w:w="80"/>
              <w:left w:type="dxa" w:w="100"/>
              <w:bottom w:type="dxa" w:w="80"/>
              <w:right w:type="dxa" w:w="100"/>
            </w:tcMar>
            <w:vAlign w:val="center"/>
          </w:tcPr>
          <w:p>
            <w:pPr>
              <w:jc w:val="left"/>
            </w:pPr>
            <w:r>
              <w:rPr>
                <w:b/>
                <w:bCs/>
                <w:color w:val="FFFFFF"/>
              </w:rPr>
              <w:t xml:space="preserve">Item</w:t>
            </w:r>
          </w:p>
        </w:tc>
        <w:tc>
          <w:tcPr>
            <w:tcW w:type="dxa" w:w="3560"/>
            <w:shd w:fill="0A1128" w:color="auto" w:val="clear"/>
            <w:tcMar>
              <w:top w:type="dxa" w:w="80"/>
              <w:left w:type="dxa" w:w="100"/>
              <w:bottom w:type="dxa" w:w="80"/>
              <w:right w:type="dxa" w:w="100"/>
            </w:tcMar>
            <w:vAlign w:val="center"/>
          </w:tcPr>
          <w:p>
            <w:pPr>
              <w:jc w:val="left"/>
            </w:pPr>
            <w:r>
              <w:rPr>
                <w:b/>
                <w:bCs/>
                <w:color w:val="FFFFFF"/>
              </w:rPr>
              <w:t xml:space="preserve">Cost</w:t>
            </w:r>
          </w:p>
        </w:tc>
      </w:tr>
      <w:tr>
        <w:tc>
          <w:tcPr>
            <w:tcW w:type="dxa" w:w="6000"/>
            <w:tcMar>
              <w:top w:type="dxa" w:w="80"/>
              <w:left w:type="dxa" w:w="100"/>
              <w:bottom w:type="dxa" w:w="80"/>
              <w:right w:type="dxa" w:w="100"/>
            </w:tcMar>
            <w:vAlign w:val="center"/>
          </w:tcPr>
          <w:p>
            <w:pPr>
              <w:jc w:val="left"/>
            </w:pPr>
            <w:r>
              <w:rPr>
                <w:b w:val="false"/>
                <w:bCs w:val="false"/>
              </w:rPr>
              <w:t xml:space="preserve">Apple Developer Program</w:t>
            </w:r>
          </w:p>
        </w:tc>
        <w:tc>
          <w:tcPr>
            <w:tcW w:type="dxa" w:w="3560"/>
            <w:tcMar>
              <w:top w:type="dxa" w:w="80"/>
              <w:left w:type="dxa" w:w="100"/>
              <w:bottom w:type="dxa" w:w="80"/>
              <w:right w:type="dxa" w:w="100"/>
            </w:tcMar>
            <w:vAlign w:val="center"/>
          </w:tcPr>
          <w:p>
            <w:pPr>
              <w:jc w:val="left"/>
            </w:pPr>
            <w:r>
              <w:rPr>
                <w:b w:val="false"/>
                <w:bCs w:val="false"/>
              </w:rPr>
              <w:t xml:space="preserve">$99/year</w:t>
            </w:r>
          </w:p>
        </w:tc>
      </w:tr>
      <w:tr>
        <w:tc>
          <w:tcPr>
            <w:tcW w:type="dxa" w:w="6000"/>
            <w:shd w:fill="F4F6FA" w:color="auto" w:val="clear"/>
            <w:tcMar>
              <w:top w:type="dxa" w:w="80"/>
              <w:left w:type="dxa" w:w="100"/>
              <w:bottom w:type="dxa" w:w="80"/>
              <w:right w:type="dxa" w:w="100"/>
            </w:tcMar>
            <w:vAlign w:val="center"/>
          </w:tcPr>
          <w:p>
            <w:pPr>
              <w:jc w:val="left"/>
            </w:pPr>
            <w:r>
              <w:rPr>
                <w:b w:val="false"/>
                <w:bCs w:val="false"/>
              </w:rPr>
              <w:t xml:space="preserve">Google Play Developer account</w:t>
            </w:r>
          </w:p>
        </w:tc>
        <w:tc>
          <w:tcPr>
            <w:tcW w:type="dxa" w:w="3560"/>
            <w:shd w:fill="F4F6FA" w:color="auto" w:val="clear"/>
            <w:tcMar>
              <w:top w:type="dxa" w:w="80"/>
              <w:left w:type="dxa" w:w="100"/>
              <w:bottom w:type="dxa" w:w="80"/>
              <w:right w:type="dxa" w:w="100"/>
            </w:tcMar>
            <w:vAlign w:val="center"/>
          </w:tcPr>
          <w:p>
            <w:pPr>
              <w:jc w:val="left"/>
            </w:pPr>
            <w:r>
              <w:rPr>
                <w:b w:val="false"/>
                <w:bCs w:val="false"/>
              </w:rPr>
              <w:t xml:space="preserve">$25 one-time</w:t>
            </w:r>
          </w:p>
        </w:tc>
      </w:tr>
      <w:tr>
        <w:tc>
          <w:tcPr>
            <w:tcW w:type="dxa" w:w="6000"/>
            <w:tcMar>
              <w:top w:type="dxa" w:w="80"/>
              <w:left w:type="dxa" w:w="100"/>
              <w:bottom w:type="dxa" w:w="80"/>
              <w:right w:type="dxa" w:w="100"/>
            </w:tcMar>
            <w:vAlign w:val="center"/>
          </w:tcPr>
          <w:p>
            <w:pPr>
              <w:jc w:val="left"/>
            </w:pPr>
            <w:r>
              <w:rPr>
                <w:b w:val="false"/>
                <w:bCs w:val="false"/>
              </w:rPr>
              <w:t xml:space="preserve">Domain (synqedair.com or similar)</w:t>
            </w:r>
          </w:p>
        </w:tc>
        <w:tc>
          <w:tcPr>
            <w:tcW w:type="dxa" w:w="3560"/>
            <w:tcMar>
              <w:top w:type="dxa" w:w="80"/>
              <w:left w:type="dxa" w:w="100"/>
              <w:bottom w:type="dxa" w:w="80"/>
              <w:right w:type="dxa" w:w="100"/>
            </w:tcMar>
            <w:vAlign w:val="center"/>
          </w:tcPr>
          <w:p>
            <w:pPr>
              <w:jc w:val="left"/>
            </w:pPr>
            <w:r>
              <w:rPr>
                <w:b w:val="false"/>
                <w:bCs w:val="false"/>
              </w:rPr>
              <w:t xml:space="preserve">~$15–$30/year</w:t>
            </w:r>
          </w:p>
        </w:tc>
      </w:tr>
    </w:tbl>
    <w:p>
      <w:pPr>
        <w:pStyle w:val="Heading2"/>
        <w:spacing w:after="150" w:before="300"/>
      </w:pPr>
      <w:r>
        <w:t xml:space="preserve">5.2 Recurring — build phase (Sept–Dec)</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760"/>
      </w:tblGrid>
      <w:tr>
        <w:trPr>
          <w:tblHeader/>
        </w:trPr>
        <w:tc>
          <w:tcPr>
            <w:tcW w:type="dxa" w:w="3600"/>
            <w:shd w:fill="0A1128" w:color="auto" w:val="clear"/>
            <w:tcMar>
              <w:top w:type="dxa" w:w="80"/>
              <w:left w:type="dxa" w:w="100"/>
              <w:bottom w:type="dxa" w:w="80"/>
              <w:right w:type="dxa" w:w="100"/>
            </w:tcMar>
            <w:vAlign w:val="center"/>
          </w:tcPr>
          <w:p>
            <w:pPr>
              <w:jc w:val="left"/>
            </w:pPr>
            <w:r>
              <w:rPr>
                <w:b/>
                <w:bCs/>
                <w:color w:val="FFFFFF"/>
              </w:rPr>
              <w:t xml:space="preserve">Item</w:t>
            </w:r>
          </w:p>
        </w:tc>
        <w:tc>
          <w:tcPr>
            <w:tcW w:type="dxa" w:w="2200"/>
            <w:shd w:fill="0A1128" w:color="auto" w:val="clear"/>
            <w:tcMar>
              <w:top w:type="dxa" w:w="80"/>
              <w:left w:type="dxa" w:w="100"/>
              <w:bottom w:type="dxa" w:w="80"/>
              <w:right w:type="dxa" w:w="100"/>
            </w:tcMar>
            <w:vAlign w:val="center"/>
          </w:tcPr>
          <w:p>
            <w:pPr>
              <w:jc w:val="left"/>
            </w:pPr>
            <w:r>
              <w:rPr>
                <w:b/>
                <w:bCs/>
                <w:color w:val="FFFFFF"/>
              </w:rPr>
              <w:t xml:space="preserve">Est. monthly cost</w:t>
            </w:r>
          </w:p>
        </w:tc>
        <w:tc>
          <w:tcPr>
            <w:tcW w:type="dxa" w:w="3760"/>
            <w:shd w:fill="0A1128" w:color="auto" w:val="clear"/>
            <w:tcMar>
              <w:top w:type="dxa" w:w="80"/>
              <w:left w:type="dxa" w:w="100"/>
              <w:bottom w:type="dxa" w:w="80"/>
              <w:right w:type="dxa" w:w="100"/>
            </w:tcMar>
            <w:vAlign w:val="center"/>
          </w:tcPr>
          <w:p>
            <w:pPr>
              <w:jc w:val="left"/>
            </w:pPr>
            <w:r>
              <w:rPr>
                <w:b/>
                <w:bCs/>
                <w:color w:val="FFFFFF"/>
              </w:rPr>
              <w:t xml:space="preserve">Notes</w:t>
            </w:r>
          </w:p>
        </w:tc>
      </w:tr>
      <w:tr>
        <w:tc>
          <w:tcPr>
            <w:tcW w:type="dxa" w:w="3600"/>
            <w:tcMar>
              <w:top w:type="dxa" w:w="80"/>
              <w:left w:type="dxa" w:w="100"/>
              <w:bottom w:type="dxa" w:w="80"/>
              <w:right w:type="dxa" w:w="100"/>
            </w:tcMar>
            <w:vAlign w:val="center"/>
          </w:tcPr>
          <w:p>
            <w:pPr>
              <w:jc w:val="left"/>
            </w:pPr>
            <w:r>
              <w:rPr>
                <w:b w:val="false"/>
                <w:bCs w:val="false"/>
              </w:rPr>
              <w:t xml:space="preserve">Hosting/infra (Railway, Render, or AWS)</w:t>
            </w:r>
          </w:p>
        </w:tc>
        <w:tc>
          <w:tcPr>
            <w:tcW w:type="dxa" w:w="2200"/>
            <w:tcMar>
              <w:top w:type="dxa" w:w="80"/>
              <w:left w:type="dxa" w:w="100"/>
              <w:bottom w:type="dxa" w:w="80"/>
              <w:right w:type="dxa" w:w="100"/>
            </w:tcMar>
            <w:vAlign w:val="center"/>
          </w:tcPr>
          <w:p>
            <w:pPr>
              <w:jc w:val="left"/>
            </w:pPr>
            <w:r>
              <w:rPr>
                <w:b w:val="false"/>
                <w:bCs w:val="false"/>
              </w:rPr>
              <w:t xml:space="preserve">$50–150</w:t>
            </w:r>
          </w:p>
        </w:tc>
        <w:tc>
          <w:tcPr>
            <w:tcW w:type="dxa" w:w="3760"/>
            <w:tcMar>
              <w:top w:type="dxa" w:w="80"/>
              <w:left w:type="dxa" w:w="100"/>
              <w:bottom w:type="dxa" w:w="80"/>
              <w:right w:type="dxa" w:w="100"/>
            </w:tcMar>
            <w:vAlign w:val="center"/>
          </w:tcPr>
          <w:p>
            <w:pPr>
              <w:jc w:val="left"/>
            </w:pPr>
            <w:r>
              <w:rPr>
                <w:b w:val="false"/>
                <w:bCs w:val="false"/>
              </w:rPr>
              <w:t xml:space="preserve">Staging + dev environments</w:t>
            </w:r>
          </w:p>
        </w:tc>
      </w:tr>
      <w:tr>
        <w:tc>
          <w:tcPr>
            <w:tcW w:type="dxa" w:w="3600"/>
            <w:shd w:fill="F4F6FA" w:color="auto" w:val="clear"/>
            <w:tcMar>
              <w:top w:type="dxa" w:w="80"/>
              <w:left w:type="dxa" w:w="100"/>
              <w:bottom w:type="dxa" w:w="80"/>
              <w:right w:type="dxa" w:w="100"/>
            </w:tcMar>
            <w:vAlign w:val="center"/>
          </w:tcPr>
          <w:p>
            <w:pPr>
              <w:jc w:val="left"/>
            </w:pPr>
            <w:r>
              <w:rPr>
                <w:b w:val="false"/>
                <w:bCs w:val="false"/>
              </w:rPr>
              <w:t xml:space="preserve">Claude API (AI advisor, build/test traffic)</w:t>
            </w:r>
          </w:p>
        </w:tc>
        <w:tc>
          <w:tcPr>
            <w:tcW w:type="dxa" w:w="2200"/>
            <w:shd w:fill="F4F6FA" w:color="auto" w:val="clear"/>
            <w:tcMar>
              <w:top w:type="dxa" w:w="80"/>
              <w:left w:type="dxa" w:w="100"/>
              <w:bottom w:type="dxa" w:w="80"/>
              <w:right w:type="dxa" w:w="100"/>
            </w:tcMar>
            <w:vAlign w:val="center"/>
          </w:tcPr>
          <w:p>
            <w:pPr>
              <w:jc w:val="left"/>
            </w:pPr>
            <w:r>
              <w:rPr>
                <w:b w:val="false"/>
                <w:bCs w:val="false"/>
              </w:rPr>
              <w:t xml:space="preserve">$50–150</w:t>
            </w:r>
          </w:p>
        </w:tc>
        <w:tc>
          <w:tcPr>
            <w:tcW w:type="dxa" w:w="3760"/>
            <w:shd w:fill="F4F6FA" w:color="auto" w:val="clear"/>
            <w:tcMar>
              <w:top w:type="dxa" w:w="80"/>
              <w:left w:type="dxa" w:w="100"/>
              <w:bottom w:type="dxa" w:w="80"/>
              <w:right w:type="dxa" w:w="100"/>
            </w:tcMar>
            <w:vAlign w:val="center"/>
          </w:tcPr>
          <w:p>
            <w:pPr>
              <w:jc w:val="left"/>
            </w:pPr>
            <w:r>
              <w:rPr>
                <w:b w:val="false"/>
                <w:bCs w:val="false"/>
              </w:rPr>
              <w:t xml:space="preserve">Usage-based; check current rates before locking in a number</w:t>
            </w:r>
          </w:p>
        </w:tc>
      </w:tr>
      <w:tr>
        <w:tc>
          <w:tcPr>
            <w:tcW w:type="dxa" w:w="3600"/>
            <w:tcMar>
              <w:top w:type="dxa" w:w="80"/>
              <w:left w:type="dxa" w:w="100"/>
              <w:bottom w:type="dxa" w:w="80"/>
              <w:right w:type="dxa" w:w="100"/>
            </w:tcMar>
            <w:vAlign w:val="center"/>
          </w:tcPr>
          <w:p>
            <w:pPr>
              <w:jc w:val="left"/>
            </w:pPr>
            <w:r>
              <w:rPr>
                <w:b w:val="false"/>
                <w:bCs w:val="false"/>
              </w:rPr>
              <w:t xml:space="preserve">Figma</w:t>
            </w:r>
          </w:p>
        </w:tc>
        <w:tc>
          <w:tcPr>
            <w:tcW w:type="dxa" w:w="2200"/>
            <w:tcMar>
              <w:top w:type="dxa" w:w="80"/>
              <w:left w:type="dxa" w:w="100"/>
              <w:bottom w:type="dxa" w:w="80"/>
              <w:right w:type="dxa" w:w="100"/>
            </w:tcMar>
            <w:vAlign w:val="center"/>
          </w:tcPr>
          <w:p>
            <w:pPr>
              <w:jc w:val="left"/>
            </w:pPr>
            <w:r>
              <w:rPr>
                <w:b w:val="false"/>
                <w:bCs w:val="false"/>
              </w:rPr>
              <w:t xml:space="preserve">~$15/editor</w:t>
            </w:r>
          </w:p>
        </w:tc>
        <w:tc>
          <w:tcPr>
            <w:tcW w:type="dxa" w:w="3760"/>
            <w:tcMar>
              <w:top w:type="dxa" w:w="80"/>
              <w:left w:type="dxa" w:w="100"/>
              <w:bottom w:type="dxa" w:w="80"/>
              <w:right w:type="dxa" w:w="100"/>
            </w:tcMar>
            <w:vAlign w:val="center"/>
          </w:tcPr>
          <w:p>
            <w:pPr>
              <w:jc w:val="left"/>
            </w:pPr>
            <w:r>
              <w:rPr>
                <w:b w:val="false"/>
                <w:bCs w:val="false"/>
              </w:rPr>
              <w:t xml:space="preserve"/>
            </w:r>
          </w:p>
        </w:tc>
      </w:tr>
      <w:tr>
        <w:tc>
          <w:tcPr>
            <w:tcW w:type="dxa" w:w="3600"/>
            <w:shd w:fill="F4F6FA" w:color="auto" w:val="clear"/>
            <w:tcMar>
              <w:top w:type="dxa" w:w="80"/>
              <w:left w:type="dxa" w:w="100"/>
              <w:bottom w:type="dxa" w:w="80"/>
              <w:right w:type="dxa" w:w="100"/>
            </w:tcMar>
            <w:vAlign w:val="center"/>
          </w:tcPr>
          <w:p>
            <w:pPr>
              <w:jc w:val="left"/>
            </w:pPr>
            <w:r>
              <w:rPr>
                <w:b w:val="false"/>
                <w:bCs w:val="false"/>
              </w:rPr>
              <w:t xml:space="preserve">Sentry (crash/error monitoring)</w:t>
            </w:r>
          </w:p>
        </w:tc>
        <w:tc>
          <w:tcPr>
            <w:tcW w:type="dxa" w:w="2200"/>
            <w:shd w:fill="F4F6FA" w:color="auto" w:val="clear"/>
            <w:tcMar>
              <w:top w:type="dxa" w:w="80"/>
              <w:left w:type="dxa" w:w="100"/>
              <w:bottom w:type="dxa" w:w="80"/>
              <w:right w:type="dxa" w:w="100"/>
            </w:tcMar>
            <w:vAlign w:val="center"/>
          </w:tcPr>
          <w:p>
            <w:pPr>
              <w:jc w:val="left"/>
            </w:pPr>
            <w:r>
              <w:rPr>
                <w:b w:val="false"/>
                <w:bCs w:val="false"/>
              </w:rPr>
              <w:t xml:space="preserve">Free tier</w:t>
            </w:r>
          </w:p>
        </w:tc>
        <w:tc>
          <w:tcPr>
            <w:tcW w:type="dxa" w:w="3760"/>
            <w:shd w:fill="F4F6FA" w:color="auto" w:val="clear"/>
            <w:tcMar>
              <w:top w:type="dxa" w:w="80"/>
              <w:left w:type="dxa" w:w="100"/>
              <w:bottom w:type="dxa" w:w="80"/>
              <w:right w:type="dxa" w:w="100"/>
            </w:tcMar>
            <w:vAlign w:val="center"/>
          </w:tcPr>
          <w:p>
            <w:pPr>
              <w:jc w:val="left"/>
            </w:pPr>
            <w:r>
              <w:rPr>
                <w:b w:val="false"/>
                <w:bCs w:val="false"/>
              </w:rPr>
              <w:t xml:space="preserve">Sufficient pre-launch</w:t>
            </w:r>
          </w:p>
        </w:tc>
      </w:tr>
      <w:tr>
        <w:tc>
          <w:tcPr>
            <w:tcW w:type="dxa" w:w="3600"/>
            <w:tcMar>
              <w:top w:type="dxa" w:w="80"/>
              <w:left w:type="dxa" w:w="100"/>
              <w:bottom w:type="dxa" w:w="80"/>
              <w:right w:type="dxa" w:w="100"/>
            </w:tcMar>
            <w:vAlign w:val="center"/>
          </w:tcPr>
          <w:p>
            <w:pPr>
              <w:jc w:val="left"/>
            </w:pPr>
            <w:r>
              <w:rPr>
                <w:b w:val="false"/>
                <w:bCs w:val="false"/>
              </w:rPr>
              <w:t xml:space="preserve">Amplitude/Mixpanel (analytics)</w:t>
            </w:r>
          </w:p>
        </w:tc>
        <w:tc>
          <w:tcPr>
            <w:tcW w:type="dxa" w:w="2200"/>
            <w:tcMar>
              <w:top w:type="dxa" w:w="80"/>
              <w:left w:type="dxa" w:w="100"/>
              <w:bottom w:type="dxa" w:w="80"/>
              <w:right w:type="dxa" w:w="100"/>
            </w:tcMar>
            <w:vAlign w:val="center"/>
          </w:tcPr>
          <w:p>
            <w:pPr>
              <w:jc w:val="left"/>
            </w:pPr>
            <w:r>
              <w:rPr>
                <w:b w:val="false"/>
                <w:bCs w:val="false"/>
              </w:rPr>
              <w:t xml:space="preserve">Free tier</w:t>
            </w:r>
          </w:p>
        </w:tc>
        <w:tc>
          <w:tcPr>
            <w:tcW w:type="dxa" w:w="3760"/>
            <w:tcMar>
              <w:top w:type="dxa" w:w="80"/>
              <w:left w:type="dxa" w:w="100"/>
              <w:bottom w:type="dxa" w:w="80"/>
              <w:right w:type="dxa" w:w="100"/>
            </w:tcMar>
            <w:vAlign w:val="center"/>
          </w:tcPr>
          <w:p>
            <w:pPr>
              <w:jc w:val="left"/>
            </w:pPr>
            <w:r>
              <w:rPr>
                <w:b w:val="false"/>
                <w:bCs w:val="false"/>
              </w:rPr>
              <w:t xml:space="preserve">Sufficient pre-launch</w:t>
            </w:r>
          </w:p>
        </w:tc>
      </w:tr>
      <w:tr>
        <w:tc>
          <w:tcPr>
            <w:tcW w:type="dxa" w:w="3600"/>
            <w:shd w:fill="F4F6FA" w:color="auto" w:val="clear"/>
            <w:tcMar>
              <w:top w:type="dxa" w:w="80"/>
              <w:left w:type="dxa" w:w="100"/>
              <w:bottom w:type="dxa" w:w="80"/>
              <w:right w:type="dxa" w:w="100"/>
            </w:tcMar>
            <w:vAlign w:val="center"/>
          </w:tcPr>
          <w:p>
            <w:pPr>
              <w:jc w:val="left"/>
            </w:pPr>
            <w:r>
              <w:rPr>
                <w:b w:val="false"/>
                <w:bCs w:val="false"/>
              </w:rPr>
              <w:t xml:space="preserve">WhatsApp Business API / Intercom (support)</w:t>
            </w:r>
          </w:p>
        </w:tc>
        <w:tc>
          <w:tcPr>
            <w:tcW w:type="dxa" w:w="2200"/>
            <w:shd w:fill="F4F6FA" w:color="auto" w:val="clear"/>
            <w:tcMar>
              <w:top w:type="dxa" w:w="80"/>
              <w:left w:type="dxa" w:w="100"/>
              <w:bottom w:type="dxa" w:w="80"/>
              <w:right w:type="dxa" w:w="100"/>
            </w:tcMar>
            <w:vAlign w:val="center"/>
          </w:tcPr>
          <w:p>
            <w:pPr>
              <w:jc w:val="left"/>
            </w:pPr>
            <w:r>
              <w:rPr>
                <w:b w:val="false"/>
                <w:bCs w:val="false"/>
              </w:rPr>
              <w:t xml:space="preserve">$75–150</w:t>
            </w:r>
          </w:p>
        </w:tc>
        <w:tc>
          <w:tcPr>
            <w:tcW w:type="dxa" w:w="3760"/>
            <w:shd w:fill="F4F6FA" w:color="auto" w:val="clear"/>
            <w:tcMar>
              <w:top w:type="dxa" w:w="80"/>
              <w:left w:type="dxa" w:w="100"/>
              <w:bottom w:type="dxa" w:w="80"/>
              <w:right w:type="dxa" w:w="100"/>
            </w:tcMar>
            <w:vAlign w:val="center"/>
          </w:tcPr>
          <w:p>
            <w:pPr>
              <w:jc w:val="left"/>
            </w:pPr>
            <w:r>
              <w:rPr>
                <w:b w:val="false"/>
                <w:bCs w:val="false"/>
              </w:rPr>
              <w:t xml:space="preserve">Wire up in November once support flow is built</w:t>
            </w:r>
          </w:p>
        </w:tc>
      </w:tr>
    </w:tbl>
    <w:p>
      <w:pPr>
        <w:pStyle w:val="Heading2"/>
        <w:spacing w:after="150" w:before="300"/>
      </w:pPr>
      <w:r>
        <w:t xml:space="preserve">5.3 Transaction fees (Paystack, verified current Nigeria rates)</w:t>
      </w:r>
    </w:p>
    <w:p>
      <w:pPr>
        <w:pStyle w:val="ListParagraph"/>
        <w:numPr>
          <w:ilvl w:val="0"/>
          <w:numId w:val="2"/>
        </w:numPr>
        <w:spacing w:after="80"/>
      </w:pPr>
      <w:r>
        <w:t xml:space="preserve">Local cards: 1.5% + ₦100, capped at ₦2,000 per transaction — cheap relative to a flight fare</w:t>
      </w:r>
    </w:p>
    <w:p>
      <w:pPr>
        <w:pStyle w:val="ListParagraph"/>
        <w:numPr>
          <w:ilvl w:val="0"/>
          <w:numId w:val="2"/>
        </w:numPr>
        <w:spacing w:after="80"/>
      </w:pPr>
      <w:r>
        <w:t xml:space="preserve">International cards: 3.9% + ₦100, uncapped — matters a lot for diaspora bookers. A ₦400,000 flight paid on a UK-issued card costs ~₦15,760 in fees alone</w:t>
      </w:r>
    </w:p>
    <w:p>
      <w:pPr>
        <w:pStyle w:val="ListParagraph"/>
        <w:numPr>
          <w:ilvl w:val="0"/>
          <w:numId w:val="2"/>
        </w:numPr>
        <w:spacing w:after="80"/>
      </w:pPr>
      <w:r>
        <w:t xml:space="preserve">7.5% VAT applies on top of Paystack's fee itself (not on the transaction)</w:t>
      </w:r>
    </w:p>
    <w:p>
      <w:pPr>
        <w:pStyle w:val="ListParagraph"/>
        <w:numPr>
          <w:ilvl w:val="0"/>
          <w:numId w:val="2"/>
        </w:numPr>
        <w:spacing w:after="80"/>
      </w:pPr>
      <w:r>
        <w:t xml:space="preserve">No setup fee, no monthly fee for Paystack</w:t>
      </w:r>
    </w:p>
    <w:p>
      <w:pPr>
        <w:spacing w:after="160"/>
      </w:pPr>
      <w:r>
        <w:t xml:space="preserve">Pricing implication: absorb local-card fees into margin (capped and small), but factor international-card fees explicitly into diaspora-corridor pricing, since that's where the real cost sits.</w:t>
      </w:r>
    </w:p>
    <w:p>
      <w:pPr>
        <w:pStyle w:val="Heading2"/>
        <w:spacing w:after="150" w:before="300"/>
      </w:pPr>
      <w:r>
        <w:t xml:space="preserve">5.4 Recurring — post-launch (scales with volume)</w:t>
      </w:r>
    </w:p>
    <w:p>
      <w:pPr>
        <w:pStyle w:val="ListParagraph"/>
        <w:numPr>
          <w:ilvl w:val="0"/>
          <w:numId w:val="2"/>
        </w:numPr>
        <w:spacing w:after="80"/>
      </w:pPr>
      <w:r>
        <w:t xml:space="preserve">Flight aggregator fee (Duffel or similar) — no public flat rate; expect a per-order or percentage fee, confirmed during onboarding</w:t>
      </w:r>
    </w:p>
    <w:p>
      <w:pPr>
        <w:pStyle w:val="ListParagraph"/>
        <w:numPr>
          <w:ilvl w:val="0"/>
          <w:numId w:val="2"/>
        </w:numPr>
        <w:spacing w:after="80"/>
      </w:pPr>
      <w:r>
        <w:t xml:space="preserve">AI API cost grows with query volume — budget as a % of revenue post-beta, not a fixed line</w:t>
      </w:r>
    </w:p>
    <w:p>
      <w:pPr>
        <w:pStyle w:val="ListParagraph"/>
        <w:numPr>
          <w:ilvl w:val="0"/>
          <w:numId w:val="2"/>
        </w:numPr>
        <w:spacing w:after="80"/>
      </w:pPr>
      <w:r>
        <w:t xml:space="preserve">Hosting scales similarly</w:t>
      </w:r>
    </w:p>
    <w:p>
      <w:pPr>
        <w:pStyle w:val="Heading1"/>
        <w:spacing w:after="200" w:before="400"/>
      </w:pPr>
      <w:r>
        <w:t xml:space="preserve">6. Build Timeline (September–December 2026)</w:t>
      </w:r>
    </w:p>
    <w:p>
      <w:pPr>
        <w:pStyle w:val="Heading2"/>
        <w:spacing w:after="150" w:before="300"/>
      </w:pPr>
      <w:r>
        <w:t xml:space="preserve">6.1 September — Foundation</w:t>
      </w:r>
    </w:p>
    <w:p>
      <w:pPr>
        <w:pStyle w:val="ListParagraph"/>
        <w:numPr>
          <w:ilvl w:val="0"/>
          <w:numId w:val="2"/>
        </w:numPr>
        <w:spacing w:after="80"/>
      </w:pPr>
      <w:r>
        <w:t xml:space="preserve">Wk1: [Co-founder] Duffel, Paystack KYC, Claude API, Apple/Google dev account sign-ups — KYC alone can take 1–3 weeks, start immediately. [Dev2] backend repo running with real keys.</w:t>
      </w:r>
    </w:p>
    <w:p>
      <w:pPr>
        <w:pStyle w:val="ListParagraph"/>
        <w:numPr>
          <w:ilvl w:val="0"/>
          <w:numId w:val="2"/>
        </w:numPr>
        <w:spacing w:after="80"/>
      </w:pPr>
      <w:r>
        <w:t xml:space="preserve">Wk2: [Dev2] Repo + backend scaffold, CI/CD pipeline. [Designer] Finalize indigo design-system tokens, start hi-fi Home/Results/Companion screens.</w:t>
      </w:r>
    </w:p>
    <w:p>
      <w:pPr>
        <w:pStyle w:val="ListParagraph"/>
        <w:numPr>
          <w:ilvl w:val="0"/>
          <w:numId w:val="2"/>
        </w:numPr>
        <w:spacing w:after="80"/>
      </w:pPr>
      <w:r>
        <w:t xml:space="preserve">Wk3: [Dev1] Navigation shell, phone/OTP auth. [Designer] Onboarding flow, App Store icon/screenshots draft.</w:t>
      </w:r>
    </w:p>
    <w:p>
      <w:pPr>
        <w:pStyle w:val="ListParagraph"/>
        <w:numPr>
          <w:ilvl w:val="0"/>
          <w:numId w:val="2"/>
        </w:numPr>
        <w:spacing w:after="80"/>
      </w:pPr>
      <w:r>
        <w:t xml:space="preserve">Wk4: [Dev1] Wire the three screens to real API calls instead of mock data. [Dev2] Auth backend (real OTP via Termii or Africa's Talking), Postgres schema for users/bookings.</w:t>
      </w:r>
    </w:p>
    <w:p>
      <w:pPr>
        <w:pStyle w:val="Heading2"/>
        <w:spacing w:after="150" w:before="300"/>
      </w:pPr>
      <w:r>
        <w:t xml:space="preserve">6.2 October — Core integrations</w:t>
      </w:r>
    </w:p>
    <w:p>
      <w:pPr>
        <w:pStyle w:val="ListParagraph"/>
        <w:numPr>
          <w:ilvl w:val="0"/>
          <w:numId w:val="2"/>
        </w:numPr>
        <w:spacing w:after="80"/>
      </w:pPr>
      <w:r>
        <w:t xml:space="preserve">Wk5–6: [Dev2] Verify Duffel coverage for launch-corridor carriers, confirm exact request/response shape against current docs; flight search against Duffel sandbox, Best Value/Fastest/Cheapest ranking logic. [Dev1] Loading/error states for search; wire results UI to live search API.</w:t>
      </w:r>
    </w:p>
    <w:p>
      <w:pPr>
        <w:pStyle w:val="ListParagraph"/>
        <w:numPr>
          <w:ilvl w:val="0"/>
          <w:numId w:val="2"/>
        </w:numPr>
        <w:spacing w:after="80"/>
      </w:pPr>
      <w:r>
        <w:t xml:space="preserve">Wk6–7: [Dev2] Tune the AI advisor prompt (Claude API + tool calling) against real queries. [Dev1] AI advisor chat UI, handle low-confidence responses (clarifyingQuestion) with fallback to manual filters.</w:t>
      </w:r>
    </w:p>
    <w:p>
      <w:pPr>
        <w:pStyle w:val="ListParagraph"/>
        <w:numPr>
          <w:ilvl w:val="0"/>
          <w:numId w:val="2"/>
        </w:numPr>
        <w:spacing w:after="80"/>
      </w:pPr>
      <w:r>
        <w:t xml:space="preserve">Wk7–8: [Dev2] Paystack webhook — verify payment before creating the Duffel order, never before; tokenized checkout. [Dev1] Payment webview/redirect flow, booking confirmation screen. [Co-founder] Confirm Paystack settlement account is live and tested with a real ₦100 transaction.</w:t>
      </w:r>
    </w:p>
    <w:p>
      <w:pPr>
        <w:pStyle w:val="Heading2"/>
        <w:spacing w:after="150" w:before="300"/>
      </w:pPr>
      <w:r>
        <w:t xml:space="preserve">6.3 November — Trust layer &amp; hardening</w:t>
      </w:r>
    </w:p>
    <w:p>
      <w:pPr>
        <w:pStyle w:val="ListParagraph"/>
        <w:numPr>
          <w:ilvl w:val="0"/>
          <w:numId w:val="2"/>
        </w:numPr>
        <w:spacing w:after="80"/>
      </w:pPr>
      <w:r>
        <w:t xml:space="preserve">Wk9: [Dev2] E-ticket delivery (email + WhatsApp), PNR retrieval. [Dev1] Booking confirmation screen.</w:t>
      </w:r>
    </w:p>
    <w:p>
      <w:pPr>
        <w:pStyle w:val="ListParagraph"/>
        <w:numPr>
          <w:ilvl w:val="0"/>
          <w:numId w:val="2"/>
        </w:numPr>
        <w:spacing w:after="80"/>
      </w:pPr>
      <w:r>
        <w:t xml:space="preserve">Wk10: [Both] Companion v1 — check-in reminders, hardcoded visa/eTA rules for the 2–3 launch corridors, push notifications.</w:t>
      </w:r>
    </w:p>
    <w:p>
      <w:pPr>
        <w:pStyle w:val="ListParagraph"/>
        <w:numPr>
          <w:ilvl w:val="0"/>
          <w:numId w:val="2"/>
        </w:numPr>
        <w:spacing w:after="80"/>
      </w:pPr>
      <w:r>
        <w:t xml:space="preserve">Wk11: [Dev2] WhatsApp Business API handoff for human support. [Dev1] Support entry point in Companion. [Designer] Support flow UI.</w:t>
      </w:r>
    </w:p>
    <w:p>
      <w:pPr>
        <w:pStyle w:val="ListParagraph"/>
        <w:numPr>
          <w:ilvl w:val="0"/>
          <w:numId w:val="2"/>
        </w:numPr>
        <w:spacing w:after="80"/>
      </w:pPr>
      <w:r>
        <w:t xml:space="preserve">Wk12: [Both] Security pass — confirm no card data touches the backend (Paystack tokenized checkout handles this if wired correctly). [Co-founder] Privacy policy, terms of service, NDPR baseline review.</w:t>
      </w:r>
    </w:p>
    <w:p>
      <w:pPr>
        <w:pStyle w:val="Heading2"/>
        <w:spacing w:after="150" w:before="300"/>
      </w:pPr>
      <w:r>
        <w:t xml:space="preserve">6.4 December — Beta, submission, launch</w:t>
      </w:r>
    </w:p>
    <w:p>
      <w:pPr>
        <w:pStyle w:val="ListParagraph"/>
        <w:numPr>
          <w:ilvl w:val="0"/>
          <w:numId w:val="2"/>
        </w:numPr>
        <w:spacing w:after="80"/>
      </w:pPr>
      <w:r>
        <w:t xml:space="preserve">Wk13: Closed beta — 20–50 real users, real bookings, real money. Co-founder personally in the WhatsApp group watching for friction.</w:t>
      </w:r>
    </w:p>
    <w:p>
      <w:pPr>
        <w:pStyle w:val="ListParagraph"/>
        <w:numPr>
          <w:ilvl w:val="0"/>
          <w:numId w:val="2"/>
        </w:numPr>
        <w:spacing w:after="80"/>
      </w:pPr>
      <w:r>
        <w:t xml:space="preserve">Wk14: Bug fixes from beta, performance pass. Final store metadata/screenshots/press kit visuals.</w:t>
      </w:r>
    </w:p>
    <w:p>
      <w:pPr>
        <w:pStyle w:val="ListParagraph"/>
        <w:numPr>
          <w:ilvl w:val="0"/>
          <w:numId w:val="2"/>
        </w:numPr>
        <w:spacing w:after="80"/>
      </w:pPr>
      <w:r>
        <w:t xml:space="preserve">Wk15 (by Dec 12): Submit to Apple and Google — ahead of Apple's Dec 20–27 review slowdown.</w:t>
      </w:r>
    </w:p>
    <w:p>
      <w:pPr>
        <w:pStyle w:val="ListParagraph"/>
        <w:numPr>
          <w:ilvl w:val="0"/>
          <w:numId w:val="2"/>
        </w:numPr>
        <w:spacing w:after="80"/>
      </w:pPr>
      <w:r>
        <w:t xml:space="preserve">Wk16 (Dec 15–20): Soft launch to waitlist once approved; start collecting first ratings/reviews before the PR push.</w:t>
      </w:r>
    </w:p>
    <w:p>
      <w:pPr>
        <w:pStyle w:val="ListParagraph"/>
        <w:numPr>
          <w:ilvl w:val="0"/>
          <w:numId w:val="2"/>
        </w:numPr>
        <w:spacing w:after="80"/>
      </w:pPr>
      <w:r>
        <w:t xml:space="preserve">Wk17 (Dec 22–31): Public/PR launch — see Section 9. App is already live and stable; Dec 31 is the announcement, not the ship date.</w:t>
      </w:r>
    </w:p>
    <w:p>
      <w:pPr>
        <w:pStyle w:val="Heading1"/>
        <w:spacing w:after="200" w:before="400"/>
      </w:pPr>
      <w:r>
        <w:t xml:space="preserve">7. Travel Distribution Primer: GDS, Aggregators, NDC &amp; Duffel</w:t>
      </w:r>
    </w:p>
    <w:p>
      <w:pPr>
        <w:spacing w:after="160"/>
      </w:pPr>
      <w:r>
        <w:t xml:space="preserve">This section exists so every team member — not just the backend dev — shares the same mental model of who Synqed Air is actually connecting to and why.</w:t>
      </w:r>
    </w:p>
    <w:p>
      <w:pPr>
        <w:pStyle w:val="Heading2"/>
        <w:spacing w:after="150" w:before="300"/>
      </w:pPr>
      <w:r>
        <w:t xml:space="preserve">7.1 The four building blocks</w:t>
      </w:r>
    </w:p>
    <w:p>
      <w:pPr>
        <w:pStyle w:val="ListParagraph"/>
        <w:numPr>
          <w:ilvl w:val="0"/>
          <w:numId w:val="2"/>
        </w:numPr>
        <w:spacing w:after="80"/>
      </w:pPr>
      <w:r>
        <w:t xml:space="preserve">Airline — owns the actual flight, seats, prices, baggage rules, and booking system (e.g., Qatar Airways).</w:t>
      </w:r>
    </w:p>
    <w:p>
      <w:pPr>
        <w:pStyle w:val="ListParagraph"/>
        <w:numPr>
          <w:ilvl w:val="0"/>
          <w:numId w:val="2"/>
        </w:numPr>
        <w:spacing w:after="80"/>
      </w:pPr>
      <w:r>
        <w:t xml:space="preserve">GDS (Global Distribution System) — large travel-distribution infrastructure/network that airlines connect to and travel sellers query instead of contacting every airline individually. Examples: Amadeus, Sabre, Travelport. These are competitors to each other.</w:t>
      </w:r>
    </w:p>
    <w:p>
      <w:pPr>
        <w:pStyle w:val="ListParagraph"/>
        <w:numPr>
          <w:ilvl w:val="0"/>
          <w:numId w:val="2"/>
        </w:numPr>
        <w:spacing w:after="80"/>
      </w:pPr>
      <w:r>
        <w:t xml:space="preserve">Aggregator — a layer that combines content from multiple sources (GDS, NDC, direct airline connections, other suppliers) and presents it through one unified interface. GDS and aggregator are not opposites — an aggregator can consume GDS content without replacing a GDS.</w:t>
      </w:r>
    </w:p>
    <w:p>
      <w:pPr>
        <w:pStyle w:val="ListParagraph"/>
        <w:numPr>
          <w:ilvl w:val="0"/>
          <w:numId w:val="2"/>
        </w:numPr>
        <w:spacing w:after="80"/>
      </w:pPr>
      <w:r>
        <w:t xml:space="preserve">NDC (New Distribution Capability) — not a human-language translator; a standardized format/rules for how an airline and a travel seller exchange richer flight offers and orders consistently.</w:t>
      </w:r>
    </w:p>
    <w:p>
      <w:pPr>
        <w:pStyle w:val="Heading2"/>
        <w:spacing w:after="150" w:before="300"/>
      </w:pPr>
      <w:r>
        <w:t xml:space="preserve">7.2 Where Duffel fits</w:t>
      </w:r>
    </w:p>
    <w:p>
      <w:pPr>
        <w:spacing w:after="160"/>
      </w:pPr>
      <w:r>
        <w:t xml:space="preserve">Duffel is not “a smaller Amadeus,” and it is not simply superior to a GDS — it is a different layer built for a different customer. Duffel connects directly to airline systems (often via NDC) and wraps that access in one modern, developer-friendly REST API. Conceptually:</w:t>
      </w:r>
    </w:p>
    <w:p>
      <w:pPr>
        <w:spacing w:after="160"/>
      </w:pPr>
      <w:r>
        <w:rPr>
          <w:rFonts w:ascii="Consolas" w:cs="Consolas" w:eastAsia="Consolas" w:hAnsi="Consolas"/>
          <w:sz w:val="20"/>
          <w:szCs w:val="20"/>
        </w:rPr>
        <w:t xml:space="preserve">Airlines → [NDC / Direct / GDS / other sources] → Duffel → One simple API → Synqed Air</w:t>
      </w:r>
    </w:p>
    <w:p>
      <w:pPr>
        <w:pStyle w:val="Heading3"/>
        <w:spacing w:after="100" w:before="200"/>
      </w:pPr>
      <w:r>
        <w:t xml:space="preserve">Why Duffel for the MVP, specifically</w:t>
      </w:r>
    </w:p>
    <w:p>
      <w:pPr>
        <w:pStyle w:val="ListParagraph"/>
        <w:numPr>
          <w:ilvl w:val="0"/>
          <w:numId w:val="2"/>
        </w:numPr>
        <w:spacing w:after="80"/>
      </w:pPr>
      <w:r>
        <w:t xml:space="preserve">A small software team needs flight inventory and booking capability through an API integrable into a Node.js backend — not a multi-month traditional GDS integration.</w:t>
      </w:r>
    </w:p>
    <w:p>
      <w:pPr>
        <w:pStyle w:val="ListParagraph"/>
        <w:numPr>
          <w:ilvl w:val="0"/>
          <w:numId w:val="2"/>
        </w:numPr>
        <w:spacing w:after="80"/>
      </w:pPr>
      <w:r>
        <w:t xml:space="preserve">Duffel handles much of the underlying airline-distribution complexity so the team can focus on search, AI parsing, booking UX, and payments.</w:t>
      </w:r>
    </w:p>
    <w:p>
      <w:pPr>
        <w:pStyle w:val="ListParagraph"/>
        <w:numPr>
          <w:ilvl w:val="0"/>
          <w:numId w:val="2"/>
        </w:numPr>
        <w:spacing w:after="80"/>
      </w:pPr>
      <w:r>
        <w:t xml:space="preserve">This is a fit-for-stage decision, not a claim that Duffel is technologically ahead of Amadeus/Sabre/Travelport — those remain deeper, more enterprise-oriented infrastructure with broader airline/hotel/car coverage.</w:t>
      </w:r>
    </w:p>
    <w:p>
      <w:pPr>
        <w:pStyle w:val="Heading2"/>
        <w:spacing w:after="150" w:before="300"/>
      </w:pPr>
      <w:r>
        <w:t xml:space="preserve">7.3 When each is the right tool</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780"/>
        <w:gridCol w:w="4780"/>
      </w:tblGrid>
      <w:tr>
        <w:trPr>
          <w:tblHeader/>
        </w:trPr>
        <w:tc>
          <w:tcPr>
            <w:tcW w:type="dxa" w:w="4780"/>
            <w:shd w:fill="0A1128" w:color="auto" w:val="clear"/>
            <w:tcMar>
              <w:top w:type="dxa" w:w="80"/>
              <w:left w:type="dxa" w:w="100"/>
              <w:bottom w:type="dxa" w:w="80"/>
              <w:right w:type="dxa" w:w="100"/>
            </w:tcMar>
            <w:vAlign w:val="center"/>
          </w:tcPr>
          <w:p>
            <w:pPr>
              <w:jc w:val="left"/>
            </w:pPr>
            <w:r>
              <w:rPr>
                <w:b/>
                <w:bCs/>
                <w:color w:val="FFFFFF"/>
              </w:rPr>
              <w:t xml:space="preserve">Use Duffel when…</w:t>
            </w:r>
          </w:p>
        </w:tc>
        <w:tc>
          <w:tcPr>
            <w:tcW w:type="dxa" w:w="4780"/>
            <w:shd w:fill="0A1128" w:color="auto" w:val="clear"/>
            <w:tcMar>
              <w:top w:type="dxa" w:w="80"/>
              <w:left w:type="dxa" w:w="100"/>
              <w:bottom w:type="dxa" w:w="80"/>
              <w:right w:type="dxa" w:w="100"/>
            </w:tcMar>
            <w:vAlign w:val="center"/>
          </w:tcPr>
          <w:p>
            <w:pPr>
              <w:jc w:val="left"/>
            </w:pPr>
            <w:r>
              <w:rPr>
                <w:b/>
                <w:bCs/>
                <w:color w:val="FFFFFF"/>
              </w:rPr>
              <w:t xml:space="preserve">Use a GDS (Amadeus/Sabre/Travelport) when…</w:t>
            </w:r>
          </w:p>
        </w:tc>
      </w:tr>
      <w:tr>
        <w:tc>
          <w:tcPr>
            <w:tcW w:type="dxa" w:w="4780"/>
            <w:tcMar>
              <w:top w:type="dxa" w:w="80"/>
              <w:left w:type="dxa" w:w="100"/>
              <w:bottom w:type="dxa" w:w="80"/>
              <w:right w:type="dxa" w:w="100"/>
            </w:tcMar>
            <w:vAlign w:val="center"/>
          </w:tcPr>
          <w:p>
            <w:pPr>
              <w:jc w:val="left"/>
            </w:pPr>
            <w:r>
              <w:rPr>
                <w:b w:val="false"/>
                <w:bCs w:val="false"/>
              </w:rPr>
              <w:t xml:space="preserve">Building a startup/travel app and need an MVP fast</w:t>
            </w:r>
          </w:p>
        </w:tc>
        <w:tc>
          <w:tcPr>
            <w:tcW w:type="dxa" w:w="4780"/>
            <w:tcMar>
              <w:top w:type="dxa" w:w="80"/>
              <w:left w:type="dxa" w:w="100"/>
              <w:bottom w:type="dxa" w:w="80"/>
              <w:right w:type="dxa" w:w="100"/>
            </w:tcMar>
            <w:vAlign w:val="center"/>
          </w:tcPr>
          <w:p>
            <w:pPr>
              <w:jc w:val="left"/>
            </w:pPr>
            <w:r>
              <w:rPr>
                <w:b w:val="false"/>
                <w:bCs w:val="false"/>
              </w:rPr>
              <w:t xml:space="preserve">Building serious enterprise travel infrastructure</w:t>
            </w:r>
          </w:p>
        </w:tc>
      </w:tr>
      <w:tr>
        <w:tc>
          <w:tcPr>
            <w:tcW w:type="dxa" w:w="4780"/>
            <w:shd w:fill="F4F6FA" w:color="auto" w:val="clear"/>
            <w:tcMar>
              <w:top w:type="dxa" w:w="80"/>
              <w:left w:type="dxa" w:w="100"/>
              <w:bottom w:type="dxa" w:w="80"/>
              <w:right w:type="dxa" w:w="100"/>
            </w:tcMar>
            <w:vAlign w:val="center"/>
          </w:tcPr>
          <w:p>
            <w:pPr>
              <w:jc w:val="left"/>
            </w:pPr>
            <w:r>
              <w:rPr>
                <w:b w:val="false"/>
                <w:bCs w:val="false"/>
              </w:rPr>
              <w:t xml:space="preserve">Small engineering team, want a modern REST API</w:t>
            </w:r>
          </w:p>
        </w:tc>
        <w:tc>
          <w:tcPr>
            <w:tcW w:type="dxa" w:w="4780"/>
            <w:shd w:fill="F4F6FA" w:color="auto" w:val="clear"/>
            <w:tcMar>
              <w:top w:type="dxa" w:w="80"/>
              <w:left w:type="dxa" w:w="100"/>
              <w:bottom w:type="dxa" w:w="80"/>
              <w:right w:type="dxa" w:w="100"/>
            </w:tcMar>
            <w:vAlign w:val="center"/>
          </w:tcPr>
          <w:p>
            <w:pPr>
              <w:jc w:val="left"/>
            </w:pPr>
            <w:r>
              <w:rPr>
                <w:b w:val="false"/>
                <w:bCs w:val="false"/>
              </w:rPr>
              <w:t xml:space="preserve">Need extensive airline/hotel/car inventory</w:t>
            </w:r>
          </w:p>
        </w:tc>
      </w:tr>
      <w:tr>
        <w:tc>
          <w:tcPr>
            <w:tcW w:type="dxa" w:w="4780"/>
            <w:tcMar>
              <w:top w:type="dxa" w:w="80"/>
              <w:left w:type="dxa" w:w="100"/>
              <w:bottom w:type="dxa" w:w="80"/>
              <w:right w:type="dxa" w:w="100"/>
            </w:tcMar>
            <w:vAlign w:val="center"/>
          </w:tcPr>
          <w:p>
            <w:pPr>
              <w:jc w:val="left"/>
            </w:pPr>
            <w:r>
              <w:rPr>
                <w:b w:val="false"/>
                <w:bCs w:val="false"/>
              </w:rPr>
              <w:t xml:space="preserve">Want to avoid traditional distribution complexity</w:t>
            </w:r>
          </w:p>
        </w:tc>
        <w:tc>
          <w:tcPr>
            <w:tcW w:type="dxa" w:w="4780"/>
            <w:tcMar>
              <w:top w:type="dxa" w:w="80"/>
              <w:left w:type="dxa" w:w="100"/>
              <w:bottom w:type="dxa" w:w="80"/>
              <w:right w:type="dxa" w:w="100"/>
            </w:tcMar>
            <w:vAlign w:val="center"/>
          </w:tcPr>
          <w:p>
            <w:pPr>
              <w:jc w:val="left"/>
            </w:pPr>
            <w:r>
              <w:rPr>
                <w:b w:val="false"/>
                <w:bCs w:val="false"/>
              </w:rPr>
              <w:t xml:space="preserve">Need traditional travel-agent functionality</w:t>
            </w:r>
          </w:p>
        </w:tc>
      </w:tr>
      <w:tr>
        <w:tc>
          <w:tcPr>
            <w:tcW w:type="dxa" w:w="4780"/>
            <w:shd w:fill="F4F6FA" w:color="auto" w:val="clear"/>
            <w:tcMar>
              <w:top w:type="dxa" w:w="80"/>
              <w:left w:type="dxa" w:w="100"/>
              <w:bottom w:type="dxa" w:w="80"/>
              <w:right w:type="dxa" w:w="100"/>
            </w:tcMar>
            <w:vAlign w:val="center"/>
          </w:tcPr>
          <w:p>
            <w:pPr>
              <w:jc w:val="left"/>
            </w:pPr>
            <w:r>
              <w:rPr>
                <w:b w:val="false"/>
                <w:bCs w:val="false"/>
              </w:rPr>
              <w:t xml:space="preserve"/>
            </w:r>
          </w:p>
        </w:tc>
        <w:tc>
          <w:tcPr>
            <w:tcW w:type="dxa" w:w="4780"/>
            <w:shd w:fill="F4F6FA" w:color="auto" w:val="clear"/>
            <w:tcMar>
              <w:top w:type="dxa" w:w="80"/>
              <w:left w:type="dxa" w:w="100"/>
              <w:bottom w:type="dxa" w:w="80"/>
              <w:right w:type="dxa" w:w="100"/>
            </w:tcMar>
            <w:vAlign w:val="center"/>
          </w:tcPr>
          <w:p>
            <w:pPr>
              <w:jc w:val="left"/>
            </w:pPr>
            <w:r>
              <w:rPr>
                <w:b w:val="false"/>
                <w:bCs w:val="false"/>
              </w:rPr>
              <w:t xml:space="preserve">Need deep control over ticketing, exchanges, refunds, fare rules</w:t>
            </w:r>
          </w:p>
        </w:tc>
      </w:tr>
    </w:tbl>
    <w:p>
      <w:pPr>
        <w:pStyle w:val="Heading2"/>
        <w:spacing w:after="150" w:before="300"/>
      </w:pPr>
      <w:r>
        <w:t xml:space="preserve">7.4 Learning progression for the team</w:t>
      </w:r>
    </w:p>
    <w:p>
      <w:pPr>
        <w:spacing w:after="160"/>
      </w:pPr>
      <w:r>
        <w:t xml:space="preserve">Not “graduating” away from Duffel because it's inferior — going deeper into the ecosystem as the business grows:</w:t>
      </w:r>
    </w:p>
    <w:p>
      <w:pPr>
        <w:pStyle w:val="ListParagraph"/>
        <w:numPr>
          <w:ilvl w:val="0"/>
          <w:numId w:val="2"/>
        </w:numPr>
        <w:spacing w:after="80"/>
      </w:pPr>
      <w:r>
        <w:t xml:space="preserve">1. Duffel — searching flights, offers, booking, ticketing, cancellations</w:t>
      </w:r>
    </w:p>
    <w:p>
      <w:pPr>
        <w:pStyle w:val="ListParagraph"/>
        <w:numPr>
          <w:ilvl w:val="0"/>
          <w:numId w:val="2"/>
        </w:numPr>
        <w:spacing w:after="80"/>
      </w:pPr>
      <w:r>
        <w:t xml:space="preserve">2. NDC — how airline systems standardize offer/order exchange</w:t>
      </w:r>
    </w:p>
    <w:p>
      <w:pPr>
        <w:pStyle w:val="ListParagraph"/>
        <w:numPr>
          <w:ilvl w:val="0"/>
          <w:numId w:val="2"/>
        </w:numPr>
        <w:spacing w:after="80"/>
      </w:pPr>
      <w:r>
        <w:t xml:space="preserve">3. GDS concepts — PNRs, fare rules, ticketing, queues, exchanges, refunds</w:t>
      </w:r>
    </w:p>
    <w:p>
      <w:pPr>
        <w:pStyle w:val="ListParagraph"/>
        <w:numPr>
          <w:ilvl w:val="0"/>
          <w:numId w:val="2"/>
        </w:numPr>
        <w:spacing w:after="80"/>
      </w:pPr>
      <w:r>
        <w:t xml:space="preserve">4. Direct airline integrations — negotiated content and commercial terms</w:t>
      </w:r>
    </w:p>
    <w:p>
      <w:pPr>
        <w:pStyle w:val="Heading1"/>
        <w:spacing w:after="200" w:before="400"/>
      </w:pPr>
      <w:r>
        <w:t xml:space="preserve">8. Growth Roadmap: From Aggregator Consumer to Travel Infrastructure</w:t>
      </w:r>
    </w:p>
    <w:p>
      <w:pPr>
        <w:spacing w:after="160"/>
      </w:pPr>
      <w:r>
        <w:t xml:space="preserve">The provider-agnostic backend architecture (Section 3.1) exists to make this progression possible without a rewrite at any stage.</w:t>
      </w:r>
    </w:p>
    <w:p>
      <w:pPr>
        <w:pStyle w:val="Heading3"/>
        <w:spacing w:after="100" w:before="200"/>
      </w:pPr>
      <w:r>
        <w:t xml:space="preserve">Phase 1 — MVP: Duffel</w:t>
      </w:r>
    </w:p>
    <w:p>
      <w:pPr>
        <w:spacing w:after="160"/>
      </w:pPr>
      <w:r>
        <w:t xml:space="preserve">Get Synqed Air working: search → price → book → pay → ticket → support. Duffel sandbox integration in October, Paystack booking/payment integration following it.</w:t>
      </w:r>
    </w:p>
    <w:p>
      <w:pPr>
        <w:pStyle w:val="Heading3"/>
        <w:spacing w:after="100" w:before="200"/>
      </w:pPr>
      <w:r>
        <w:t xml:space="preserve">Phase 2 — After launch: Duffel + another supplier</w:t>
      </w:r>
    </w:p>
    <w:p>
      <w:pPr>
        <w:spacing w:after="160"/>
      </w:pPr>
      <w:r>
        <w:t xml:space="preserve">Redundancy and potentially better inventory by adding a second source behind the same Provider Interface.</w:t>
      </w:r>
    </w:p>
    <w:p>
      <w:pPr>
        <w:pStyle w:val="Heading3"/>
        <w:spacing w:after="100" w:before="200"/>
      </w:pPr>
      <w:r>
        <w:t xml:space="preserve">Phase 3 — Growth: Evaluate Amadeus or Travelport</w:t>
      </w:r>
    </w:p>
    <w:p>
      <w:pPr>
        <w:spacing w:after="160"/>
      </w:pPr>
      <w:r>
        <w:t xml:space="preserve">Not because Duffel becomes bad — because real-world volume can now show whether another source gives better routes, fares, availability, ticketing options, commercial terms, or reliability.</w:t>
      </w:r>
    </w:p>
    <w:p>
      <w:pPr>
        <w:pStyle w:val="Heading3"/>
        <w:spacing w:after="100" w:before="200"/>
      </w:pPr>
      <w:r>
        <w:t xml:space="preserve">Phase 4 — NDC</w:t>
      </w:r>
    </w:p>
    <w:p>
      <w:pPr>
        <w:spacing w:after="160"/>
      </w:pPr>
      <w:r>
        <w:t xml:space="preserve">Connect to selected airline NDC content directly where it makes commercial sense.</w:t>
      </w:r>
    </w:p>
    <w:p>
      <w:pPr>
        <w:pStyle w:val="Heading3"/>
        <w:spacing w:after="100" w:before="200"/>
      </w:pPr>
      <w:r>
        <w:t xml:space="preserve">Phase 5 — Direct airline relationships</w:t>
      </w:r>
    </w:p>
    <w:p>
      <w:pPr>
        <w:spacing w:after="160"/>
      </w:pPr>
      <w:r>
        <w:t xml:space="preserve">At sufficient scale, airlines may want a direct commercial relationship — negotiated content, negotiated fares, better commissions, exclusive offers.</w:t>
      </w:r>
    </w:p>
    <w:p>
      <w:pPr>
        <w:pStyle w:val="Heading3"/>
        <w:spacing w:after="100" w:before="200"/>
      </w:pPr>
      <w:r>
        <w:t xml:space="preserve">Phase 6 — Synqed Air API</w:t>
      </w:r>
    </w:p>
    <w:p>
      <w:pPr>
        <w:spacing w:after="160"/>
      </w:pPr>
      <w:r>
        <w:t xml:space="preserve">The turnaround: instead of Synqed Air consuming Duffel/Amadeus/Travelport/NDC/airline infrastructure, Synqed Air becomes infrastructure itself — a Synqed Air API that fintechs, banks, and other travel apps build their own customer experiences on top of.</w:t>
      </w:r>
    </w:p>
    <w:p>
      <w:pPr>
        <w:spacing w:after="160"/>
      </w:pPr>
      <w:r>
        <w:t xml:space="preserve">Summary progression: Duffel gets you into the market → multiple suppliers make you stronger → Amadeus/Travelport expand distribution options → NDC/direct airline connections deepen supply → direct airline relationships improve commercial position → the Synqed Air API eventually turns the company into the infrastructure.</w:t>
      </w:r>
    </w:p>
    <w:p>
      <w:pPr>
        <w:pStyle w:val="Heading1"/>
        <w:spacing w:after="200" w:before="400"/>
      </w:pPr>
      <w:r>
        <w:t xml:space="preserve">9. Brand Guidelines</w:t>
      </w:r>
    </w:p>
    <w:p>
      <w:pPr>
        <w:spacing w:after="160"/>
      </w:pPr>
      <w:r>
        <w:t xml:space="preserve">Direction: deep space-indigo, confirmed.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560"/>
      </w:tblGrid>
      <w:tr>
        <w:trPr>
          <w:tblHeader/>
        </w:trPr>
        <w:tc>
          <w:tcPr>
            <w:tcW w:type="dxa" w:w="2800"/>
            <w:shd w:fill="0A1128" w:color="auto" w:val="clear"/>
            <w:tcMar>
              <w:top w:type="dxa" w:w="80"/>
              <w:left w:type="dxa" w:w="100"/>
              <w:bottom w:type="dxa" w:w="80"/>
              <w:right w:type="dxa" w:w="100"/>
            </w:tcMar>
            <w:vAlign w:val="center"/>
          </w:tcPr>
          <w:p>
            <w:pPr>
              <w:jc w:val="left"/>
            </w:pPr>
            <w:r>
              <w:rPr>
                <w:b/>
                <w:bCs/>
                <w:color w:val="FFFFFF"/>
              </w:rPr>
              <w:t xml:space="preserve">Role</w:t>
            </w:r>
          </w:p>
        </w:tc>
        <w:tc>
          <w:tcPr>
            <w:tcW w:type="dxa" w:w="4200"/>
            <w:shd w:fill="0A1128" w:color="auto" w:val="clear"/>
            <w:tcMar>
              <w:top w:type="dxa" w:w="80"/>
              <w:left w:type="dxa" w:w="100"/>
              <w:bottom w:type="dxa" w:w="80"/>
              <w:right w:type="dxa" w:w="100"/>
            </w:tcMar>
            <w:vAlign w:val="center"/>
          </w:tcPr>
          <w:p>
            <w:pPr>
              <w:jc w:val="left"/>
            </w:pPr>
            <w:r>
              <w:rPr>
                <w:b/>
                <w:bCs/>
                <w:color w:val="FFFFFF"/>
              </w:rPr>
              <w:t xml:space="preserve">Color</w:t>
            </w:r>
          </w:p>
        </w:tc>
        <w:tc>
          <w:tcPr>
            <w:tcW w:type="dxa" w:w="2560"/>
            <w:shd w:fill="0A1128" w:color="auto" w:val="clear"/>
            <w:tcMar>
              <w:top w:type="dxa" w:w="80"/>
              <w:left w:type="dxa" w:w="100"/>
              <w:bottom w:type="dxa" w:w="80"/>
              <w:right w:type="dxa" w:w="100"/>
            </w:tcMar>
            <w:vAlign w:val="center"/>
          </w:tcPr>
          <w:p>
            <w:pPr>
              <w:jc w:val="left"/>
            </w:pPr>
            <w:r>
              <w:rPr>
                <w:b/>
                <w:bCs/>
                <w:color w:val="FFFFFF"/>
              </w:rPr>
              <w:t xml:space="preserve">Hex</w:t>
            </w:r>
          </w:p>
        </w:tc>
      </w:tr>
      <w:tr>
        <w:tc>
          <w:tcPr>
            <w:tcW w:type="dxa" w:w="2800"/>
            <w:tcMar>
              <w:top w:type="dxa" w:w="80"/>
              <w:left w:type="dxa" w:w="100"/>
              <w:bottom w:type="dxa" w:w="80"/>
              <w:right w:type="dxa" w:w="100"/>
            </w:tcMar>
            <w:vAlign w:val="center"/>
          </w:tcPr>
          <w:p>
            <w:pPr>
              <w:jc w:val="left"/>
            </w:pPr>
            <w:r>
              <w:rPr>
                <w:b w:val="false"/>
                <w:bCs w:val="false"/>
              </w:rPr>
              <w:t xml:space="preserve">Primary</w:t>
            </w:r>
          </w:p>
        </w:tc>
        <w:tc>
          <w:tcPr>
            <w:tcW w:type="dxa" w:w="4200"/>
            <w:tcMar>
              <w:top w:type="dxa" w:w="80"/>
              <w:left w:type="dxa" w:w="100"/>
              <w:bottom w:type="dxa" w:w="80"/>
              <w:right w:type="dxa" w:w="100"/>
            </w:tcMar>
            <w:vAlign w:val="center"/>
          </w:tcPr>
          <w:p>
            <w:pPr>
              <w:jc w:val="left"/>
            </w:pPr>
            <w:r>
              <w:rPr>
                <w:b w:val="false"/>
                <w:bCs w:val="false"/>
              </w:rPr>
              <w:t xml:space="preserve">Deep space-indigo</w:t>
            </w:r>
          </w:p>
        </w:tc>
        <w:tc>
          <w:tcPr>
            <w:tcW w:type="dxa" w:w="2560"/>
            <w:tcMar>
              <w:top w:type="dxa" w:w="80"/>
              <w:left w:type="dxa" w:w="100"/>
              <w:bottom w:type="dxa" w:w="80"/>
              <w:right w:type="dxa" w:w="100"/>
            </w:tcMar>
            <w:vAlign w:val="center"/>
          </w:tcPr>
          <w:p>
            <w:pPr>
              <w:jc w:val="left"/>
            </w:pPr>
            <w:r>
              <w:rPr>
                <w:b w:val="false"/>
                <w:bCs w:val="false"/>
              </w:rPr>
              <w:t xml:space="preserve">#0A1128</w:t>
            </w:r>
          </w:p>
        </w:tc>
      </w:tr>
      <w:tr>
        <w:tc>
          <w:tcPr>
            <w:tcW w:type="dxa" w:w="2800"/>
            <w:shd w:fill="F4F6FA" w:color="auto" w:val="clear"/>
            <w:tcMar>
              <w:top w:type="dxa" w:w="80"/>
              <w:left w:type="dxa" w:w="100"/>
              <w:bottom w:type="dxa" w:w="80"/>
              <w:right w:type="dxa" w:w="100"/>
            </w:tcMar>
            <w:vAlign w:val="center"/>
          </w:tcPr>
          <w:p>
            <w:pPr>
              <w:jc w:val="left"/>
            </w:pPr>
            <w:r>
              <w:rPr>
                <w:b w:val="false"/>
                <w:bCs w:val="false"/>
              </w:rPr>
              <w:t xml:space="preserve">Base</w:t>
            </w:r>
          </w:p>
        </w:tc>
        <w:tc>
          <w:tcPr>
            <w:tcW w:type="dxa" w:w="4200"/>
            <w:shd w:fill="F4F6FA" w:color="auto" w:val="clear"/>
            <w:tcMar>
              <w:top w:type="dxa" w:w="80"/>
              <w:left w:type="dxa" w:w="100"/>
              <w:bottom w:type="dxa" w:w="80"/>
              <w:right w:type="dxa" w:w="100"/>
            </w:tcMar>
            <w:vAlign w:val="center"/>
          </w:tcPr>
          <w:p>
            <w:pPr>
              <w:jc w:val="left"/>
            </w:pPr>
            <w:r>
              <w:rPr>
                <w:b w:val="false"/>
                <w:bCs w:val="false"/>
              </w:rPr>
              <w:t xml:space="preserve">Pure white</w:t>
            </w:r>
          </w:p>
        </w:tc>
        <w:tc>
          <w:tcPr>
            <w:tcW w:type="dxa" w:w="2560"/>
            <w:shd w:fill="F4F6FA" w:color="auto" w:val="clear"/>
            <w:tcMar>
              <w:top w:type="dxa" w:w="80"/>
              <w:left w:type="dxa" w:w="100"/>
              <w:bottom w:type="dxa" w:w="80"/>
              <w:right w:type="dxa" w:w="100"/>
            </w:tcMar>
            <w:vAlign w:val="center"/>
          </w:tcPr>
          <w:p>
            <w:pPr>
              <w:jc w:val="left"/>
            </w:pPr>
            <w:r>
              <w:rPr>
                <w:b w:val="false"/>
                <w:bCs w:val="false"/>
              </w:rPr>
              <w:t xml:space="preserve">#FFFFFF</w:t>
            </w:r>
          </w:p>
        </w:tc>
      </w:tr>
      <w:tr>
        <w:tc>
          <w:tcPr>
            <w:tcW w:type="dxa" w:w="2800"/>
            <w:tcMar>
              <w:top w:type="dxa" w:w="80"/>
              <w:left w:type="dxa" w:w="100"/>
              <w:bottom w:type="dxa" w:w="80"/>
              <w:right w:type="dxa" w:w="100"/>
            </w:tcMar>
            <w:vAlign w:val="center"/>
          </w:tcPr>
          <w:p>
            <w:pPr>
              <w:jc w:val="left"/>
            </w:pPr>
            <w:r>
              <w:rPr>
                <w:b w:val="false"/>
                <w:bCs w:val="false"/>
              </w:rPr>
              <w:t xml:space="preserve">Base 2</w:t>
            </w:r>
          </w:p>
        </w:tc>
        <w:tc>
          <w:tcPr>
            <w:tcW w:type="dxa" w:w="4200"/>
            <w:tcMar>
              <w:top w:type="dxa" w:w="80"/>
              <w:left w:type="dxa" w:w="100"/>
              <w:bottom w:type="dxa" w:w="80"/>
              <w:right w:type="dxa" w:w="100"/>
            </w:tcMar>
            <w:vAlign w:val="center"/>
          </w:tcPr>
          <w:p>
            <w:pPr>
              <w:jc w:val="left"/>
            </w:pPr>
            <w:r>
              <w:rPr>
                <w:b w:val="false"/>
                <w:bCs w:val="false"/>
              </w:rPr>
              <w:t xml:space="preserve">Cool off-white (content backgrounds)</w:t>
            </w:r>
          </w:p>
        </w:tc>
        <w:tc>
          <w:tcPr>
            <w:tcW w:type="dxa" w:w="2560"/>
            <w:tcMar>
              <w:top w:type="dxa" w:w="80"/>
              <w:left w:type="dxa" w:w="100"/>
              <w:bottom w:type="dxa" w:w="80"/>
              <w:right w:type="dxa" w:w="100"/>
            </w:tcMar>
            <w:vAlign w:val="center"/>
          </w:tcPr>
          <w:p>
            <w:pPr>
              <w:jc w:val="left"/>
            </w:pPr>
            <w:r>
              <w:rPr>
                <w:b w:val="false"/>
                <w:bCs w:val="false"/>
              </w:rPr>
              <w:t xml:space="preserve">#F4F6FA</w:t>
            </w:r>
          </w:p>
        </w:tc>
      </w:tr>
      <w:tr>
        <w:tc>
          <w:tcPr>
            <w:tcW w:type="dxa" w:w="2800"/>
            <w:shd w:fill="F4F6FA" w:color="auto" w:val="clear"/>
            <w:tcMar>
              <w:top w:type="dxa" w:w="80"/>
              <w:left w:type="dxa" w:w="100"/>
              <w:bottom w:type="dxa" w:w="80"/>
              <w:right w:type="dxa" w:w="100"/>
            </w:tcMar>
            <w:vAlign w:val="center"/>
          </w:tcPr>
          <w:p>
            <w:pPr>
              <w:jc w:val="left"/>
            </w:pPr>
            <w:r>
              <w:rPr>
                <w:b w:val="false"/>
                <w:bCs w:val="false"/>
              </w:rPr>
              <w:t xml:space="preserve">Signature accent</w:t>
            </w:r>
          </w:p>
        </w:tc>
        <w:tc>
          <w:tcPr>
            <w:tcW w:type="dxa" w:w="4200"/>
            <w:shd w:fill="F4F6FA" w:color="auto" w:val="clear"/>
            <w:tcMar>
              <w:top w:type="dxa" w:w="80"/>
              <w:left w:type="dxa" w:w="100"/>
              <w:bottom w:type="dxa" w:w="80"/>
              <w:right w:type="dxa" w:w="100"/>
            </w:tcMar>
            <w:vAlign w:val="center"/>
          </w:tcPr>
          <w:p>
            <w:pPr>
              <w:jc w:val="left"/>
            </w:pPr>
            <w:r>
              <w:rPr>
                <w:b w:val="false"/>
                <w:bCs w:val="false"/>
              </w:rPr>
              <w:t xml:space="preserve">Electric ice-blue</w:t>
            </w:r>
          </w:p>
        </w:tc>
        <w:tc>
          <w:tcPr>
            <w:tcW w:type="dxa" w:w="2560"/>
            <w:shd w:fill="F4F6FA" w:color="auto" w:val="clear"/>
            <w:tcMar>
              <w:top w:type="dxa" w:w="80"/>
              <w:left w:type="dxa" w:w="100"/>
              <w:bottom w:type="dxa" w:w="80"/>
              <w:right w:type="dxa" w:w="100"/>
            </w:tcMar>
            <w:vAlign w:val="center"/>
          </w:tcPr>
          <w:p>
            <w:pPr>
              <w:jc w:val="left"/>
            </w:pPr>
            <w:r>
              <w:rPr>
                <w:b w:val="false"/>
                <w:bCs w:val="false"/>
              </w:rPr>
              <w:t xml:space="preserve">#3DDCFF</w:t>
            </w:r>
          </w:p>
        </w:tc>
      </w:tr>
    </w:tbl>
    <w:p>
      <w:pPr>
        <w:spacing w:after="160"/>
      </w:pPr>
      <w:r>
        <w:t xml:space="preserve">Rule for the designer to hold the line on: the ice-blue accent appears only at AI-advisor moments, live status, and price highlights — never as general decoration. That restraint is what keeps the product reading as “AI-native” instead of “another blue airline app.”</w:t>
      </w:r>
    </w:p>
    <w:p>
      <w:pPr>
        <w:pStyle w:val="Heading3"/>
        <w:spacing w:after="100" w:before="200"/>
      </w:pPr>
      <w:r>
        <w:t xml:space="preserve">Logo</w:t>
      </w:r>
    </w:p>
    <w:p>
      <w:pPr>
        <w:spacing w:after="160"/>
      </w:pPr>
      <w:r>
        <w:t xml:space="preserve">The Synqed Air logo is the SynqedAI logo, tweaked slightly — incorporating a flight/plane element (a plane motif worked into or alongside the existing mark) — rather than a fully separate identity. This keeps the visual link to the parent SynqedAI brand while signaling the sister company's category.</w:t>
      </w:r>
    </w:p>
    <w:p>
      <w:pPr>
        <w:pStyle w:val="Heading1"/>
        <w:spacing w:after="200" w:before="400"/>
      </w:pPr>
      <w:r>
        <w:t xml:space="preserve">10. PR &amp; Launch Strategy — Dec 31</w:t>
      </w:r>
    </w:p>
    <w:p>
      <w:pPr>
        <w:spacing w:after="160"/>
      </w:pPr>
      <w:r>
        <w:t xml:space="preserve">Positioning carried through every outreach: “the transparent-pricing challenger” and diaspora-corridor specialist — not “first AI flight booking app” (already claimed by Flightpadi's Ava, and disprovable in one search).</w:t>
      </w:r>
    </w:p>
    <w:p>
      <w:pPr>
        <w:pStyle w:val="ListParagraph"/>
        <w:numPr>
          <w:ilvl w:val="0"/>
          <w:numId w:val="2"/>
        </w:numPr>
        <w:spacing w:after="80"/>
      </w:pPr>
      <w:r>
        <w:t xml:space="preserve">3 weeks out (~Dec 10): Build the press kit — one-pager, founder story, app screenshots, a 60-second demo video, 2–3 beta-user testimonials with permission to use their names. [Designer] owns the visual assets.</w:t>
      </w:r>
    </w:p>
    <w:p>
      <w:pPr>
        <w:pStyle w:val="ListParagraph"/>
        <w:numPr>
          <w:ilvl w:val="0"/>
          <w:numId w:val="2"/>
        </w:numPr>
        <w:spacing w:after="80"/>
      </w:pPr>
      <w:r>
        <w:t xml:space="preserve">2 weeks out (~Dec 15–17): Embargoed pitches to TechCabal, Techpoint Africa, Disrupt Africa, and BusinessDay Nigeria's tech desk. Embargo lifts Dec 31 or Jan 1. Pitch the substitute-analysis story (hidden fees, poor support, no diaspora focus among existing players) — not a “first AI” claim.</w:t>
      </w:r>
    </w:p>
    <w:p>
      <w:pPr>
        <w:pStyle w:val="ListParagraph"/>
        <w:numPr>
          <w:ilvl w:val="0"/>
          <w:numId w:val="2"/>
        </w:numPr>
        <w:spacing w:after="80"/>
      </w:pPr>
      <w:r>
        <w:t xml:space="preserve">Soft launch window (Dec 20–26): App live in-store to waitlist and beta users before the PR push — gives the App Store listing real ratings and reviews before press traffic hits it.</w:t>
      </w:r>
    </w:p>
    <w:p>
      <w:pPr>
        <w:pStyle w:val="ListParagraph"/>
        <w:numPr>
          <w:ilvl w:val="0"/>
          <w:numId w:val="2"/>
        </w:numPr>
        <w:spacing w:after="80"/>
      </w:pPr>
      <w:r>
        <w:t xml:space="preserve">Launch day (Dec 31): Press release goes live, embargo lifts. Co-founder-led Substack/LinkedIn post tying to the “reduce, clarify, simplify” philosophy. Designer-built social assets pushed across existing SynqedAI channels. Seed into diaspora WhatsApp/Facebook communities directly — the actual distribution edge, not the press coverage itself. Consider a limited first-500-bookings fee-free offer to drive day-one installs and review velocity.</w:t>
      </w:r>
    </w:p>
    <w:p>
      <w:pPr>
        <w:pStyle w:val="ListParagraph"/>
        <w:numPr>
          <w:ilvl w:val="0"/>
          <w:numId w:val="2"/>
        </w:numPr>
        <w:spacing w:after="80"/>
      </w:pPr>
      <w:r>
        <w:t xml:space="preserve">Launch week (Jan 1–7): Respond to every press inquiry fast, monitor reviews and support tickets closely, be ready to ship a same-week bug-fix release — the first 7 days matter more than the launch-day headline.</w:t>
      </w:r>
    </w:p>
    <w:p>
      <w:pPr>
        <w:pStyle w:val="Heading1"/>
        <w:spacing w:after="200" w:before="400"/>
      </w:pPr>
      <w:r>
        <w:t xml:space="preserve">11. Open Items &amp; Risks</w:t>
      </w:r>
    </w:p>
    <w:p>
      <w:pPr>
        <w:pStyle w:val="ListParagraph"/>
        <w:numPr>
          <w:ilvl w:val="0"/>
          <w:numId w:val="2"/>
        </w:numPr>
        <w:spacing w:after="80"/>
      </w:pPr>
      <w:r>
        <w:t xml:space="preserve">Team Budget &amp; PR Plan still lists Dev 1 as building in React Native; the Engineering Build Brief specifies Flutter — reconcile before week 1.</w:t>
      </w:r>
    </w:p>
    <w:p>
      <w:pPr>
        <w:pStyle w:val="ListParagraph"/>
        <w:numPr>
          <w:ilvl w:val="0"/>
          <w:numId w:val="2"/>
        </w:numPr>
        <w:spacing w:after="80"/>
      </w:pPr>
      <w:r>
        <w:t xml:space="preserve">Duffel and Paystack clients are implemented from documentation but unverified against live accounts — confirm exact field names against current docs in week 1 before building further on top of them.</w:t>
      </w:r>
    </w:p>
    <w:p>
      <w:pPr>
        <w:pStyle w:val="ListParagraph"/>
        <w:numPr>
          <w:ilvl w:val="0"/>
          <w:numId w:val="2"/>
        </w:numPr>
        <w:spacing w:after="80"/>
      </w:pPr>
      <w:r>
        <w:t xml:space="preserve">Duffel's fee schedule (per-order or percentage) is not yet public — confirm during onboarding rather than assuming a number.</w:t>
      </w:r>
    </w:p>
    <w:p>
      <w:pPr>
        <w:pStyle w:val="ListParagraph"/>
        <w:numPr>
          <w:ilvl w:val="0"/>
          <w:numId w:val="2"/>
        </w:numPr>
        <w:spacing w:after="80"/>
      </w:pPr>
      <w:r>
        <w:t xml:space="preserve">Paystack KYC and Duffel API access can take 1–3 weeks — both must be initiated on day one of September, not week 2.</w:t>
      </w:r>
    </w:p>
    <w:p>
      <w:pPr>
        <w:pStyle w:val="ListParagraph"/>
        <w:numPr>
          <w:ilvl w:val="0"/>
          <w:numId w:val="2"/>
        </w:numPr>
        <w:spacing w:after="80"/>
      </w:pPr>
      <w:r>
        <w:t xml:space="preserve">International-card fee exposure (3.9% + ₦100, uncapped) needs an explicit pricing decision for the diaspora corridor before checkout UI is finalized.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SYNQED AIR — Travel Synqed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0A1128"/>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0A1128"/>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2026-08-24T09:34:34.041Z</dcterms:created>
  <dcterms:modified xsi:type="dcterms:W3CDTF">2026-08-24T09:34:34.053Z</dcterms:modified>
</cp:coreProperties>
</file>

<file path=docProps/custom.xml><?xml version="1.0" encoding="utf-8"?>
<Properties xmlns="http://schemas.openxmlformats.org/officeDocument/2006/custom-properties" xmlns:vt="http://schemas.openxmlformats.org/officeDocument/2006/docPropsVTypes"/>
</file>