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9FCD" w14:textId="77777777" w:rsidR="00DF5A2C" w:rsidRDefault="001441BE" w:rsidP="001441BE">
      <w:pPr>
        <w:jc w:val="center"/>
      </w:pPr>
      <w:r>
        <w:rPr>
          <w:rFonts w:ascii="Times New Roman" w:eastAsia="宋体" w:hAnsi="Times New Roman"/>
          <w:b/>
          <w:sz w:val="36"/>
        </w:rPr>
        <w:t xml:space="preserve">HISR </w:t>
      </w:r>
      <w:r>
        <w:rPr>
          <w:rFonts w:ascii="Times New Roman" w:eastAsia="宋体" w:hAnsi="Times New Roman"/>
          <w:b/>
          <w:sz w:val="36"/>
        </w:rPr>
        <w:t>实验方案（基于</w:t>
      </w:r>
      <w:r>
        <w:rPr>
          <w:rFonts w:ascii="Times New Roman" w:eastAsia="宋体" w:hAnsi="Times New Roman"/>
          <w:b/>
          <w:sz w:val="36"/>
        </w:rPr>
        <w:t xml:space="preserve"> UCL-sketch </w:t>
      </w:r>
      <w:r>
        <w:rPr>
          <w:rFonts w:ascii="Times New Roman" w:eastAsia="宋体" w:hAnsi="Times New Roman"/>
          <w:b/>
          <w:sz w:val="36"/>
        </w:rPr>
        <w:t>数据集）</w:t>
      </w:r>
    </w:p>
    <w:p w14:paraId="0FBE5145" w14:textId="77777777" w:rsidR="00DF5A2C" w:rsidRDefault="001441BE" w:rsidP="001441BE">
      <w:pPr>
        <w:jc w:val="center"/>
      </w:pPr>
      <w:r>
        <w:rPr>
          <w:rFonts w:ascii="Times New Roman" w:eastAsia="宋体" w:hAnsi="Times New Roman"/>
        </w:rPr>
        <w:t>版本：</w:t>
      </w:r>
      <w:r>
        <w:rPr>
          <w:rFonts w:ascii="Times New Roman" w:eastAsia="宋体" w:hAnsi="Times New Roman"/>
        </w:rPr>
        <w:t xml:space="preserve">v2  |  </w:t>
      </w:r>
      <w:r>
        <w:rPr>
          <w:rFonts w:ascii="Times New Roman" w:eastAsia="宋体" w:hAnsi="Times New Roman"/>
        </w:rPr>
        <w:t>重点：键空间前缀粒度（</w:t>
      </w:r>
      <w:r>
        <w:rPr>
          <w:rFonts w:ascii="Times New Roman" w:eastAsia="宋体" w:hAnsi="Times New Roman"/>
        </w:rPr>
        <w:t>Prefix Granularity</w:t>
      </w:r>
      <w:r>
        <w:rPr>
          <w:rFonts w:ascii="Times New Roman" w:eastAsia="宋体" w:hAnsi="Times New Roman"/>
        </w:rPr>
        <w:t>）的多尺度恢复</w:t>
      </w:r>
      <w:r>
        <w:rPr>
          <w:rFonts w:ascii="Times New Roman" w:eastAsia="宋体" w:hAnsi="Times New Roman"/>
        </w:rPr>
        <w:t xml:space="preserve"> + </w:t>
      </w:r>
      <w:r>
        <w:rPr>
          <w:rFonts w:ascii="Times New Roman" w:eastAsia="宋体" w:hAnsi="Times New Roman"/>
        </w:rPr>
        <w:t>多环境不变学习（</w:t>
      </w:r>
      <w:r>
        <w:rPr>
          <w:rFonts w:ascii="Times New Roman" w:eastAsia="宋体" w:hAnsi="Times New Roman"/>
        </w:rPr>
        <w:t>IRM-style</w:t>
      </w:r>
      <w:r>
        <w:rPr>
          <w:rFonts w:ascii="Times New Roman" w:eastAsia="宋体" w:hAnsi="Times New Roman"/>
        </w:rPr>
        <w:t>）</w:t>
      </w:r>
    </w:p>
    <w:p w14:paraId="134076B9" w14:textId="77777777" w:rsidR="00DF5A2C" w:rsidRDefault="00DF5A2C" w:rsidP="001441BE">
      <w:pPr>
        <w:jc w:val="both"/>
      </w:pPr>
    </w:p>
    <w:p w14:paraId="2B174298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本方案在保持</w:t>
      </w:r>
      <w:r>
        <w:rPr>
          <w:rFonts w:ascii="Times New Roman" w:eastAsia="宋体" w:hAnsi="Times New Roman"/>
          <w:lang w:eastAsia="zh-CN"/>
        </w:rPr>
        <w:t xml:space="preserve"> UCL-sketch </w:t>
      </w:r>
      <w:r>
        <w:rPr>
          <w:rFonts w:ascii="Times New Roman" w:eastAsia="宋体" w:hAnsi="Times New Roman"/>
          <w:lang w:eastAsia="zh-CN"/>
        </w:rPr>
        <w:t>的数据集与评测口径不变的前提下，将</w:t>
      </w:r>
      <w:r>
        <w:rPr>
          <w:rFonts w:ascii="Times New Roman" w:eastAsia="宋体" w:hAnsi="Times New Roman"/>
          <w:lang w:eastAsia="zh-CN"/>
        </w:rPr>
        <w:t xml:space="preserve"> HISR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尺度（</w:t>
      </w:r>
      <w:r>
        <w:rPr>
          <w:rFonts w:ascii="Times New Roman" w:eastAsia="宋体" w:hAnsi="Times New Roman"/>
          <w:lang w:eastAsia="zh-CN"/>
        </w:rPr>
        <w:t>Scale</w:t>
      </w:r>
      <w:r>
        <w:rPr>
          <w:rFonts w:ascii="Times New Roman" w:eastAsia="宋体" w:hAnsi="Times New Roman"/>
          <w:lang w:eastAsia="zh-CN"/>
        </w:rPr>
        <w:t>）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从时间粒度迁移为键空间的前缀粒度，并据此敲定可复现实验任务、对比组、消融与代码架构。文档尽量减少超参数与具体配置细节，强调实验内容、研究问题与工程落地结构。</w:t>
      </w:r>
    </w:p>
    <w:p w14:paraId="36627B37" w14:textId="77777777" w:rsidR="00DF5A2C" w:rsidRDefault="001441BE" w:rsidP="001441BE">
      <w:pPr>
        <w:pStyle w:val="1"/>
        <w:jc w:val="both"/>
      </w:pPr>
      <w:r>
        <w:rPr>
          <w:rFonts w:ascii="Times New Roman" w:eastAsia="宋体" w:hAnsi="Times New Roman"/>
        </w:rPr>
        <w:t xml:space="preserve">1. </w:t>
      </w:r>
      <w:r>
        <w:rPr>
          <w:rFonts w:ascii="Times New Roman" w:eastAsia="宋体" w:hAnsi="Times New Roman"/>
        </w:rPr>
        <w:t>实验目标与研究问题（</w:t>
      </w:r>
      <w:r>
        <w:rPr>
          <w:rFonts w:ascii="Times New Roman" w:eastAsia="宋体" w:hAnsi="Times New Roman"/>
        </w:rPr>
        <w:t>Research Questions</w:t>
      </w:r>
      <w:r>
        <w:rPr>
          <w:rFonts w:ascii="Times New Roman" w:eastAsia="宋体" w:hAnsi="Times New Roman"/>
        </w:rPr>
        <w:t>）</w:t>
      </w:r>
    </w:p>
    <w:p w14:paraId="7B1DB715" w14:textId="77777777" w:rsidR="00DF5A2C" w:rsidRDefault="001441BE" w:rsidP="001441BE">
      <w:pPr>
        <w:jc w:val="both"/>
      </w:pPr>
      <w:r>
        <w:rPr>
          <w:rFonts w:ascii="Times New Roman" w:eastAsia="宋体" w:hAnsi="Times New Roman"/>
        </w:rPr>
        <w:t>总体目标：在</w:t>
      </w:r>
      <w:r>
        <w:rPr>
          <w:rFonts w:ascii="Times New Roman" w:eastAsia="宋体" w:hAnsi="Times New Roman"/>
        </w:rPr>
        <w:t xml:space="preserve"> UCL-sketch </w:t>
      </w:r>
      <w:r>
        <w:rPr>
          <w:rFonts w:ascii="Times New Roman" w:eastAsia="宋体" w:hAnsi="Times New Roman"/>
        </w:rPr>
        <w:t>既有数据集与基线框架上，验证</w:t>
      </w:r>
      <w:r>
        <w:rPr>
          <w:rFonts w:ascii="Times New Roman" w:eastAsia="宋体" w:hAnsi="Times New Roman"/>
        </w:rPr>
        <w:t xml:space="preserve"> HISR </w:t>
      </w:r>
      <w:r>
        <w:rPr>
          <w:rFonts w:ascii="Times New Roman" w:eastAsia="宋体" w:hAnsi="Times New Roman"/>
        </w:rPr>
        <w:t>是否能够通过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前缀多尺度（</w:t>
      </w:r>
      <w:r>
        <w:rPr>
          <w:rFonts w:ascii="Times New Roman" w:eastAsia="宋体" w:hAnsi="Times New Roman"/>
        </w:rPr>
        <w:t>coarse-to-fine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多环境不变性约束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提升频率恢复精度与分布偏移鲁棒性，同时保持逻辑桶接口的可扩展部署特性。</w:t>
      </w:r>
    </w:p>
    <w:p w14:paraId="3E05931F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在本文语境中，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尺度（</w:t>
      </w:r>
      <w:r>
        <w:rPr>
          <w:rFonts w:ascii="Times New Roman" w:eastAsia="宋体" w:hAnsi="Times New Roman"/>
          <w:lang w:eastAsia="zh-CN"/>
        </w:rPr>
        <w:t>Scale</w:t>
      </w:r>
      <w:r>
        <w:rPr>
          <w:rFonts w:ascii="Times New Roman" w:eastAsia="宋体" w:hAnsi="Times New Roman"/>
          <w:lang w:eastAsia="zh-CN"/>
        </w:rPr>
        <w:t>）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专指键空间的前缀粒度：从粗粒度聚合键（</w:t>
      </w:r>
      <w:r>
        <w:rPr>
          <w:rFonts w:ascii="Times New Roman" w:eastAsia="宋体" w:hAnsi="Times New Roman"/>
          <w:lang w:eastAsia="zh-CN"/>
        </w:rPr>
        <w:t>prefix</w:t>
      </w:r>
      <w:r>
        <w:rPr>
          <w:rFonts w:ascii="Times New Roman" w:eastAsia="宋体" w:hAnsi="Times New Roman"/>
          <w:lang w:eastAsia="zh-CN"/>
        </w:rPr>
        <w:t>）逐级</w:t>
      </w:r>
      <w:r>
        <w:rPr>
          <w:rFonts w:ascii="Times New Roman" w:eastAsia="宋体" w:hAnsi="Times New Roman"/>
          <w:lang w:eastAsia="zh-CN"/>
        </w:rPr>
        <w:t xml:space="preserve"> zoom-in </w:t>
      </w:r>
      <w:r>
        <w:rPr>
          <w:rFonts w:ascii="Times New Roman" w:eastAsia="宋体" w:hAnsi="Times New Roman"/>
          <w:lang w:eastAsia="zh-CN"/>
        </w:rPr>
        <w:t>到细粒度具体键。该设定与</w:t>
      </w:r>
      <w:r>
        <w:rPr>
          <w:rFonts w:ascii="Times New Roman" w:eastAsia="宋体" w:hAnsi="Times New Roman"/>
          <w:lang w:eastAsia="zh-CN"/>
        </w:rPr>
        <w:t xml:space="preserve"> ZoomSynth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多尺度逐级放大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一脉相承，但</w:t>
      </w:r>
      <w:r>
        <w:rPr>
          <w:rFonts w:ascii="Times New Roman" w:eastAsia="宋体" w:hAnsi="Times New Roman"/>
          <w:lang w:eastAsia="zh-CN"/>
        </w:rPr>
        <w:t xml:space="preserve"> ZoomSynth </w:t>
      </w:r>
      <w:r>
        <w:rPr>
          <w:rFonts w:ascii="Times New Roman" w:eastAsia="宋体" w:hAnsi="Times New Roman"/>
          <w:lang w:eastAsia="zh-CN"/>
        </w:rPr>
        <w:t>的尺度来自时间粒度，而</w:t>
      </w:r>
      <w:r>
        <w:rPr>
          <w:rFonts w:ascii="Times New Roman" w:eastAsia="宋体" w:hAnsi="Times New Roman"/>
          <w:lang w:eastAsia="zh-CN"/>
        </w:rPr>
        <w:t xml:space="preserve"> HISR-v2 </w:t>
      </w:r>
      <w:r>
        <w:rPr>
          <w:rFonts w:ascii="Times New Roman" w:eastAsia="宋体" w:hAnsi="Times New Roman"/>
          <w:lang w:eastAsia="zh-CN"/>
        </w:rPr>
        <w:t>的尺度来自键空间层级结构。</w:t>
      </w:r>
    </w:p>
    <w:p w14:paraId="76E9D4B7" w14:textId="77777777" w:rsidR="00DF5A2C" w:rsidRDefault="001441BE" w:rsidP="001441BE">
      <w:pPr>
        <w:jc w:val="both"/>
      </w:pPr>
      <w:r>
        <w:rPr>
          <w:rFonts w:ascii="Times New Roman" w:eastAsia="宋体" w:hAnsi="Times New Roman"/>
          <w:b/>
        </w:rPr>
        <w:t>RQ1</w:t>
      </w:r>
      <w:r>
        <w:rPr>
          <w:rFonts w:ascii="Times New Roman" w:eastAsia="宋体" w:hAnsi="Times New Roman"/>
          <w:b/>
        </w:rPr>
        <w:t>（多尺度有效性）：</w:t>
      </w:r>
    </w:p>
    <w:p w14:paraId="03926320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在键空间具备层级结构的情况下（例如</w:t>
      </w:r>
      <w:r>
        <w:rPr>
          <w:rFonts w:ascii="Times New Roman" w:eastAsia="宋体" w:hAnsi="Times New Roman"/>
          <w:lang w:eastAsia="zh-CN"/>
        </w:rPr>
        <w:t xml:space="preserve"> IPv4 </w:t>
      </w:r>
      <w:r>
        <w:rPr>
          <w:rFonts w:ascii="Times New Roman" w:eastAsia="宋体" w:hAnsi="Times New Roman"/>
          <w:lang w:eastAsia="zh-CN"/>
        </w:rPr>
        <w:t>前缀），将恢复目标按前缀粒度分层（</w:t>
      </w:r>
      <w:r>
        <w:rPr>
          <w:rFonts w:ascii="Times New Roman" w:eastAsia="宋体" w:hAnsi="Times New Roman"/>
          <w:lang w:eastAsia="zh-CN"/>
        </w:rPr>
        <w:t>/16→/24→/32</w:t>
      </w:r>
      <w:r>
        <w:rPr>
          <w:rFonts w:ascii="Times New Roman" w:eastAsia="宋体" w:hAnsi="Times New Roman"/>
          <w:lang w:eastAsia="zh-CN"/>
        </w:rPr>
        <w:t>）是否能显著提高长尾与</w:t>
      </w:r>
      <w:r>
        <w:rPr>
          <w:rFonts w:ascii="Times New Roman" w:eastAsia="宋体" w:hAnsi="Times New Roman"/>
          <w:lang w:eastAsia="zh-CN"/>
        </w:rPr>
        <w:t xml:space="preserve"> OOD </w:t>
      </w:r>
      <w:r>
        <w:rPr>
          <w:rFonts w:ascii="Times New Roman" w:eastAsia="宋体" w:hAnsi="Times New Roman"/>
          <w:lang w:eastAsia="zh-CN"/>
        </w:rPr>
        <w:t>条件下的估计稳定性？</w:t>
      </w:r>
    </w:p>
    <w:p w14:paraId="21F172CE" w14:textId="77777777" w:rsidR="00DF5A2C" w:rsidRDefault="001441BE" w:rsidP="001441BE">
      <w:pPr>
        <w:jc w:val="both"/>
      </w:pPr>
      <w:r>
        <w:rPr>
          <w:rFonts w:ascii="Times New Roman" w:eastAsia="宋体" w:hAnsi="Times New Roman"/>
          <w:b/>
        </w:rPr>
        <w:t>RQ2</w:t>
      </w:r>
      <w:r>
        <w:rPr>
          <w:rFonts w:ascii="Times New Roman" w:eastAsia="宋体" w:hAnsi="Times New Roman"/>
          <w:b/>
        </w:rPr>
        <w:t>（</w:t>
      </w:r>
      <w:r>
        <w:rPr>
          <w:rFonts w:ascii="Times New Roman" w:eastAsia="宋体" w:hAnsi="Times New Roman"/>
          <w:b/>
        </w:rPr>
        <w:t xml:space="preserve">Zoom-in </w:t>
      </w:r>
      <w:r>
        <w:rPr>
          <w:rFonts w:ascii="Times New Roman" w:eastAsia="宋体" w:hAnsi="Times New Roman"/>
          <w:b/>
        </w:rPr>
        <w:t>效率）：</w:t>
      </w:r>
    </w:p>
    <w:p w14:paraId="46CE1ACF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先在粗粒度定位热点区域（</w:t>
      </w:r>
      <w:r>
        <w:rPr>
          <w:rFonts w:ascii="Times New Roman" w:eastAsia="宋体" w:hAnsi="Times New Roman"/>
          <w:lang w:eastAsia="zh-CN"/>
        </w:rPr>
        <w:t>hot prefixes</w:t>
      </w:r>
      <w:r>
        <w:rPr>
          <w:rFonts w:ascii="Times New Roman" w:eastAsia="宋体" w:hAnsi="Times New Roman"/>
          <w:lang w:eastAsia="zh-CN"/>
        </w:rPr>
        <w:t>），再</w:t>
      </w:r>
      <w:r>
        <w:rPr>
          <w:rFonts w:ascii="Times New Roman" w:eastAsia="宋体" w:hAnsi="Times New Roman"/>
          <w:lang w:eastAsia="zh-CN"/>
        </w:rPr>
        <w:t>在热点内细化恢复，是否能在相同空间预算下提升精度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计算效率比？</w:t>
      </w:r>
    </w:p>
    <w:p w14:paraId="6BE74619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RQ3</w:t>
      </w:r>
      <w:r>
        <w:rPr>
          <w:rFonts w:ascii="Times New Roman" w:eastAsia="宋体" w:hAnsi="Times New Roman"/>
          <w:b/>
          <w:lang w:eastAsia="zh-CN"/>
        </w:rPr>
        <w:t>（不变学习收益）：</w:t>
      </w:r>
    </w:p>
    <w:p w14:paraId="22791130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当哈希视角（种子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多哈希行）或键空间阶段发生变化时，</w:t>
      </w:r>
      <w:r>
        <w:rPr>
          <w:rFonts w:ascii="Times New Roman" w:eastAsia="宋体" w:hAnsi="Times New Roman"/>
          <w:lang w:eastAsia="zh-CN"/>
        </w:rPr>
        <w:t xml:space="preserve">IRM-style </w:t>
      </w:r>
      <w:r>
        <w:rPr>
          <w:rFonts w:ascii="Times New Roman" w:eastAsia="宋体" w:hAnsi="Times New Roman"/>
          <w:lang w:eastAsia="zh-CN"/>
        </w:rPr>
        <w:t>的跨环境约束是否能减少模型对碰撞模式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桶编号等捷径的依赖，从而降低</w:t>
      </w:r>
      <w:r>
        <w:rPr>
          <w:rFonts w:ascii="Times New Roman" w:eastAsia="宋体" w:hAnsi="Times New Roman"/>
          <w:lang w:eastAsia="zh-CN"/>
        </w:rPr>
        <w:t xml:space="preserve"> OOD </w:t>
      </w:r>
      <w:r>
        <w:rPr>
          <w:rFonts w:ascii="Times New Roman" w:eastAsia="宋体" w:hAnsi="Times New Roman"/>
          <w:lang w:eastAsia="zh-CN"/>
        </w:rPr>
        <w:t>误差增幅？</w:t>
      </w:r>
    </w:p>
    <w:p w14:paraId="19952BB1" w14:textId="77777777" w:rsidR="00DF5A2C" w:rsidRDefault="00DF5A2C" w:rsidP="001441BE">
      <w:pPr>
        <w:jc w:val="both"/>
        <w:rPr>
          <w:lang w:eastAsia="zh-CN"/>
        </w:rPr>
      </w:pPr>
    </w:p>
    <w:p w14:paraId="0AB9E332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核心直觉：粗粒度前缀（如</w:t>
      </w:r>
      <w:r>
        <w:rPr>
          <w:rFonts w:ascii="Times New Roman" w:eastAsia="宋体" w:hAnsi="Times New Roman"/>
          <w:lang w:eastAsia="zh-CN"/>
        </w:rPr>
        <w:t xml:space="preserve"> /16</w:t>
      </w:r>
      <w:r>
        <w:rPr>
          <w:rFonts w:ascii="Times New Roman" w:eastAsia="宋体" w:hAnsi="Times New Roman"/>
          <w:lang w:eastAsia="zh-CN"/>
        </w:rPr>
        <w:t>）将大量流量聚合，信号更强且不易被单点哈希碰撞淹没；我们先确定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哪里有大鱼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，再在热点前缀内部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下网捕捞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，避免在整个稀疏键空间盲目解方程。</w:t>
      </w:r>
    </w:p>
    <w:p w14:paraId="184DA9FE" w14:textId="77777777" w:rsidR="00DF5A2C" w:rsidRDefault="001441BE" w:rsidP="001441BE">
      <w:pPr>
        <w:pStyle w:val="1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2. </w:t>
      </w:r>
      <w:r>
        <w:rPr>
          <w:rFonts w:ascii="Times New Roman" w:eastAsia="宋体" w:hAnsi="Times New Roman"/>
          <w:lang w:eastAsia="zh-CN"/>
        </w:rPr>
        <w:t>数据集、键定义与多尺度任务</w:t>
      </w:r>
    </w:p>
    <w:p w14:paraId="767F2AEB" w14:textId="77777777" w:rsidR="00DF5A2C" w:rsidRDefault="001441BE" w:rsidP="001441BE">
      <w:pPr>
        <w:pStyle w:val="21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2.1 </w:t>
      </w:r>
      <w:r>
        <w:rPr>
          <w:rFonts w:ascii="Times New Roman" w:eastAsia="宋体" w:hAnsi="Times New Roman"/>
          <w:sz w:val="24"/>
          <w:lang w:eastAsia="zh-CN"/>
        </w:rPr>
        <w:t>数据集与复现约束（沿用</w:t>
      </w:r>
      <w:r>
        <w:rPr>
          <w:rFonts w:ascii="Times New Roman" w:eastAsia="宋体" w:hAnsi="Times New Roman"/>
          <w:sz w:val="24"/>
          <w:lang w:eastAsia="zh-CN"/>
        </w:rPr>
        <w:t xml:space="preserve"> UCL-sketch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实验数据）</w:t>
      </w:r>
    </w:p>
    <w:p w14:paraId="079E7BAD" w14:textId="77777777" w:rsidR="00DF5A2C" w:rsidRDefault="001441BE" w:rsidP="001441BE">
      <w:pPr>
        <w:jc w:val="both"/>
      </w:pPr>
      <w:r>
        <w:rPr>
          <w:rFonts w:ascii="Times New Roman" w:eastAsia="宋体" w:hAnsi="Times New Roman"/>
        </w:rPr>
        <w:t>数据集：沿用</w:t>
      </w:r>
      <w:r>
        <w:rPr>
          <w:rFonts w:ascii="Times New Roman" w:eastAsia="宋体" w:hAnsi="Times New Roman"/>
        </w:rPr>
        <w:t xml:space="preserve"> uclsketch </w:t>
      </w:r>
      <w:r>
        <w:rPr>
          <w:rFonts w:ascii="Times New Roman" w:eastAsia="宋体" w:hAnsi="Times New Roman"/>
        </w:rPr>
        <w:t>仓库中的</w:t>
      </w:r>
      <w:r>
        <w:rPr>
          <w:rFonts w:ascii="Times New Roman" w:eastAsia="宋体" w:hAnsi="Times New Roman"/>
        </w:rPr>
        <w:t xml:space="preserve"> network</w:t>
      </w:r>
      <w:r>
        <w:rPr>
          <w:rFonts w:ascii="Times New Roman" w:eastAsia="宋体" w:hAnsi="Times New Roman"/>
        </w:rPr>
        <w:t>（网络流）数据流程与其导出产物（</w:t>
      </w:r>
      <w:r>
        <w:rPr>
          <w:rFonts w:ascii="Times New Roman" w:eastAsia="宋体" w:hAnsi="Times New Roman"/>
        </w:rPr>
        <w:t xml:space="preserve">ground truth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sketch samples</w:t>
      </w:r>
      <w:r>
        <w:rPr>
          <w:rFonts w:ascii="Times New Roman" w:eastAsia="宋体" w:hAnsi="Times New Roman"/>
        </w:rPr>
        <w:t>）。该数据为网络包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流的键值序列（仓库提供</w:t>
      </w:r>
      <w:r>
        <w:rPr>
          <w:rFonts w:ascii="Times New Roman" w:eastAsia="宋体" w:hAnsi="Times New Roman"/>
        </w:rPr>
        <w:t xml:space="preserve"> 5 </w:t>
      </w:r>
      <w:r>
        <w:rPr>
          <w:rFonts w:ascii="Times New Roman" w:eastAsia="宋体" w:hAnsi="Times New Roman"/>
        </w:rPr>
        <w:t>元组切片格式），支持与</w:t>
      </w:r>
      <w:r>
        <w:rPr>
          <w:rFonts w:ascii="Times New Roman" w:eastAsia="宋体" w:hAnsi="Times New Roman"/>
        </w:rPr>
        <w:t xml:space="preserve"> CM-sketch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C-sketch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Elastic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UnivMon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Nitro </w:t>
      </w:r>
      <w:r>
        <w:rPr>
          <w:rFonts w:ascii="Times New Roman" w:eastAsia="宋体" w:hAnsi="Times New Roman"/>
        </w:rPr>
        <w:t>等基线对齐评测。</w:t>
      </w:r>
    </w:p>
    <w:p w14:paraId="65FB4A87" w14:textId="77777777" w:rsidR="00DF5A2C" w:rsidRDefault="001441BE" w:rsidP="001441BE">
      <w:pPr>
        <w:pStyle w:val="21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2.2 </w:t>
      </w:r>
      <w:r>
        <w:rPr>
          <w:rFonts w:ascii="Times New Roman" w:eastAsia="宋体" w:hAnsi="Times New Roman"/>
          <w:sz w:val="24"/>
          <w:lang w:eastAsia="zh-CN"/>
        </w:rPr>
        <w:t>键空间层级：</w:t>
      </w:r>
      <w:r>
        <w:rPr>
          <w:rFonts w:ascii="Times New Roman" w:eastAsia="宋体" w:hAnsi="Times New Roman"/>
          <w:sz w:val="24"/>
          <w:lang w:eastAsia="zh-CN"/>
        </w:rPr>
        <w:t xml:space="preserve">Prefix Granularity </w:t>
      </w:r>
      <w:r>
        <w:rPr>
          <w:rFonts w:ascii="Times New Roman" w:eastAsia="宋体" w:hAnsi="Times New Roman"/>
          <w:sz w:val="24"/>
          <w:lang w:eastAsia="zh-CN"/>
        </w:rPr>
        <w:t>的定义</w:t>
      </w:r>
    </w:p>
    <w:p w14:paraId="7466FD19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HISR-v2 </w:t>
      </w:r>
      <w:r>
        <w:rPr>
          <w:rFonts w:ascii="Times New Roman" w:eastAsia="宋体" w:hAnsi="Times New Roman"/>
          <w:lang w:eastAsia="zh-CN"/>
        </w:rPr>
        <w:t>的关键改动是把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尺度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定义为键的前缀粒度。在</w:t>
      </w:r>
      <w:r>
        <w:rPr>
          <w:rFonts w:ascii="Times New Roman" w:eastAsia="宋体" w:hAnsi="Times New Roman"/>
          <w:lang w:eastAsia="zh-CN"/>
        </w:rPr>
        <w:t xml:space="preserve"> network </w:t>
      </w:r>
      <w:r>
        <w:rPr>
          <w:rFonts w:ascii="Times New Roman" w:eastAsia="宋体" w:hAnsi="Times New Roman"/>
          <w:lang w:eastAsia="zh-CN"/>
        </w:rPr>
        <w:t>数据中，我们从键中提取</w:t>
      </w:r>
      <w:r>
        <w:rPr>
          <w:rFonts w:ascii="Times New Roman" w:eastAsia="宋体" w:hAnsi="Times New Roman"/>
          <w:lang w:eastAsia="zh-CN"/>
        </w:rPr>
        <w:t xml:space="preserve"> IPv4 </w:t>
      </w:r>
      <w:r>
        <w:rPr>
          <w:rFonts w:ascii="Times New Roman" w:eastAsia="宋体" w:hAnsi="Times New Roman"/>
          <w:lang w:eastAsia="zh-CN"/>
        </w:rPr>
        <w:t>地址字段（例如源</w:t>
      </w:r>
      <w:r>
        <w:rPr>
          <w:rFonts w:ascii="Times New Roman" w:eastAsia="宋体" w:hAnsi="Times New Roman"/>
          <w:lang w:eastAsia="zh-CN"/>
        </w:rPr>
        <w:t xml:space="preserve"> IP </w:t>
      </w:r>
      <w:r>
        <w:rPr>
          <w:rFonts w:ascii="Times New Roman" w:eastAsia="宋体" w:hAnsi="Times New Roman"/>
          <w:lang w:eastAsia="zh-CN"/>
        </w:rPr>
        <w:t>或目的</w:t>
      </w:r>
      <w:r>
        <w:rPr>
          <w:rFonts w:ascii="Times New Roman" w:eastAsia="宋体" w:hAnsi="Times New Roman"/>
          <w:lang w:eastAsia="zh-CN"/>
        </w:rPr>
        <w:t xml:space="preserve"> IP</w:t>
      </w:r>
      <w:r>
        <w:rPr>
          <w:rFonts w:ascii="Times New Roman" w:eastAsia="宋体" w:hAnsi="Times New Roman"/>
          <w:lang w:eastAsia="zh-CN"/>
        </w:rPr>
        <w:t>；实验需固定一个选择），并构造三层前缀映射：</w:t>
      </w:r>
    </w:p>
    <w:p w14:paraId="2E08A30A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Fine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L3</w:t>
      </w:r>
      <w:r>
        <w:rPr>
          <w:rFonts w:ascii="Times New Roman" w:eastAsia="宋体" w:hAnsi="Times New Roman"/>
          <w:lang w:eastAsia="zh-CN"/>
        </w:rPr>
        <w:t>）：</w:t>
      </w:r>
      <w:r>
        <w:rPr>
          <w:rFonts w:ascii="Times New Roman" w:eastAsia="宋体" w:hAnsi="Times New Roman"/>
          <w:lang w:eastAsia="zh-CN"/>
        </w:rPr>
        <w:t xml:space="preserve">/32 </w:t>
      </w:r>
      <w:r>
        <w:rPr>
          <w:rFonts w:ascii="Times New Roman" w:eastAsia="宋体" w:hAnsi="Times New Roman"/>
          <w:lang w:eastAsia="zh-CN"/>
        </w:rPr>
        <w:t>级别的具体</w:t>
      </w:r>
      <w:r>
        <w:rPr>
          <w:rFonts w:ascii="Times New Roman" w:eastAsia="宋体" w:hAnsi="Times New Roman"/>
          <w:lang w:eastAsia="zh-CN"/>
        </w:rPr>
        <w:t xml:space="preserve"> IP</w:t>
      </w:r>
      <w:r>
        <w:rPr>
          <w:rFonts w:ascii="Times New Roman" w:eastAsia="宋体" w:hAnsi="Times New Roman"/>
          <w:lang w:eastAsia="zh-CN"/>
        </w:rPr>
        <w:t>（单点键）。</w:t>
      </w:r>
    </w:p>
    <w:p w14:paraId="1C639352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Medium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L2</w:t>
      </w:r>
      <w:r>
        <w:rPr>
          <w:rFonts w:ascii="Times New Roman" w:eastAsia="宋体" w:hAnsi="Times New Roman"/>
          <w:lang w:eastAsia="zh-CN"/>
        </w:rPr>
        <w:t>）：</w:t>
      </w:r>
      <w:r>
        <w:rPr>
          <w:rFonts w:ascii="Times New Roman" w:eastAsia="宋体" w:hAnsi="Times New Roman"/>
          <w:lang w:eastAsia="zh-CN"/>
        </w:rPr>
        <w:t xml:space="preserve">/24 </w:t>
      </w:r>
      <w:r>
        <w:rPr>
          <w:rFonts w:ascii="Times New Roman" w:eastAsia="宋体" w:hAnsi="Times New Roman"/>
          <w:lang w:eastAsia="zh-CN"/>
        </w:rPr>
        <w:t>前缀（子网）键，表示该</w:t>
      </w:r>
      <w:r>
        <w:rPr>
          <w:rFonts w:ascii="Times New Roman" w:eastAsia="宋体" w:hAnsi="Times New Roman"/>
          <w:lang w:eastAsia="zh-CN"/>
        </w:rPr>
        <w:t xml:space="preserve"> /24 </w:t>
      </w:r>
      <w:r>
        <w:rPr>
          <w:rFonts w:ascii="Times New Roman" w:eastAsia="宋体" w:hAnsi="Times New Roman"/>
          <w:lang w:eastAsia="zh-CN"/>
        </w:rPr>
        <w:t>内所有</w:t>
      </w:r>
      <w:r>
        <w:rPr>
          <w:rFonts w:ascii="Times New Roman" w:eastAsia="宋体" w:hAnsi="Times New Roman"/>
          <w:lang w:eastAsia="zh-CN"/>
        </w:rPr>
        <w:t xml:space="preserve"> /32 </w:t>
      </w:r>
      <w:r>
        <w:rPr>
          <w:rFonts w:ascii="Times New Roman" w:eastAsia="宋体" w:hAnsi="Times New Roman"/>
          <w:lang w:eastAsia="zh-CN"/>
        </w:rPr>
        <w:t>的聚合流量。</w:t>
      </w:r>
    </w:p>
    <w:p w14:paraId="33177EB7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Coarse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L1</w:t>
      </w:r>
      <w:r>
        <w:rPr>
          <w:rFonts w:ascii="Times New Roman" w:eastAsia="宋体" w:hAnsi="Times New Roman"/>
          <w:lang w:eastAsia="zh-CN"/>
        </w:rPr>
        <w:t>）：</w:t>
      </w:r>
      <w:r>
        <w:rPr>
          <w:rFonts w:ascii="Times New Roman" w:eastAsia="宋体" w:hAnsi="Times New Roman"/>
          <w:lang w:eastAsia="zh-CN"/>
        </w:rPr>
        <w:t xml:space="preserve">/16 </w:t>
      </w:r>
      <w:r>
        <w:rPr>
          <w:rFonts w:ascii="Times New Roman" w:eastAsia="宋体" w:hAnsi="Times New Roman"/>
          <w:lang w:eastAsia="zh-CN"/>
        </w:rPr>
        <w:t>前缀键，表示该</w:t>
      </w:r>
      <w:r>
        <w:rPr>
          <w:rFonts w:ascii="Times New Roman" w:eastAsia="宋体" w:hAnsi="Times New Roman"/>
          <w:lang w:eastAsia="zh-CN"/>
        </w:rPr>
        <w:t xml:space="preserve"> /16 </w:t>
      </w:r>
      <w:r>
        <w:rPr>
          <w:rFonts w:ascii="Times New Roman" w:eastAsia="宋体" w:hAnsi="Times New Roman"/>
          <w:lang w:eastAsia="zh-CN"/>
        </w:rPr>
        <w:t>内所有</w:t>
      </w:r>
      <w:r>
        <w:rPr>
          <w:rFonts w:ascii="Times New Roman" w:eastAsia="宋体" w:hAnsi="Times New Roman"/>
          <w:lang w:eastAsia="zh-CN"/>
        </w:rPr>
        <w:t xml:space="preserve"> /24</w:t>
      </w:r>
      <w:r>
        <w:rPr>
          <w:rFonts w:ascii="Times New Roman" w:eastAsia="宋体" w:hAnsi="Times New Roman"/>
          <w:lang w:eastAsia="zh-CN"/>
        </w:rPr>
        <w:t>（进一步聚合到</w:t>
      </w:r>
      <w:r>
        <w:rPr>
          <w:rFonts w:ascii="Times New Roman" w:eastAsia="宋体" w:hAnsi="Times New Roman"/>
          <w:lang w:eastAsia="zh-CN"/>
        </w:rPr>
        <w:t xml:space="preserve"> /32</w:t>
      </w:r>
      <w:r>
        <w:rPr>
          <w:rFonts w:ascii="Times New Roman" w:eastAsia="宋体" w:hAnsi="Times New Roman"/>
          <w:lang w:eastAsia="zh-CN"/>
        </w:rPr>
        <w:t>）的总流量。</w:t>
      </w:r>
    </w:p>
    <w:p w14:paraId="276508BA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若原始键为</w:t>
      </w:r>
      <w:r>
        <w:rPr>
          <w:rFonts w:ascii="Times New Roman" w:eastAsia="宋体" w:hAnsi="Times New Roman"/>
          <w:lang w:eastAsia="zh-CN"/>
        </w:rPr>
        <w:t xml:space="preserve"> 5 </w:t>
      </w:r>
      <w:r>
        <w:rPr>
          <w:rFonts w:ascii="Times New Roman" w:eastAsia="宋体" w:hAnsi="Times New Roman"/>
          <w:lang w:eastAsia="zh-CN"/>
        </w:rPr>
        <w:t>元组等复合键，前缀层级可以作用于其中的</w:t>
      </w:r>
      <w:r>
        <w:rPr>
          <w:rFonts w:ascii="Times New Roman" w:eastAsia="宋体" w:hAnsi="Times New Roman"/>
          <w:lang w:eastAsia="zh-CN"/>
        </w:rPr>
        <w:t xml:space="preserve"> IP </w:t>
      </w:r>
      <w:r>
        <w:rPr>
          <w:rFonts w:ascii="Times New Roman" w:eastAsia="宋体" w:hAnsi="Times New Roman"/>
          <w:lang w:eastAsia="zh-CN"/>
        </w:rPr>
        <w:t>分量：用同一条</w:t>
      </w:r>
      <w:r>
        <w:rPr>
          <w:rFonts w:ascii="Times New Roman" w:eastAsia="宋体" w:hAnsi="Times New Roman"/>
          <w:lang w:eastAsia="zh-CN"/>
        </w:rPr>
        <w:t xml:space="preserve"> trace </w:t>
      </w:r>
      <w:r>
        <w:rPr>
          <w:rFonts w:ascii="Times New Roman" w:eastAsia="宋体" w:hAnsi="Times New Roman"/>
          <w:lang w:eastAsia="zh-CN"/>
        </w:rPr>
        <w:t>构造不同粒度的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聚合真值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，从而实现多尺度评测而不改变数据流本身。</w:t>
      </w:r>
    </w:p>
    <w:p w14:paraId="6A0C7DAB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2.3 </w:t>
      </w:r>
      <w:r>
        <w:rPr>
          <w:rFonts w:ascii="Times New Roman" w:eastAsia="宋体" w:hAnsi="Times New Roman"/>
          <w:sz w:val="24"/>
        </w:rPr>
        <w:t>多尺度实验任</w:t>
      </w:r>
      <w:r>
        <w:rPr>
          <w:rFonts w:ascii="Times New Roman" w:eastAsia="宋体" w:hAnsi="Times New Roman"/>
          <w:sz w:val="24"/>
        </w:rPr>
        <w:t>务（与</w:t>
      </w:r>
      <w:r>
        <w:rPr>
          <w:rFonts w:ascii="Times New Roman" w:eastAsia="宋体" w:hAnsi="Times New Roman"/>
          <w:sz w:val="24"/>
        </w:rPr>
        <w:t xml:space="preserve"> UCL-sketch </w:t>
      </w:r>
      <w:r>
        <w:rPr>
          <w:rFonts w:ascii="Times New Roman" w:eastAsia="宋体" w:hAnsi="Times New Roman"/>
          <w:sz w:val="24"/>
        </w:rPr>
        <w:t>兼容）</w:t>
      </w:r>
    </w:p>
    <w:p w14:paraId="7C3DE880" w14:textId="77777777" w:rsidR="00DF5A2C" w:rsidRDefault="001441BE" w:rsidP="001441BE">
      <w:pPr>
        <w:jc w:val="both"/>
      </w:pPr>
      <w:r>
        <w:rPr>
          <w:rFonts w:ascii="Times New Roman" w:eastAsia="宋体" w:hAnsi="Times New Roman"/>
        </w:rPr>
        <w:t>我们将</w:t>
      </w:r>
      <w:r>
        <w:rPr>
          <w:rFonts w:ascii="Times New Roman" w:eastAsia="宋体" w:hAnsi="Times New Roman"/>
        </w:rPr>
        <w:t xml:space="preserve"> HISR </w:t>
      </w:r>
      <w:r>
        <w:rPr>
          <w:rFonts w:ascii="Times New Roman" w:eastAsia="宋体" w:hAnsi="Times New Roman"/>
        </w:rPr>
        <w:t>的输出按三个尺度组织，并在同一数据流上构建对应</w:t>
      </w:r>
      <w:r>
        <w:rPr>
          <w:rFonts w:ascii="Times New Roman" w:eastAsia="宋体" w:hAnsi="Times New Roman"/>
        </w:rPr>
        <w:t xml:space="preserve"> ground-truth</w:t>
      </w:r>
      <w:r>
        <w:rPr>
          <w:rFonts w:ascii="Times New Roman" w:eastAsia="宋体" w:hAnsi="Times New Roman"/>
        </w:rPr>
        <w:t>：</w:t>
      </w:r>
    </w:p>
    <w:p w14:paraId="6E0D7F77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Task-L1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/16 Prefix Mass</w:t>
      </w:r>
      <w:r>
        <w:rPr>
          <w:rFonts w:ascii="Times New Roman" w:eastAsia="宋体" w:hAnsi="Times New Roman"/>
        </w:rPr>
        <w:t>）：估计各</w:t>
      </w:r>
      <w:r>
        <w:rPr>
          <w:rFonts w:ascii="Times New Roman" w:eastAsia="宋体" w:hAnsi="Times New Roman"/>
        </w:rPr>
        <w:t xml:space="preserve"> /16 </w:t>
      </w:r>
      <w:r>
        <w:rPr>
          <w:rFonts w:ascii="Times New Roman" w:eastAsia="宋体" w:hAnsi="Times New Roman"/>
        </w:rPr>
        <w:t>前缀的聚合流量；用于热点定位。</w:t>
      </w:r>
    </w:p>
    <w:p w14:paraId="16DFF9EF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Task-L2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/24 within hot /16</w:t>
      </w:r>
      <w:r>
        <w:rPr>
          <w:rFonts w:ascii="Times New Roman" w:eastAsia="宋体" w:hAnsi="Times New Roman"/>
        </w:rPr>
        <w:t>）：在选定热点</w:t>
      </w:r>
      <w:r>
        <w:rPr>
          <w:rFonts w:ascii="Times New Roman" w:eastAsia="宋体" w:hAnsi="Times New Roman"/>
        </w:rPr>
        <w:t xml:space="preserve"> /16 </w:t>
      </w:r>
      <w:r>
        <w:rPr>
          <w:rFonts w:ascii="Times New Roman" w:eastAsia="宋体" w:hAnsi="Times New Roman"/>
        </w:rPr>
        <w:t>内，估计其</w:t>
      </w:r>
      <w:r>
        <w:rPr>
          <w:rFonts w:ascii="Times New Roman" w:eastAsia="宋体" w:hAnsi="Times New Roman"/>
        </w:rPr>
        <w:t xml:space="preserve"> /24 </w:t>
      </w:r>
      <w:r>
        <w:rPr>
          <w:rFonts w:ascii="Times New Roman" w:eastAsia="宋体" w:hAnsi="Times New Roman"/>
        </w:rPr>
        <w:t>子前缀流量。</w:t>
      </w:r>
    </w:p>
    <w:p w14:paraId="2984097C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Task-L3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/32 within hot /24</w:t>
      </w:r>
      <w:r>
        <w:rPr>
          <w:rFonts w:ascii="Times New Roman" w:eastAsia="宋体" w:hAnsi="Times New Roman"/>
        </w:rPr>
        <w:t>）：在选定热点</w:t>
      </w:r>
      <w:r>
        <w:rPr>
          <w:rFonts w:ascii="Times New Roman" w:eastAsia="宋体" w:hAnsi="Times New Roman"/>
        </w:rPr>
        <w:t xml:space="preserve"> /24 </w:t>
      </w:r>
      <w:r>
        <w:rPr>
          <w:rFonts w:ascii="Times New Roman" w:eastAsia="宋体" w:hAnsi="Times New Roman"/>
        </w:rPr>
        <w:t>内，恢复具体</w:t>
      </w:r>
      <w:r>
        <w:rPr>
          <w:rFonts w:ascii="Times New Roman" w:eastAsia="宋体" w:hAnsi="Times New Roman"/>
        </w:rPr>
        <w:t xml:space="preserve"> IP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/32</w:t>
      </w:r>
      <w:r>
        <w:rPr>
          <w:rFonts w:ascii="Times New Roman" w:eastAsia="宋体" w:hAnsi="Times New Roman"/>
        </w:rPr>
        <w:t>）的频率。</w:t>
      </w:r>
    </w:p>
    <w:p w14:paraId="496CB4B6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Zoom-in </w:t>
      </w:r>
      <w:r>
        <w:rPr>
          <w:rFonts w:ascii="Times New Roman" w:eastAsia="宋体" w:hAnsi="Times New Roman"/>
          <w:lang w:eastAsia="zh-CN"/>
        </w:rPr>
        <w:t>流程：先用</w:t>
      </w:r>
      <w:r>
        <w:rPr>
          <w:rFonts w:ascii="Times New Roman" w:eastAsia="宋体" w:hAnsi="Times New Roman"/>
          <w:lang w:eastAsia="zh-CN"/>
        </w:rPr>
        <w:t xml:space="preserve"> L1 </w:t>
      </w:r>
      <w:r>
        <w:rPr>
          <w:rFonts w:ascii="Times New Roman" w:eastAsia="宋体" w:hAnsi="Times New Roman"/>
          <w:lang w:eastAsia="zh-CN"/>
        </w:rPr>
        <w:t>输出选取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 xml:space="preserve">Top-K </w:t>
      </w:r>
      <w:r>
        <w:rPr>
          <w:rFonts w:ascii="Times New Roman" w:eastAsia="宋体" w:hAnsi="Times New Roman"/>
          <w:lang w:eastAsia="zh-CN"/>
        </w:rPr>
        <w:t>热点</w:t>
      </w:r>
      <w:r>
        <w:rPr>
          <w:rFonts w:ascii="Times New Roman" w:eastAsia="宋体" w:hAnsi="Times New Roman"/>
          <w:lang w:eastAsia="zh-CN"/>
        </w:rPr>
        <w:t xml:space="preserve"> /16</w:t>
      </w:r>
      <w:r>
        <w:rPr>
          <w:rFonts w:ascii="Times New Roman" w:eastAsia="宋体" w:hAnsi="Times New Roman"/>
          <w:lang w:eastAsia="zh-CN"/>
        </w:rPr>
        <w:t>；再在热点</w:t>
      </w:r>
      <w:r>
        <w:rPr>
          <w:rFonts w:ascii="Times New Roman" w:eastAsia="宋体" w:hAnsi="Times New Roman"/>
          <w:lang w:eastAsia="zh-CN"/>
        </w:rPr>
        <w:t xml:space="preserve"> /16 </w:t>
      </w:r>
      <w:r>
        <w:rPr>
          <w:rFonts w:ascii="Times New Roman" w:eastAsia="宋体" w:hAnsi="Times New Roman"/>
          <w:lang w:eastAsia="zh-CN"/>
        </w:rPr>
        <w:t>中运行</w:t>
      </w:r>
      <w:r>
        <w:rPr>
          <w:rFonts w:ascii="Times New Roman" w:eastAsia="宋体" w:hAnsi="Times New Roman"/>
          <w:lang w:eastAsia="zh-CN"/>
        </w:rPr>
        <w:t xml:space="preserve"> L2 </w:t>
      </w:r>
      <w:r>
        <w:rPr>
          <w:rFonts w:ascii="Times New Roman" w:eastAsia="宋体" w:hAnsi="Times New Roman"/>
          <w:lang w:eastAsia="zh-CN"/>
        </w:rPr>
        <w:t>并选取</w:t>
      </w:r>
      <w:r>
        <w:rPr>
          <w:rFonts w:ascii="Times New Roman" w:eastAsia="宋体" w:hAnsi="Times New Roman"/>
          <w:lang w:eastAsia="zh-CN"/>
        </w:rPr>
        <w:t xml:space="preserve"> Top-K </w:t>
      </w:r>
      <w:r>
        <w:rPr>
          <w:rFonts w:ascii="Times New Roman" w:eastAsia="宋体" w:hAnsi="Times New Roman"/>
          <w:lang w:eastAsia="zh-CN"/>
        </w:rPr>
        <w:t>热点</w:t>
      </w:r>
      <w:r>
        <w:rPr>
          <w:rFonts w:ascii="Times New Roman" w:eastAsia="宋体" w:hAnsi="Times New Roman"/>
          <w:lang w:eastAsia="zh-CN"/>
        </w:rPr>
        <w:t xml:space="preserve"> /24</w:t>
      </w:r>
      <w:r>
        <w:rPr>
          <w:rFonts w:ascii="Times New Roman" w:eastAsia="宋体" w:hAnsi="Times New Roman"/>
          <w:lang w:eastAsia="zh-CN"/>
        </w:rPr>
        <w:t>；最后仅在热点</w:t>
      </w:r>
      <w:r>
        <w:rPr>
          <w:rFonts w:ascii="Times New Roman" w:eastAsia="宋体" w:hAnsi="Times New Roman"/>
          <w:lang w:eastAsia="zh-CN"/>
        </w:rPr>
        <w:t xml:space="preserve"> /24 </w:t>
      </w:r>
      <w:r>
        <w:rPr>
          <w:rFonts w:ascii="Times New Roman" w:eastAsia="宋体" w:hAnsi="Times New Roman"/>
          <w:lang w:eastAsia="zh-CN"/>
        </w:rPr>
        <w:t>中运行</w:t>
      </w:r>
      <w:r>
        <w:rPr>
          <w:rFonts w:ascii="Times New Roman" w:eastAsia="宋体" w:hAnsi="Times New Roman"/>
          <w:lang w:eastAsia="zh-CN"/>
        </w:rPr>
        <w:t xml:space="preserve"> L3 </w:t>
      </w:r>
      <w:r>
        <w:rPr>
          <w:rFonts w:ascii="Times New Roman" w:eastAsia="宋体" w:hAnsi="Times New Roman"/>
          <w:lang w:eastAsia="zh-CN"/>
        </w:rPr>
        <w:t>进行细粒度恢复。该流程显式缩小候选集合，从而降低碰撞不确定性与求解难度。</w:t>
      </w:r>
    </w:p>
    <w:p w14:paraId="6A5D7BB6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为了与</w:t>
      </w:r>
      <w:r>
        <w:rPr>
          <w:rFonts w:ascii="Times New Roman" w:eastAsia="宋体" w:hAnsi="Times New Roman"/>
          <w:lang w:eastAsia="zh-CN"/>
        </w:rPr>
        <w:t xml:space="preserve"> UCL-sketch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逻辑桶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接口兼容，每一层任务都以</w:t>
      </w:r>
      <w:r>
        <w:rPr>
          <w:rFonts w:ascii="Times New Roman" w:eastAsia="宋体" w:hAnsi="Times New Roman"/>
          <w:lang w:eastAsia="zh-CN"/>
        </w:rPr>
        <w:t xml:space="preserve"> bucket-wise </w:t>
      </w:r>
      <w:r>
        <w:rPr>
          <w:rFonts w:ascii="Times New Roman" w:eastAsia="宋体" w:hAnsi="Times New Roman"/>
          <w:lang w:eastAsia="zh-CN"/>
        </w:rPr>
        <w:t>的方式执行：在该层候选键集合上做桶划分，对每个桶独立恢复。</w:t>
      </w:r>
    </w:p>
    <w:p w14:paraId="1F5FEDE7" w14:textId="77777777" w:rsidR="00DF5A2C" w:rsidRDefault="001441BE" w:rsidP="001441BE">
      <w:pPr>
        <w:pStyle w:val="1"/>
        <w:jc w:val="both"/>
      </w:pPr>
      <w:r>
        <w:rPr>
          <w:rFonts w:ascii="Times New Roman" w:eastAsia="宋体" w:hAnsi="Times New Roman"/>
        </w:rPr>
        <w:t xml:space="preserve">3. </w:t>
      </w:r>
      <w:r>
        <w:rPr>
          <w:rFonts w:ascii="Times New Roman" w:eastAsia="宋体" w:hAnsi="Times New Roman"/>
        </w:rPr>
        <w:t>方法落地：</w:t>
      </w:r>
      <w:r>
        <w:rPr>
          <w:rFonts w:ascii="Times New Roman" w:eastAsia="宋体" w:hAnsi="Times New Roman"/>
        </w:rPr>
        <w:t xml:space="preserve">HISR </w:t>
      </w:r>
      <w:r>
        <w:rPr>
          <w:rFonts w:ascii="Times New Roman" w:eastAsia="宋体" w:hAnsi="Times New Roman"/>
        </w:rPr>
        <w:t>的输入输出与分层表示（</w:t>
      </w:r>
      <w:r>
        <w:rPr>
          <w:rFonts w:ascii="Times New Roman" w:eastAsia="宋体" w:hAnsi="Times New Roman"/>
        </w:rPr>
        <w:t>Prefix-scale HISR</w:t>
      </w:r>
      <w:r>
        <w:rPr>
          <w:rFonts w:ascii="Times New Roman" w:eastAsia="宋体" w:hAnsi="Times New Roman"/>
        </w:rPr>
        <w:t>）</w:t>
      </w:r>
    </w:p>
    <w:p w14:paraId="3E368944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3.1 </w:t>
      </w:r>
      <w:r>
        <w:rPr>
          <w:rFonts w:ascii="Times New Roman" w:eastAsia="宋体" w:hAnsi="Times New Roman"/>
          <w:sz w:val="24"/>
        </w:rPr>
        <w:t>桶级输入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输出（保持逻辑桶接口）</w:t>
      </w:r>
    </w:p>
    <w:p w14:paraId="4D3CC115" w14:textId="77777777" w:rsidR="00DF5A2C" w:rsidRDefault="001441BE" w:rsidP="001441BE">
      <w:pPr>
        <w:jc w:val="both"/>
      </w:pPr>
      <w:r>
        <w:rPr>
          <w:rFonts w:ascii="Times New Roman" w:eastAsia="宋体" w:hAnsi="Times New Roman"/>
        </w:rPr>
        <w:t>沿用</w:t>
      </w:r>
      <w:r>
        <w:rPr>
          <w:rFonts w:ascii="Times New Roman" w:eastAsia="宋体" w:hAnsi="Times New Roman"/>
        </w:rPr>
        <w:t xml:space="preserve"> UCL-sketch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>采样方式获得</w:t>
      </w:r>
      <w:r>
        <w:rPr>
          <w:rFonts w:ascii="Times New Roman" w:eastAsia="宋体" w:hAnsi="Times New Roman"/>
        </w:rPr>
        <w:t xml:space="preserve"> sketch </w:t>
      </w:r>
      <w:r>
        <w:rPr>
          <w:rFonts w:ascii="Times New Roman" w:eastAsia="宋体" w:hAnsi="Times New Roman"/>
        </w:rPr>
        <w:t>快照，并在控制平面按逻辑桶执行恢复。对环境</w:t>
      </w:r>
      <w:r>
        <w:rPr>
          <w:rFonts w:ascii="Times New Roman" w:eastAsia="宋体" w:hAnsi="Times New Roman"/>
        </w:rPr>
        <w:t xml:space="preserve"> e</w:t>
      </w:r>
      <w:r>
        <w:rPr>
          <w:rFonts w:ascii="Times New Roman" w:eastAsia="宋体" w:hAnsi="Times New Roman"/>
        </w:rPr>
        <w:t>、桶</w:t>
      </w:r>
      <w:r>
        <w:rPr>
          <w:rFonts w:ascii="Times New Roman" w:eastAsia="宋体" w:hAnsi="Times New Roman"/>
        </w:rPr>
        <w:t xml:space="preserve"> b</w:t>
      </w:r>
      <w:r>
        <w:rPr>
          <w:rFonts w:ascii="Times New Roman" w:eastAsia="宋体" w:hAnsi="Times New Roman"/>
        </w:rPr>
        <w:t>：</w:t>
      </w:r>
    </w:p>
    <w:p w14:paraId="2EC81221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输入：桶相关的局部计数器子向量</w:t>
      </w:r>
      <w:r>
        <w:rPr>
          <w:rFonts w:ascii="Times New Roman" w:eastAsia="宋体" w:hAnsi="Times New Roman"/>
        </w:rPr>
        <w:t xml:space="preserve"> y_{e,b}</w:t>
      </w:r>
      <w:r>
        <w:rPr>
          <w:rFonts w:ascii="Times New Roman" w:eastAsia="宋体" w:hAnsi="Times New Roman"/>
        </w:rPr>
        <w:t>（由全局</w:t>
      </w:r>
      <w:r>
        <w:rPr>
          <w:rFonts w:ascii="Times New Roman" w:eastAsia="宋体" w:hAnsi="Times New Roman"/>
        </w:rPr>
        <w:t xml:space="preserve"> counters y_e </w:t>
      </w:r>
      <w:r>
        <w:rPr>
          <w:rFonts w:ascii="Times New Roman" w:eastAsia="宋体" w:hAnsi="Times New Roman"/>
        </w:rPr>
        <w:t>抽取得到），以及由哈希映射诱导的桶级局部结构</w:t>
      </w:r>
      <w:r>
        <w:rPr>
          <w:rFonts w:ascii="Times New Roman" w:eastAsia="宋体" w:hAnsi="Times New Roman"/>
        </w:rPr>
        <w:t xml:space="preserve"> A_{e,b}</w:t>
      </w:r>
      <w:r>
        <w:rPr>
          <w:rFonts w:ascii="Times New Roman" w:eastAsia="宋体" w:hAnsi="Times New Roman"/>
        </w:rPr>
        <w:t>（以稀疏边表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二部图形式存储）。</w:t>
      </w:r>
    </w:p>
    <w:p w14:paraId="4C6C4B1D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输出：该层尺度下桶内候选键的频率向量</w:t>
      </w:r>
      <w:r>
        <w:rPr>
          <w:rFonts w:ascii="Times New Roman" w:eastAsia="宋体" w:hAnsi="Times New Roman"/>
          <w:lang w:eastAsia="zh-CN"/>
        </w:rPr>
        <w:t xml:space="preserve"> \hat{x}_{e,b} ∈ R^L_≥0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 xml:space="preserve">L </w:t>
      </w:r>
      <w:r>
        <w:rPr>
          <w:rFonts w:ascii="Times New Roman" w:eastAsia="宋体" w:hAnsi="Times New Roman"/>
          <w:lang w:eastAsia="zh-CN"/>
        </w:rPr>
        <w:t>为桶长度）。</w:t>
      </w:r>
    </w:p>
    <w:p w14:paraId="718A6A2E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关键点：输入侧显式引入</w:t>
      </w:r>
      <w:r>
        <w:rPr>
          <w:rFonts w:ascii="Times New Roman" w:eastAsia="宋体" w:hAnsi="Times New Roman"/>
          <w:lang w:eastAsia="zh-CN"/>
        </w:rPr>
        <w:t xml:space="preserve"> A_{e,b} </w:t>
      </w:r>
      <w:r>
        <w:rPr>
          <w:rFonts w:ascii="Times New Roman" w:eastAsia="宋体" w:hAnsi="Times New Roman"/>
          <w:lang w:eastAsia="zh-CN"/>
        </w:rPr>
        <w:t>的结构信息，并避免把</w:t>
      </w:r>
      <w:r>
        <w:rPr>
          <w:rFonts w:ascii="Times New Roman" w:eastAsia="宋体" w:hAnsi="Times New Roman"/>
          <w:lang w:eastAsia="zh-CN"/>
        </w:rPr>
        <w:t xml:space="preserve"> bucket_id </w:t>
      </w:r>
      <w:r>
        <w:rPr>
          <w:rFonts w:ascii="Times New Roman" w:eastAsia="宋体" w:hAnsi="Times New Roman"/>
          <w:lang w:eastAsia="zh-CN"/>
        </w:rPr>
        <w:t>当作主要特征，从而抑制对固定碰撞模板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编号模式捷径的依赖，为</w:t>
      </w:r>
      <w:r>
        <w:rPr>
          <w:rFonts w:ascii="Times New Roman" w:eastAsia="宋体" w:hAnsi="Times New Roman"/>
          <w:lang w:eastAsia="zh-CN"/>
        </w:rPr>
        <w:t xml:space="preserve"> OO</w:t>
      </w:r>
      <w:r>
        <w:rPr>
          <w:rFonts w:ascii="Times New Roman" w:eastAsia="宋体" w:hAnsi="Times New Roman"/>
          <w:lang w:eastAsia="zh-CN"/>
        </w:rPr>
        <w:t xml:space="preserve">D </w:t>
      </w:r>
      <w:r>
        <w:rPr>
          <w:rFonts w:ascii="Times New Roman" w:eastAsia="宋体" w:hAnsi="Times New Roman"/>
          <w:lang w:eastAsia="zh-CN"/>
        </w:rPr>
        <w:t>泛化打基础。</w:t>
      </w:r>
    </w:p>
    <w:p w14:paraId="66184DF6" w14:textId="77777777" w:rsidR="00DF5A2C" w:rsidRDefault="001441BE" w:rsidP="001441BE">
      <w:pPr>
        <w:pStyle w:val="21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3.2 </w:t>
      </w:r>
      <w:r>
        <w:rPr>
          <w:rFonts w:ascii="Times New Roman" w:eastAsia="宋体" w:hAnsi="Times New Roman"/>
          <w:sz w:val="24"/>
          <w:lang w:eastAsia="zh-CN"/>
        </w:rPr>
        <w:t>分层表示：前缀树（</w:t>
      </w:r>
      <w:r>
        <w:rPr>
          <w:rFonts w:ascii="Times New Roman" w:eastAsia="宋体" w:hAnsi="Times New Roman"/>
          <w:sz w:val="24"/>
          <w:lang w:eastAsia="zh-CN"/>
        </w:rPr>
        <w:t>Prefix Tree</w:t>
      </w:r>
      <w:r>
        <w:rPr>
          <w:rFonts w:ascii="Times New Roman" w:eastAsia="宋体" w:hAnsi="Times New Roman"/>
          <w:sz w:val="24"/>
          <w:lang w:eastAsia="zh-CN"/>
        </w:rPr>
        <w:t>）作为层级解码结构</w:t>
      </w:r>
    </w:p>
    <w:p w14:paraId="4D73BBE5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在每个桶内部，将候选键组织为与前缀粒度一致的层级树：根节点表示桶内总质量；中间节点对应更粗粒度前缀的聚合质量；叶节点对应该层尺度下的具体键（</w:t>
      </w:r>
      <w:r>
        <w:rPr>
          <w:rFonts w:ascii="Times New Roman" w:eastAsia="宋体" w:hAnsi="Times New Roman"/>
          <w:lang w:eastAsia="zh-CN"/>
        </w:rPr>
        <w:t xml:space="preserve">/16 </w:t>
      </w:r>
      <w:r>
        <w:rPr>
          <w:rFonts w:ascii="Times New Roman" w:eastAsia="宋体" w:hAnsi="Times New Roman"/>
          <w:lang w:eastAsia="zh-CN"/>
        </w:rPr>
        <w:t>或</w:t>
      </w:r>
      <w:r>
        <w:rPr>
          <w:rFonts w:ascii="Times New Roman" w:eastAsia="宋体" w:hAnsi="Times New Roman"/>
          <w:lang w:eastAsia="zh-CN"/>
        </w:rPr>
        <w:t xml:space="preserve"> /24 </w:t>
      </w:r>
      <w:r>
        <w:rPr>
          <w:rFonts w:ascii="Times New Roman" w:eastAsia="宋体" w:hAnsi="Times New Roman"/>
          <w:lang w:eastAsia="zh-CN"/>
        </w:rPr>
        <w:t>或</w:t>
      </w:r>
      <w:r>
        <w:rPr>
          <w:rFonts w:ascii="Times New Roman" w:eastAsia="宋体" w:hAnsi="Times New Roman"/>
          <w:lang w:eastAsia="zh-CN"/>
        </w:rPr>
        <w:t xml:space="preserve"> /32</w:t>
      </w:r>
      <w:r>
        <w:rPr>
          <w:rFonts w:ascii="Times New Roman" w:eastAsia="宋体" w:hAnsi="Times New Roman"/>
          <w:lang w:eastAsia="zh-CN"/>
        </w:rPr>
        <w:t>）。</w:t>
      </w:r>
    </w:p>
    <w:p w14:paraId="6BFC1EC0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解码器采用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分裂比例（</w:t>
      </w:r>
      <w:r>
        <w:rPr>
          <w:rFonts w:ascii="Times New Roman" w:eastAsia="宋体" w:hAnsi="Times New Roman"/>
          <w:lang w:eastAsia="zh-CN"/>
        </w:rPr>
        <w:t>split ratio</w:t>
      </w:r>
      <w:r>
        <w:rPr>
          <w:rFonts w:ascii="Times New Roman" w:eastAsia="宋体" w:hAnsi="Times New Roman"/>
          <w:lang w:eastAsia="zh-CN"/>
        </w:rPr>
        <w:t>）</w:t>
      </w:r>
      <w:r>
        <w:rPr>
          <w:rFonts w:ascii="Times New Roman" w:eastAsia="宋体" w:hAnsi="Times New Roman"/>
          <w:lang w:eastAsia="zh-CN"/>
        </w:rPr>
        <w:t xml:space="preserve">+ </w:t>
      </w:r>
      <w:r>
        <w:rPr>
          <w:rFonts w:ascii="Times New Roman" w:eastAsia="宋体" w:hAnsi="Times New Roman"/>
          <w:lang w:eastAsia="zh-CN"/>
        </w:rPr>
        <w:t>质量守恒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的参数化：父节点质量按</w:t>
      </w:r>
      <w:r>
        <w:rPr>
          <w:rFonts w:ascii="Times New Roman" w:eastAsia="宋体" w:hAnsi="Times New Roman"/>
          <w:lang w:eastAsia="zh-CN"/>
        </w:rPr>
        <w:t xml:space="preserve"> softmax </w:t>
      </w:r>
      <w:r>
        <w:rPr>
          <w:rFonts w:ascii="Times New Roman" w:eastAsia="宋体" w:hAnsi="Times New Roman"/>
          <w:lang w:eastAsia="zh-CN"/>
        </w:rPr>
        <w:t>比例分配给子节点，天然满足守恒约束（父</w:t>
      </w:r>
      <w:r>
        <w:rPr>
          <w:rFonts w:ascii="Times New Roman" w:eastAsia="宋体" w:hAnsi="Times New Roman"/>
          <w:lang w:eastAsia="zh-CN"/>
        </w:rPr>
        <w:t>=</w:t>
      </w:r>
      <w:r>
        <w:rPr>
          <w:rFonts w:ascii="Times New Roman" w:eastAsia="宋体" w:hAnsi="Times New Roman"/>
          <w:lang w:eastAsia="zh-CN"/>
        </w:rPr>
        <w:t>子和）。该结构对齐</w:t>
      </w:r>
      <w:r>
        <w:rPr>
          <w:rFonts w:ascii="Times New Roman" w:eastAsia="宋体" w:hAnsi="Times New Roman"/>
          <w:lang w:eastAsia="zh-CN"/>
        </w:rPr>
        <w:t xml:space="preserve"> ZoomSynth-style </w:t>
      </w:r>
      <w:r>
        <w:rPr>
          <w:rFonts w:ascii="Times New Roman" w:eastAsia="宋体" w:hAnsi="Times New Roman"/>
          <w:lang w:eastAsia="zh-CN"/>
        </w:rPr>
        <w:t>的逐级分辨：先稳定估计粗粒度聚合量，再对热点区域逐级细化。</w:t>
      </w:r>
    </w:p>
    <w:p w14:paraId="42348E6E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3.3 </w:t>
      </w:r>
      <w:r>
        <w:rPr>
          <w:rFonts w:ascii="Times New Roman" w:eastAsia="宋体" w:hAnsi="Times New Roman"/>
          <w:sz w:val="24"/>
        </w:rPr>
        <w:t>多尺度</w:t>
      </w:r>
      <w:r>
        <w:rPr>
          <w:rFonts w:ascii="Times New Roman" w:eastAsia="宋体" w:hAnsi="Times New Roman"/>
          <w:sz w:val="24"/>
        </w:rPr>
        <w:t xml:space="preserve"> zoom-in </w:t>
      </w:r>
      <w:r>
        <w:rPr>
          <w:rFonts w:ascii="Times New Roman" w:eastAsia="宋体" w:hAnsi="Times New Roman"/>
          <w:sz w:val="24"/>
        </w:rPr>
        <w:t>的两种实现路径（建议主用</w:t>
      </w:r>
      <w:r>
        <w:rPr>
          <w:rFonts w:ascii="Times New Roman" w:eastAsia="宋体" w:hAnsi="Times New Roman"/>
          <w:sz w:val="24"/>
        </w:rPr>
        <w:t xml:space="preserve"> Path-A</w:t>
      </w:r>
      <w:r>
        <w:rPr>
          <w:rFonts w:ascii="Times New Roman" w:eastAsia="宋体" w:hAnsi="Times New Roman"/>
          <w:sz w:val="24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3469"/>
        <w:gridCol w:w="3189"/>
      </w:tblGrid>
      <w:tr w:rsidR="00DF5A2C" w14:paraId="06C4B5B9" w14:textId="77777777">
        <w:trPr>
          <w:jc w:val="center"/>
        </w:trPr>
        <w:tc>
          <w:tcPr>
            <w:tcW w:w="2880" w:type="dxa"/>
          </w:tcPr>
          <w:p w14:paraId="7548F457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路径</w:t>
            </w:r>
          </w:p>
        </w:tc>
        <w:tc>
          <w:tcPr>
            <w:tcW w:w="4320" w:type="dxa"/>
          </w:tcPr>
          <w:p w14:paraId="0AD29A68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核心思想</w:t>
            </w:r>
          </w:p>
        </w:tc>
        <w:tc>
          <w:tcPr>
            <w:tcW w:w="4320" w:type="dxa"/>
          </w:tcPr>
          <w:p w14:paraId="4C7A315E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优点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适用场景</w:t>
            </w:r>
          </w:p>
        </w:tc>
      </w:tr>
      <w:tr w:rsidR="00DF5A2C" w14:paraId="222AC975" w14:textId="77777777">
        <w:trPr>
          <w:jc w:val="center"/>
        </w:trPr>
        <w:tc>
          <w:tcPr>
            <w:tcW w:w="2880" w:type="dxa"/>
          </w:tcPr>
          <w:p w14:paraId="437C3420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Path-A</w:t>
            </w:r>
            <w:r>
              <w:rPr>
                <w:rFonts w:ascii="Times New Roman" w:eastAsia="宋体" w:hAnsi="Times New Roman"/>
                <w:sz w:val="21"/>
              </w:rPr>
              <w:t>：分层任务串联</w:t>
            </w:r>
          </w:p>
        </w:tc>
        <w:tc>
          <w:tcPr>
            <w:tcW w:w="4320" w:type="dxa"/>
          </w:tcPr>
          <w:p w14:paraId="0EE89921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L1(/16)→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选热点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→L2(/24)→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选热点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→L3(/32)</w:t>
            </w:r>
          </w:p>
        </w:tc>
        <w:tc>
          <w:tcPr>
            <w:tcW w:w="4320" w:type="dxa"/>
          </w:tcPr>
          <w:p w14:paraId="0C4730E0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评测清晰；可量化热点召回与候选缩减带来的收益；易与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UCL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流程对接</w:t>
            </w:r>
          </w:p>
        </w:tc>
      </w:tr>
      <w:tr w:rsidR="00DF5A2C" w14:paraId="4AFD0526" w14:textId="77777777">
        <w:trPr>
          <w:jc w:val="center"/>
        </w:trPr>
        <w:tc>
          <w:tcPr>
            <w:tcW w:w="2880" w:type="dxa"/>
          </w:tcPr>
          <w:p w14:paraId="5E7F5D4D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Path-B</w:t>
            </w:r>
            <w:r>
              <w:rPr>
                <w:rFonts w:ascii="Times New Roman" w:eastAsia="宋体" w:hAnsi="Times New Roman"/>
                <w:sz w:val="21"/>
              </w:rPr>
              <w:t>：单模型层级输出</w:t>
            </w:r>
          </w:p>
        </w:tc>
        <w:tc>
          <w:tcPr>
            <w:tcW w:w="4320" w:type="dxa"/>
          </w:tcPr>
          <w:p w14:paraId="572B3DF8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单次输出多层（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/16,/24,/32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）并施加跨层一致性</w:t>
            </w:r>
          </w:p>
        </w:tc>
        <w:tc>
          <w:tcPr>
            <w:tcW w:w="4320" w:type="dxa"/>
          </w:tcPr>
          <w:p w14:paraId="30F53B9F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端到端推理更简洁；但实现与评测更复杂，适合作为后续扩展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消融</w:t>
            </w:r>
          </w:p>
        </w:tc>
      </w:tr>
    </w:tbl>
    <w:p w14:paraId="67BB5A18" w14:textId="77777777" w:rsidR="00DF5A2C" w:rsidRDefault="00DF5A2C" w:rsidP="001441BE">
      <w:pPr>
        <w:jc w:val="both"/>
        <w:rPr>
          <w:lang w:eastAsia="zh-CN"/>
        </w:rPr>
      </w:pPr>
    </w:p>
    <w:p w14:paraId="197C3C03" w14:textId="77777777" w:rsidR="00DF5A2C" w:rsidRDefault="001441BE" w:rsidP="001441BE">
      <w:pPr>
        <w:jc w:val="both"/>
      </w:pPr>
      <w:r>
        <w:rPr>
          <w:rFonts w:ascii="Times New Roman" w:eastAsia="宋体" w:hAnsi="Times New Roman"/>
        </w:rPr>
        <w:t>本</w:t>
      </w:r>
      <w:r>
        <w:rPr>
          <w:rFonts w:ascii="Times New Roman" w:eastAsia="宋体" w:hAnsi="Times New Roman"/>
        </w:rPr>
        <w:t xml:space="preserve"> v2 </w:t>
      </w:r>
      <w:r>
        <w:rPr>
          <w:rFonts w:ascii="Times New Roman" w:eastAsia="宋体" w:hAnsi="Times New Roman"/>
        </w:rPr>
        <w:t>方案建议优先采用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Path-A</w:t>
      </w:r>
      <w:r>
        <w:rPr>
          <w:rFonts w:ascii="Times New Roman" w:eastAsia="宋体" w:hAnsi="Times New Roman"/>
        </w:rPr>
        <w:t>，以便把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先定位热点再细化恢复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的有效性用可量化指标（如</w:t>
      </w:r>
      <w:r>
        <w:rPr>
          <w:rFonts w:ascii="Times New Roman" w:eastAsia="宋体" w:hAnsi="Times New Roman"/>
        </w:rPr>
        <w:t xml:space="preserve"> hotspot recall@K</w:t>
      </w:r>
      <w:r>
        <w:rPr>
          <w:rFonts w:ascii="Times New Roman" w:eastAsia="宋体" w:hAnsi="Times New Roman"/>
        </w:rPr>
        <w:t>、候选覆盖率）呈现出来。</w:t>
      </w:r>
    </w:p>
    <w:p w14:paraId="4E170B24" w14:textId="77777777" w:rsidR="00DF5A2C" w:rsidRDefault="001441BE" w:rsidP="001441BE">
      <w:pPr>
        <w:pStyle w:val="1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 </w:t>
      </w:r>
      <w:r>
        <w:rPr>
          <w:rFonts w:ascii="Times New Roman" w:eastAsia="宋体" w:hAnsi="Times New Roman"/>
          <w:lang w:eastAsia="zh-CN"/>
        </w:rPr>
        <w:t>多环境定义与</w:t>
      </w:r>
      <w:r>
        <w:rPr>
          <w:rFonts w:ascii="Times New Roman" w:eastAsia="宋体" w:hAnsi="Times New Roman"/>
          <w:lang w:eastAsia="zh-CN"/>
        </w:rPr>
        <w:t xml:space="preserve"> OOD </w:t>
      </w:r>
      <w:r>
        <w:rPr>
          <w:rFonts w:ascii="Times New Roman" w:eastAsia="宋体" w:hAnsi="Times New Roman"/>
          <w:lang w:eastAsia="zh-CN"/>
        </w:rPr>
        <w:t>评测（</w:t>
      </w:r>
      <w:r>
        <w:rPr>
          <w:rFonts w:ascii="Times New Roman" w:eastAsia="宋体" w:hAnsi="Times New Roman"/>
          <w:lang w:eastAsia="zh-CN"/>
        </w:rPr>
        <w:t>IRM-style</w:t>
      </w:r>
      <w:r>
        <w:rPr>
          <w:rFonts w:ascii="Times New Roman" w:eastAsia="宋体" w:hAnsi="Times New Roman"/>
          <w:lang w:eastAsia="zh-CN"/>
        </w:rPr>
        <w:t>）</w:t>
      </w:r>
    </w:p>
    <w:p w14:paraId="65134BED" w14:textId="77777777" w:rsidR="00DF5A2C" w:rsidRDefault="001441BE" w:rsidP="001441BE">
      <w:pPr>
        <w:pStyle w:val="21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4.1 </w:t>
      </w:r>
      <w:r>
        <w:rPr>
          <w:rFonts w:ascii="Times New Roman" w:eastAsia="宋体" w:hAnsi="Times New Roman"/>
          <w:sz w:val="24"/>
          <w:lang w:eastAsia="zh-CN"/>
        </w:rPr>
        <w:t>环境定义（不依赖显式时间戳）</w:t>
      </w:r>
    </w:p>
    <w:p w14:paraId="3054B9DC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环境定义为</w:t>
      </w:r>
      <w:r>
        <w:rPr>
          <w:rFonts w:ascii="Times New Roman" w:eastAsia="宋体" w:hAnsi="Times New Roman"/>
          <w:lang w:eastAsia="zh-CN"/>
        </w:rPr>
        <w:t xml:space="preserve"> e=(</w:t>
      </w:r>
      <w:r>
        <w:rPr>
          <w:rFonts w:ascii="Times New Roman" w:eastAsia="宋体" w:hAnsi="Times New Roman"/>
        </w:rPr>
        <w:t>τ</w:t>
      </w:r>
      <w:r>
        <w:rPr>
          <w:rFonts w:ascii="Times New Roman" w:eastAsia="宋体" w:hAnsi="Times New Roman"/>
          <w:lang w:eastAsia="zh-CN"/>
        </w:rPr>
        <w:t>,s,</w:t>
      </w:r>
      <w:r>
        <w:rPr>
          <w:rFonts w:ascii="Times New Roman" w:eastAsia="宋体" w:hAnsi="Times New Roman"/>
        </w:rPr>
        <w:t>π</w:t>
      </w:r>
      <w:r>
        <w:rPr>
          <w:rFonts w:ascii="Times New Roman" w:eastAsia="宋体" w:hAnsi="Times New Roman"/>
          <w:lang w:eastAsia="zh-CN"/>
        </w:rPr>
        <w:t>)</w:t>
      </w:r>
      <w:r>
        <w:rPr>
          <w:rFonts w:ascii="Times New Roman" w:eastAsia="宋体" w:hAnsi="Times New Roman"/>
          <w:lang w:eastAsia="zh-CN"/>
        </w:rPr>
        <w:t>。在</w:t>
      </w:r>
      <w:r>
        <w:rPr>
          <w:rFonts w:ascii="Times New Roman" w:eastAsia="宋体" w:hAnsi="Times New Roman"/>
          <w:lang w:eastAsia="zh-CN"/>
        </w:rPr>
        <w:t xml:space="preserve"> sketch </w:t>
      </w:r>
      <w:r>
        <w:rPr>
          <w:rFonts w:ascii="Times New Roman" w:eastAsia="宋体" w:hAnsi="Times New Roman"/>
          <w:lang w:eastAsia="zh-CN"/>
        </w:rPr>
        <w:t>场景中不强制依赖真实时间戳，但可使用以下可观测因素构造多环境：</w:t>
      </w:r>
    </w:p>
    <w:p w14:paraId="3D6B02F1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哈希视角</w:t>
      </w:r>
      <w:r>
        <w:rPr>
          <w:rFonts w:ascii="Times New Roman" w:eastAsia="宋体" w:hAnsi="Times New Roman"/>
        </w:rPr>
        <w:t xml:space="preserve"> s</w:t>
      </w:r>
      <w:r>
        <w:rPr>
          <w:rFonts w:ascii="Times New Roman" w:eastAsia="宋体" w:hAnsi="Times New Roman"/>
        </w:rPr>
        <w:t>：不同</w:t>
      </w:r>
      <w:r>
        <w:rPr>
          <w:rFonts w:ascii="Times New Roman" w:eastAsia="宋体" w:hAnsi="Times New Roman"/>
        </w:rPr>
        <w:t xml:space="preserve"> hash seed/view</w:t>
      </w:r>
      <w:r>
        <w:rPr>
          <w:rFonts w:ascii="Times New Roman" w:eastAsia="宋体" w:hAnsi="Times New Roman"/>
        </w:rPr>
        <w:t>（或不同</w:t>
      </w:r>
      <w:r>
        <w:rPr>
          <w:rFonts w:ascii="Times New Roman" w:eastAsia="宋体" w:hAnsi="Times New Roman"/>
        </w:rPr>
        <w:t xml:space="preserve"> hash </w:t>
      </w:r>
      <w:r>
        <w:rPr>
          <w:rFonts w:ascii="Times New Roman" w:eastAsia="宋体" w:hAnsi="Times New Roman"/>
        </w:rPr>
        <w:t>行组合）诱导不同测量算子与碰撞结构。</w:t>
      </w:r>
    </w:p>
    <w:p w14:paraId="4D5C9F1B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键空间阶段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</w:rPr>
        <w:t>π</w:t>
      </w:r>
      <w:r>
        <w:rPr>
          <w:rFonts w:ascii="Times New Roman" w:eastAsia="宋体" w:hAnsi="Times New Roman"/>
          <w:lang w:eastAsia="zh-CN"/>
        </w:rPr>
        <w:t>：用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前缀集合划分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或</w:t>
      </w:r>
      <w:r>
        <w:rPr>
          <w:rFonts w:ascii="Times New Roman" w:eastAsia="宋体" w:hAnsi="Times New Roman"/>
          <w:lang w:eastAsia="zh-CN"/>
        </w:rPr>
        <w:t xml:space="preserve">“prefix </w:t>
      </w:r>
      <w:r>
        <w:rPr>
          <w:rFonts w:ascii="Times New Roman" w:eastAsia="宋体" w:hAnsi="Times New Roman"/>
          <w:lang w:eastAsia="zh-CN"/>
        </w:rPr>
        <w:t>批次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出现顺序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构</w:t>
      </w:r>
      <w:r>
        <w:rPr>
          <w:rFonts w:ascii="Times New Roman" w:eastAsia="宋体" w:hAnsi="Times New Roman"/>
          <w:lang w:eastAsia="zh-CN"/>
        </w:rPr>
        <w:t>造阶段，例如训练仅覆盖一组</w:t>
      </w:r>
      <w:r>
        <w:rPr>
          <w:rFonts w:ascii="Times New Roman" w:eastAsia="宋体" w:hAnsi="Times New Roman"/>
          <w:lang w:eastAsia="zh-CN"/>
        </w:rPr>
        <w:t xml:space="preserve"> /16 </w:t>
      </w:r>
      <w:r>
        <w:rPr>
          <w:rFonts w:ascii="Times New Roman" w:eastAsia="宋体" w:hAnsi="Times New Roman"/>
          <w:lang w:eastAsia="zh-CN"/>
        </w:rPr>
        <w:t>前缀，测试引入未见前缀集合以模拟键空间扩展。</w:t>
      </w:r>
    </w:p>
    <w:p w14:paraId="7550BA8D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（可选）采样窗口</w:t>
      </w:r>
      <w:r>
        <w:rPr>
          <w:rFonts w:ascii="Times New Roman" w:eastAsia="宋体" w:hAnsi="Times New Roman"/>
        </w:rPr>
        <w:t xml:space="preserve"> τ</w:t>
      </w:r>
      <w:r>
        <w:rPr>
          <w:rFonts w:ascii="Times New Roman" w:eastAsia="宋体" w:hAnsi="Times New Roman"/>
        </w:rPr>
        <w:t>：若</w:t>
      </w:r>
      <w:r>
        <w:rPr>
          <w:rFonts w:ascii="Times New Roman" w:eastAsia="宋体" w:hAnsi="Times New Roman"/>
        </w:rPr>
        <w:t xml:space="preserve"> trace </w:t>
      </w:r>
      <w:r>
        <w:rPr>
          <w:rFonts w:ascii="Times New Roman" w:eastAsia="宋体" w:hAnsi="Times New Roman"/>
        </w:rPr>
        <w:t>具有顺序，可按段落划分窗口，但</w:t>
      </w:r>
      <w:r>
        <w:rPr>
          <w:rFonts w:ascii="Times New Roman" w:eastAsia="宋体" w:hAnsi="Times New Roman"/>
        </w:rPr>
        <w:t xml:space="preserve"> HISR-v2 </w:t>
      </w:r>
      <w:r>
        <w:rPr>
          <w:rFonts w:ascii="Times New Roman" w:eastAsia="宋体" w:hAnsi="Times New Roman"/>
        </w:rPr>
        <w:t>的尺度与核心建模不依赖时间。</w:t>
      </w:r>
    </w:p>
    <w:p w14:paraId="3511BB12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4.2 </w:t>
      </w:r>
      <w:r>
        <w:rPr>
          <w:rFonts w:ascii="Times New Roman" w:eastAsia="宋体" w:hAnsi="Times New Roman"/>
          <w:sz w:val="24"/>
        </w:rPr>
        <w:t>不变变量与特异变量</w:t>
      </w:r>
    </w:p>
    <w:p w14:paraId="04426128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不变变量：跨环境稳定的恢复机制（例如基于</w:t>
      </w:r>
      <w:r>
        <w:rPr>
          <w:rFonts w:ascii="Times New Roman" w:eastAsia="宋体" w:hAnsi="Times New Roman"/>
          <w:lang w:eastAsia="zh-CN"/>
        </w:rPr>
        <w:t xml:space="preserve"> A_{e,b} </w:t>
      </w:r>
      <w:r>
        <w:rPr>
          <w:rFonts w:ascii="Times New Roman" w:eastAsia="宋体" w:hAnsi="Times New Roman"/>
          <w:lang w:eastAsia="zh-CN"/>
        </w:rPr>
        <w:t>的结构推断、前缀树的质量分配规律）。</w:t>
      </w:r>
    </w:p>
    <w:p w14:paraId="0195F72E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特异变量：与环境强相关且容易形成捷径的因素（如特定碰撞模板、桶编号模式、单一</w:t>
      </w:r>
      <w:r>
        <w:rPr>
          <w:rFonts w:ascii="Times New Roman" w:eastAsia="宋体" w:hAnsi="Times New Roman"/>
          <w:lang w:eastAsia="zh-CN"/>
        </w:rPr>
        <w:t xml:space="preserve"> seed </w:t>
      </w:r>
      <w:r>
        <w:rPr>
          <w:rFonts w:ascii="Times New Roman" w:eastAsia="宋体" w:hAnsi="Times New Roman"/>
          <w:lang w:eastAsia="zh-CN"/>
        </w:rPr>
        <w:t>下的固定映射模式、阶段性前缀偏置）。</w:t>
      </w:r>
    </w:p>
    <w:p w14:paraId="7138434D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lastRenderedPageBreak/>
        <w:t xml:space="preserve">4.3 </w:t>
      </w:r>
      <w:r>
        <w:rPr>
          <w:rFonts w:ascii="Times New Roman" w:eastAsia="宋体" w:hAnsi="Times New Roman"/>
          <w:sz w:val="24"/>
        </w:rPr>
        <w:t>训练目标（实验口径）</w:t>
      </w:r>
    </w:p>
    <w:p w14:paraId="167AC588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环境内自监督：测量一致性（重建风险</w:t>
      </w:r>
      <w:r>
        <w:rPr>
          <w:rFonts w:ascii="Times New Roman" w:eastAsia="宋体" w:hAnsi="Times New Roman"/>
          <w:lang w:eastAsia="zh-CN"/>
        </w:rPr>
        <w:t>）</w:t>
      </w:r>
      <w:r>
        <w:rPr>
          <w:rFonts w:ascii="Times New Roman" w:eastAsia="宋体" w:hAnsi="Times New Roman"/>
          <w:lang w:eastAsia="zh-CN"/>
        </w:rPr>
        <w:t xml:space="preserve">+ </w:t>
      </w:r>
      <w:r>
        <w:rPr>
          <w:rFonts w:ascii="Times New Roman" w:eastAsia="宋体" w:hAnsi="Times New Roman"/>
          <w:lang w:eastAsia="zh-CN"/>
        </w:rPr>
        <w:t>稀疏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非负约束</w:t>
      </w:r>
      <w:r>
        <w:rPr>
          <w:rFonts w:ascii="Times New Roman" w:eastAsia="宋体" w:hAnsi="Times New Roman"/>
          <w:lang w:eastAsia="zh-CN"/>
        </w:rPr>
        <w:t xml:space="preserve"> +</w:t>
      </w:r>
      <w:r>
        <w:rPr>
          <w:rFonts w:ascii="Times New Roman" w:eastAsia="宋体" w:hAnsi="Times New Roman"/>
          <w:lang w:eastAsia="zh-CN"/>
        </w:rPr>
        <w:t>（若采用</w:t>
      </w:r>
      <w:r>
        <w:rPr>
          <w:rFonts w:ascii="Times New Roman" w:eastAsia="宋体" w:hAnsi="Times New Roman"/>
          <w:lang w:eastAsia="zh-CN"/>
        </w:rPr>
        <w:t xml:space="preserve"> Path-B</w:t>
      </w:r>
      <w:r>
        <w:rPr>
          <w:rFonts w:ascii="Times New Roman" w:eastAsia="宋体" w:hAnsi="Times New Roman"/>
          <w:lang w:eastAsia="zh-CN"/>
        </w:rPr>
        <w:t>）跨层守恒一致性。</w:t>
      </w:r>
    </w:p>
    <w:p w14:paraId="7EF8A847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跨环境不变性：</w:t>
      </w:r>
      <w:r>
        <w:rPr>
          <w:rFonts w:ascii="Times New Roman" w:eastAsia="宋体" w:hAnsi="Times New Roman"/>
        </w:rPr>
        <w:t xml:space="preserve">IRM-style penalty </w:t>
      </w:r>
      <w:r>
        <w:rPr>
          <w:rFonts w:ascii="Times New Roman" w:eastAsia="宋体" w:hAnsi="Times New Roman"/>
        </w:rPr>
        <w:t>促使共享预测头在不同环境同时最优；配合多哈希一致性，抑制对单一碰撞结构的过拟合。</w:t>
      </w:r>
    </w:p>
    <w:p w14:paraId="245C9CA3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（可选）去环境化对抗：环境分类器试图从</w:t>
      </w:r>
      <w:r>
        <w:rPr>
          <w:rFonts w:ascii="Times New Roman" w:eastAsia="宋体" w:hAnsi="Times New Roman"/>
          <w:lang w:eastAsia="zh-CN"/>
        </w:rPr>
        <w:t xml:space="preserve"> z_c </w:t>
      </w:r>
      <w:r>
        <w:rPr>
          <w:rFonts w:ascii="Times New Roman" w:eastAsia="宋体" w:hAnsi="Times New Roman"/>
          <w:lang w:eastAsia="zh-CN"/>
        </w:rPr>
        <w:t>预测</w:t>
      </w:r>
      <w:r>
        <w:rPr>
          <w:rFonts w:ascii="Times New Roman" w:eastAsia="宋体" w:hAnsi="Times New Roman"/>
          <w:lang w:eastAsia="zh-CN"/>
        </w:rPr>
        <w:t xml:space="preserve"> e</w:t>
      </w:r>
      <w:r>
        <w:rPr>
          <w:rFonts w:ascii="Times New Roman" w:eastAsia="宋体" w:hAnsi="Times New Roman"/>
          <w:lang w:eastAsia="zh-CN"/>
        </w:rPr>
        <w:t>，主干通过梯度反转抑制</w:t>
      </w:r>
      <w:r>
        <w:rPr>
          <w:rFonts w:ascii="Times New Roman" w:eastAsia="宋体" w:hAnsi="Times New Roman"/>
          <w:lang w:eastAsia="zh-CN"/>
        </w:rPr>
        <w:t xml:space="preserve"> z_c </w:t>
      </w:r>
      <w:r>
        <w:rPr>
          <w:rFonts w:ascii="Times New Roman" w:eastAsia="宋体" w:hAnsi="Times New Roman"/>
          <w:lang w:eastAsia="zh-CN"/>
        </w:rPr>
        <w:t>的环境可识别性。</w:t>
      </w:r>
    </w:p>
    <w:p w14:paraId="0FF1E1F9" w14:textId="77777777" w:rsidR="00DF5A2C" w:rsidRDefault="001441BE" w:rsidP="001441BE">
      <w:pPr>
        <w:pStyle w:val="1"/>
        <w:jc w:val="both"/>
      </w:pPr>
      <w:r>
        <w:rPr>
          <w:rFonts w:ascii="Times New Roman" w:eastAsia="宋体" w:hAnsi="Times New Roman"/>
        </w:rPr>
        <w:t xml:space="preserve">5. </w:t>
      </w:r>
      <w:r>
        <w:rPr>
          <w:rFonts w:ascii="Times New Roman" w:eastAsia="宋体" w:hAnsi="Times New Roman"/>
        </w:rPr>
        <w:t>对比方法与评价指标</w:t>
      </w:r>
    </w:p>
    <w:p w14:paraId="4D76CF3E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5.1 </w:t>
      </w:r>
      <w:r>
        <w:rPr>
          <w:rFonts w:ascii="Times New Roman" w:eastAsia="宋体" w:hAnsi="Times New Roman"/>
          <w:sz w:val="24"/>
        </w:rPr>
        <w:t>对比方法（</w:t>
      </w:r>
      <w:r>
        <w:rPr>
          <w:rFonts w:ascii="Times New Roman" w:eastAsia="宋体" w:hAnsi="Times New Roman"/>
          <w:sz w:val="24"/>
        </w:rPr>
        <w:t>Baselines</w:t>
      </w:r>
      <w:r>
        <w:rPr>
          <w:rFonts w:ascii="Times New Roman" w:eastAsia="宋体" w:hAnsi="Times New Roman"/>
          <w:sz w:val="24"/>
        </w:rPr>
        <w:t>）</w:t>
      </w:r>
    </w:p>
    <w:p w14:paraId="61F969CB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UCL-sketch</w:t>
      </w:r>
      <w:r>
        <w:rPr>
          <w:rFonts w:ascii="Times New Roman" w:eastAsia="宋体" w:hAnsi="Times New Roman"/>
        </w:rPr>
        <w:t>（原学习方法）：</w:t>
      </w:r>
      <w:r>
        <w:rPr>
          <w:rFonts w:ascii="Times New Roman" w:eastAsia="宋体" w:hAnsi="Times New Roman"/>
        </w:rPr>
        <w:t xml:space="preserve">inverseNet + </w:t>
      </w:r>
      <w:r>
        <w:rPr>
          <w:rFonts w:ascii="Times New Roman" w:eastAsia="宋体" w:hAnsi="Times New Roman"/>
        </w:rPr>
        <w:t>自监督重建（强学习基线）。</w:t>
      </w:r>
    </w:p>
    <w:p w14:paraId="385C7CA5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传统</w:t>
      </w:r>
      <w:r>
        <w:rPr>
          <w:rFonts w:ascii="Times New Roman" w:eastAsia="宋体" w:hAnsi="Times New Roman"/>
        </w:rPr>
        <w:t xml:space="preserve"> sketch </w:t>
      </w:r>
      <w:r>
        <w:rPr>
          <w:rFonts w:ascii="Times New Roman" w:eastAsia="宋体" w:hAnsi="Times New Roman"/>
        </w:rPr>
        <w:t>基线（</w:t>
      </w:r>
      <w:r>
        <w:rPr>
          <w:rFonts w:ascii="Times New Roman" w:eastAsia="宋体" w:hAnsi="Times New Roman"/>
        </w:rPr>
        <w:t xml:space="preserve">UCL </w:t>
      </w:r>
      <w:r>
        <w:rPr>
          <w:rFonts w:ascii="Times New Roman" w:eastAsia="宋体" w:hAnsi="Times New Roman"/>
        </w:rPr>
        <w:t>已实现）：</w:t>
      </w:r>
      <w:r>
        <w:rPr>
          <w:rFonts w:ascii="Times New Roman" w:eastAsia="宋体" w:hAnsi="Times New Roman"/>
        </w:rPr>
        <w:t>CM-s</w:t>
      </w:r>
      <w:r>
        <w:rPr>
          <w:rFonts w:ascii="Times New Roman" w:eastAsia="宋体" w:hAnsi="Times New Roman"/>
        </w:rPr>
        <w:t>ketch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C-sketch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Elastic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UnivMon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Nitro </w:t>
      </w:r>
      <w:r>
        <w:rPr>
          <w:rFonts w:ascii="Times New Roman" w:eastAsia="宋体" w:hAnsi="Times New Roman"/>
        </w:rPr>
        <w:t>等（空间预算对齐）。</w:t>
      </w:r>
    </w:p>
    <w:p w14:paraId="4F268EFF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HISR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ours</w:t>
      </w:r>
      <w:r>
        <w:rPr>
          <w:rFonts w:ascii="Times New Roman" w:eastAsia="宋体" w:hAnsi="Times New Roman"/>
        </w:rPr>
        <w:t>）：</w:t>
      </w:r>
      <w:r>
        <w:rPr>
          <w:rFonts w:ascii="Times New Roman" w:eastAsia="宋体" w:hAnsi="Times New Roman"/>
        </w:rPr>
        <w:t xml:space="preserve">Prefix-scale </w:t>
      </w:r>
      <w:r>
        <w:rPr>
          <w:rFonts w:ascii="Times New Roman" w:eastAsia="宋体" w:hAnsi="Times New Roman"/>
        </w:rPr>
        <w:t>分层</w:t>
      </w:r>
      <w:r>
        <w:rPr>
          <w:rFonts w:ascii="Times New Roman" w:eastAsia="宋体" w:hAnsi="Times New Roman"/>
        </w:rPr>
        <w:t xml:space="preserve"> + </w:t>
      </w:r>
      <w:r>
        <w:rPr>
          <w:rFonts w:ascii="Times New Roman" w:eastAsia="宋体" w:hAnsi="Times New Roman"/>
        </w:rPr>
        <w:t>多环境不变性（主方法）。</w:t>
      </w:r>
    </w:p>
    <w:p w14:paraId="1548AA4D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5.2 </w:t>
      </w:r>
      <w:r>
        <w:rPr>
          <w:rFonts w:ascii="Times New Roman" w:eastAsia="宋体" w:hAnsi="Times New Roman"/>
          <w:sz w:val="24"/>
        </w:rPr>
        <w:t>指标与报告口径</w:t>
      </w:r>
    </w:p>
    <w:p w14:paraId="1FBA0166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AAE / ARE / WMRD</w:t>
      </w:r>
      <w:r>
        <w:rPr>
          <w:rFonts w:ascii="Times New Roman" w:eastAsia="宋体" w:hAnsi="Times New Roman"/>
        </w:rPr>
        <w:t>：沿用</w:t>
      </w:r>
      <w:r>
        <w:rPr>
          <w:rFonts w:ascii="Times New Roman" w:eastAsia="宋体" w:hAnsi="Times New Roman"/>
        </w:rPr>
        <w:t xml:space="preserve"> UCL-sketch </w:t>
      </w:r>
      <w:r>
        <w:rPr>
          <w:rFonts w:ascii="Times New Roman" w:eastAsia="宋体" w:hAnsi="Times New Roman"/>
        </w:rPr>
        <w:t>的定义与统计方式（便于横向对比）。</w:t>
      </w:r>
    </w:p>
    <w:p w14:paraId="3DD46D16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Tail error</w:t>
      </w:r>
      <w:r>
        <w:rPr>
          <w:rFonts w:ascii="Times New Roman" w:eastAsia="宋体" w:hAnsi="Times New Roman"/>
          <w:lang w:eastAsia="zh-CN"/>
        </w:rPr>
        <w:t>：在长尾区间单独报告误差，用于检验稳定性。</w:t>
      </w:r>
    </w:p>
    <w:p w14:paraId="1969C654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Prefix-level error</w:t>
      </w:r>
      <w:r>
        <w:rPr>
          <w:rFonts w:ascii="Times New Roman" w:eastAsia="宋体" w:hAnsi="Times New Roman"/>
        </w:rPr>
        <w:t>：分别在</w:t>
      </w:r>
      <w:r>
        <w:rPr>
          <w:rFonts w:ascii="Times New Roman" w:eastAsia="宋体" w:hAnsi="Times New Roman"/>
        </w:rPr>
        <w:t xml:space="preserve"> /16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/24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/32 </w:t>
      </w:r>
      <w:r>
        <w:rPr>
          <w:rFonts w:ascii="Times New Roman" w:eastAsia="宋体" w:hAnsi="Times New Roman"/>
        </w:rPr>
        <w:t>三个尺度上报告误差（</w:t>
      </w:r>
      <w:r>
        <w:rPr>
          <w:rFonts w:ascii="Times New Roman" w:eastAsia="宋体" w:hAnsi="Times New Roman"/>
        </w:rPr>
        <w:t>L1/L2/L3</w:t>
      </w:r>
      <w:r>
        <w:rPr>
          <w:rFonts w:ascii="Times New Roman" w:eastAsia="宋体" w:hAnsi="Times New Roman"/>
        </w:rPr>
        <w:t>）。</w:t>
      </w:r>
    </w:p>
    <w:p w14:paraId="09EA361F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Hotspot recall@K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 xml:space="preserve">L1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L2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 xml:space="preserve"> Top-K </w:t>
      </w:r>
      <w:r>
        <w:rPr>
          <w:rFonts w:ascii="Times New Roman" w:eastAsia="宋体" w:hAnsi="Times New Roman"/>
        </w:rPr>
        <w:t>热点前缀召回率。</w:t>
      </w:r>
    </w:p>
    <w:p w14:paraId="792B002D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Efficiency</w:t>
      </w:r>
      <w:r>
        <w:rPr>
          <w:rFonts w:ascii="Times New Roman" w:eastAsia="宋体" w:hAnsi="Times New Roman"/>
          <w:lang w:eastAsia="zh-CN"/>
        </w:rPr>
        <w:t>：候选键覆盖率、推理桶数、控制平面推理时间等（统一统计方式，不要求硬件周期级精度）。</w:t>
      </w:r>
    </w:p>
    <w:p w14:paraId="01B2B20B" w14:textId="77777777" w:rsidR="00DF5A2C" w:rsidRDefault="001441BE" w:rsidP="001441BE">
      <w:pPr>
        <w:pStyle w:val="1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6. </w:t>
      </w:r>
      <w:r>
        <w:rPr>
          <w:rFonts w:ascii="Times New Roman" w:eastAsia="宋体" w:hAnsi="Times New Roman"/>
          <w:lang w:eastAsia="zh-CN"/>
        </w:rPr>
        <w:t>实验矩阵与消融</w:t>
      </w:r>
    </w:p>
    <w:p w14:paraId="3F64EE7E" w14:textId="77777777" w:rsidR="00DF5A2C" w:rsidRDefault="001441BE" w:rsidP="001441BE">
      <w:pPr>
        <w:pStyle w:val="21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6.1 </w:t>
      </w:r>
      <w:r>
        <w:rPr>
          <w:rFonts w:ascii="Times New Roman" w:eastAsia="宋体" w:hAnsi="Times New Roman"/>
          <w:sz w:val="24"/>
          <w:lang w:eastAsia="zh-CN"/>
        </w:rPr>
        <w:t>主实验：</w:t>
      </w:r>
      <w:r>
        <w:rPr>
          <w:rFonts w:ascii="Times New Roman" w:eastAsia="宋体" w:hAnsi="Times New Roman"/>
          <w:sz w:val="24"/>
          <w:lang w:eastAsia="zh-CN"/>
        </w:rPr>
        <w:t xml:space="preserve">ID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OOD</w:t>
      </w:r>
    </w:p>
    <w:p w14:paraId="1E1E2ED8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ID</w:t>
      </w:r>
      <w:r>
        <w:rPr>
          <w:rFonts w:ascii="Times New Roman" w:eastAsia="宋体" w:hAnsi="Times New Roman"/>
          <w:lang w:eastAsia="zh-CN"/>
        </w:rPr>
        <w:t>：训练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测试使用相同</w:t>
      </w:r>
      <w:r>
        <w:rPr>
          <w:rFonts w:ascii="Times New Roman" w:eastAsia="宋体" w:hAnsi="Times New Roman"/>
          <w:lang w:eastAsia="zh-CN"/>
        </w:rPr>
        <w:t xml:space="preserve"> seed </w:t>
      </w:r>
      <w:r>
        <w:rPr>
          <w:rFonts w:ascii="Times New Roman" w:eastAsia="宋体" w:hAnsi="Times New Roman"/>
          <w:lang w:eastAsia="zh-CN"/>
        </w:rPr>
        <w:t>组与相同前缀集合分布（对齐</w:t>
      </w:r>
      <w:r>
        <w:rPr>
          <w:rFonts w:ascii="Times New Roman" w:eastAsia="宋体" w:hAnsi="Times New Roman"/>
          <w:lang w:eastAsia="zh-CN"/>
        </w:rPr>
        <w:t xml:space="preserve"> UCL </w:t>
      </w:r>
      <w:r>
        <w:rPr>
          <w:rFonts w:ascii="Times New Roman" w:eastAsia="宋体" w:hAnsi="Times New Roman"/>
          <w:lang w:eastAsia="zh-CN"/>
        </w:rPr>
        <w:t>默认）。</w:t>
      </w:r>
    </w:p>
    <w:p w14:paraId="06F7E180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OOD-seed</w:t>
      </w:r>
      <w:r>
        <w:rPr>
          <w:rFonts w:ascii="Times New Roman" w:eastAsia="宋体" w:hAnsi="Times New Roman"/>
        </w:rPr>
        <w:t>：测试切换到未见的</w:t>
      </w:r>
      <w:r>
        <w:rPr>
          <w:rFonts w:ascii="Times New Roman" w:eastAsia="宋体" w:hAnsi="Times New Roman"/>
        </w:rPr>
        <w:t xml:space="preserve"> hash seed/view</w:t>
      </w:r>
      <w:r>
        <w:rPr>
          <w:rFonts w:ascii="Times New Roman" w:eastAsia="宋体" w:hAnsi="Times New Roman"/>
        </w:rPr>
        <w:t>。</w:t>
      </w:r>
    </w:p>
    <w:p w14:paraId="6E92947C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OOD-prefix-phase</w:t>
      </w:r>
      <w:r>
        <w:rPr>
          <w:rFonts w:ascii="Times New Roman" w:eastAsia="宋体" w:hAnsi="Times New Roman"/>
        </w:rPr>
        <w:t>：测试引入未见的</w:t>
      </w:r>
      <w:r>
        <w:rPr>
          <w:rFonts w:ascii="Times New Roman" w:eastAsia="宋体" w:hAnsi="Times New Roman"/>
        </w:rPr>
        <w:t xml:space="preserve"> /16</w:t>
      </w:r>
      <w:r>
        <w:rPr>
          <w:rFonts w:ascii="Times New Roman" w:eastAsia="宋体" w:hAnsi="Times New Roman"/>
        </w:rPr>
        <w:t>（或</w:t>
      </w:r>
      <w:r>
        <w:rPr>
          <w:rFonts w:ascii="Times New Roman" w:eastAsia="宋体" w:hAnsi="Times New Roman"/>
        </w:rPr>
        <w:t xml:space="preserve"> /24</w:t>
      </w:r>
      <w:r>
        <w:rPr>
          <w:rFonts w:ascii="Times New Roman" w:eastAsia="宋体" w:hAnsi="Times New Roman"/>
        </w:rPr>
        <w:t>）前缀</w:t>
      </w:r>
      <w:r>
        <w:rPr>
          <w:rFonts w:ascii="Times New Roman" w:eastAsia="宋体" w:hAnsi="Times New Roman"/>
        </w:rPr>
        <w:t>集合，模拟键空间扩展。</w:t>
      </w:r>
    </w:p>
    <w:p w14:paraId="0857409A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6.2 </w:t>
      </w:r>
      <w:r>
        <w:rPr>
          <w:rFonts w:ascii="Times New Roman" w:eastAsia="宋体" w:hAnsi="Times New Roman"/>
          <w:sz w:val="24"/>
        </w:rPr>
        <w:t>消融（</w:t>
      </w:r>
      <w:r>
        <w:rPr>
          <w:rFonts w:ascii="Times New Roman" w:eastAsia="宋体" w:hAnsi="Times New Roman"/>
          <w:sz w:val="24"/>
        </w:rPr>
        <w:t>Ablations</w:t>
      </w:r>
      <w:r>
        <w:rPr>
          <w:rFonts w:ascii="Times New Roman" w:eastAsia="宋体" w:hAnsi="Times New Roman"/>
          <w:sz w:val="24"/>
        </w:rPr>
        <w:t>）</w:t>
      </w:r>
    </w:p>
    <w:p w14:paraId="1656089F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Flat</w:t>
      </w:r>
      <w:r>
        <w:rPr>
          <w:rFonts w:ascii="Times New Roman" w:eastAsia="宋体" w:hAnsi="Times New Roman"/>
          <w:lang w:eastAsia="zh-CN"/>
        </w:rPr>
        <w:t>（无分层）：移除前缀树，直接恢复目标尺度（尤其是</w:t>
      </w:r>
      <w:r>
        <w:rPr>
          <w:rFonts w:ascii="Times New Roman" w:eastAsia="宋体" w:hAnsi="Times New Roman"/>
          <w:lang w:eastAsia="zh-CN"/>
        </w:rPr>
        <w:t xml:space="preserve"> /32</w:t>
      </w:r>
      <w:r>
        <w:rPr>
          <w:rFonts w:ascii="Times New Roman" w:eastAsia="宋体" w:hAnsi="Times New Roman"/>
          <w:lang w:eastAsia="zh-CN"/>
        </w:rPr>
        <w:t>），验证分层收益。</w:t>
      </w:r>
    </w:p>
    <w:p w14:paraId="7D9589D5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no-IRM</w:t>
      </w:r>
      <w:r>
        <w:rPr>
          <w:rFonts w:ascii="Times New Roman" w:eastAsia="宋体" w:hAnsi="Times New Roman"/>
        </w:rPr>
        <w:t>：移除</w:t>
      </w:r>
      <w:r>
        <w:rPr>
          <w:rFonts w:ascii="Times New Roman" w:eastAsia="宋体" w:hAnsi="Times New Roman"/>
        </w:rPr>
        <w:t xml:space="preserve"> IRM-style </w:t>
      </w:r>
      <w:r>
        <w:rPr>
          <w:rFonts w:ascii="Times New Roman" w:eastAsia="宋体" w:hAnsi="Times New Roman"/>
        </w:rPr>
        <w:t>不变性项，比较</w:t>
      </w:r>
      <w:r>
        <w:rPr>
          <w:rFonts w:ascii="Times New Roman" w:eastAsia="宋体" w:hAnsi="Times New Roman"/>
        </w:rPr>
        <w:t xml:space="preserve"> OOD </w:t>
      </w:r>
      <w:r>
        <w:rPr>
          <w:rFonts w:ascii="Times New Roman" w:eastAsia="宋体" w:hAnsi="Times New Roman"/>
        </w:rPr>
        <w:t>增幅。</w:t>
      </w:r>
    </w:p>
    <w:p w14:paraId="6CD5BAEB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only-L1/L2</w:t>
      </w:r>
      <w:r>
        <w:rPr>
          <w:rFonts w:ascii="Times New Roman" w:eastAsia="宋体" w:hAnsi="Times New Roman"/>
          <w:lang w:eastAsia="zh-CN"/>
        </w:rPr>
        <w:t>：仅做粗粒度聚合与热点定位，不进行最终细化，验证定位能力。</w:t>
      </w:r>
    </w:p>
    <w:p w14:paraId="5E70C407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不同前缀配置：更换层级粒度（若实现支持）。</w:t>
      </w:r>
    </w:p>
    <w:p w14:paraId="271D27B9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不同</w:t>
      </w:r>
      <w:r>
        <w:rPr>
          <w:rFonts w:ascii="Times New Roman" w:eastAsia="宋体" w:hAnsi="Times New Roman"/>
          <w:lang w:eastAsia="zh-CN"/>
        </w:rPr>
        <w:t xml:space="preserve"> K</w:t>
      </w:r>
      <w:r>
        <w:rPr>
          <w:rFonts w:ascii="Times New Roman" w:eastAsia="宋体" w:hAnsi="Times New Roman"/>
          <w:lang w:eastAsia="zh-CN"/>
        </w:rPr>
        <w:t>（热点预算）：改变</w:t>
      </w:r>
      <w:r>
        <w:rPr>
          <w:rFonts w:ascii="Times New Roman" w:eastAsia="宋体" w:hAnsi="Times New Roman"/>
          <w:lang w:eastAsia="zh-CN"/>
        </w:rPr>
        <w:t xml:space="preserve"> Top-K</w:t>
      </w:r>
      <w:r>
        <w:rPr>
          <w:rFonts w:ascii="Times New Roman" w:eastAsia="宋体" w:hAnsi="Times New Roman"/>
          <w:lang w:eastAsia="zh-CN"/>
        </w:rPr>
        <w:t>，画出精度</w:t>
      </w:r>
      <w:r>
        <w:rPr>
          <w:rFonts w:ascii="Times New Roman" w:eastAsia="宋体" w:hAnsi="Times New Roman"/>
          <w:lang w:eastAsia="zh-CN"/>
        </w:rPr>
        <w:t>-</w:t>
      </w:r>
      <w:r>
        <w:rPr>
          <w:rFonts w:ascii="Times New Roman" w:eastAsia="宋体" w:hAnsi="Times New Roman"/>
          <w:lang w:eastAsia="zh-CN"/>
        </w:rPr>
        <w:t>开销折中曲线。</w:t>
      </w:r>
    </w:p>
    <w:p w14:paraId="24899C41" w14:textId="77777777" w:rsidR="00DF5A2C" w:rsidRDefault="001441BE" w:rsidP="001441BE">
      <w:pPr>
        <w:pStyle w:val="21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6.3 </w:t>
      </w:r>
      <w:r>
        <w:rPr>
          <w:rFonts w:ascii="Times New Roman" w:eastAsia="宋体" w:hAnsi="Times New Roman"/>
          <w:sz w:val="24"/>
          <w:lang w:eastAsia="zh-CN"/>
        </w:rPr>
        <w:t>空间预算对齐（原则）</w:t>
      </w:r>
    </w:p>
    <w:p w14:paraId="4E3C3E5B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所有方法在相同或可比空间预算下比较。建议沿用</w:t>
      </w:r>
      <w:r>
        <w:rPr>
          <w:rFonts w:ascii="Times New Roman" w:eastAsia="宋体" w:hAnsi="Times New Roman"/>
          <w:lang w:eastAsia="zh-CN"/>
        </w:rPr>
        <w:t xml:space="preserve"> UCL-sketch </w:t>
      </w:r>
      <w:r>
        <w:rPr>
          <w:rFonts w:ascii="Times New Roman" w:eastAsia="宋体" w:hAnsi="Times New Roman"/>
          <w:lang w:eastAsia="zh-CN"/>
        </w:rPr>
        <w:t>在</w:t>
      </w:r>
      <w:r>
        <w:rPr>
          <w:rFonts w:ascii="Times New Roman" w:eastAsia="宋体" w:hAnsi="Times New Roman"/>
          <w:lang w:eastAsia="zh-CN"/>
        </w:rPr>
        <w:t xml:space="preserve"> network </w:t>
      </w:r>
      <w:r>
        <w:rPr>
          <w:rFonts w:ascii="Times New Roman" w:eastAsia="宋体" w:hAnsi="Times New Roman"/>
          <w:lang w:eastAsia="zh-CN"/>
        </w:rPr>
        <w:t>数据上的默认</w:t>
      </w:r>
      <w:r>
        <w:rPr>
          <w:rFonts w:ascii="Times New Roman" w:eastAsia="宋体" w:hAnsi="Times New Roman"/>
          <w:lang w:eastAsia="zh-CN"/>
        </w:rPr>
        <w:t xml:space="preserve"> sketch </w:t>
      </w:r>
      <w:r>
        <w:rPr>
          <w:rFonts w:ascii="Times New Roman" w:eastAsia="宋体" w:hAnsi="Times New Roman"/>
          <w:lang w:eastAsia="zh-CN"/>
        </w:rPr>
        <w:t>宽度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深度组合，并在</w:t>
      </w:r>
      <w:r>
        <w:rPr>
          <w:rFonts w:ascii="Times New Roman" w:eastAsia="宋体" w:hAnsi="Times New Roman"/>
          <w:lang w:eastAsia="zh-CN"/>
        </w:rPr>
        <w:t xml:space="preserve"> HISR </w:t>
      </w:r>
      <w:r>
        <w:rPr>
          <w:rFonts w:ascii="Times New Roman" w:eastAsia="宋体" w:hAnsi="Times New Roman"/>
          <w:lang w:eastAsia="zh-CN"/>
        </w:rPr>
        <w:t>中固定桶长度</w:t>
      </w:r>
      <w:r>
        <w:rPr>
          <w:rFonts w:ascii="Times New Roman" w:eastAsia="宋体" w:hAnsi="Times New Roman"/>
          <w:lang w:eastAsia="zh-CN"/>
        </w:rPr>
        <w:t xml:space="preserve"> L </w:t>
      </w:r>
      <w:r>
        <w:rPr>
          <w:rFonts w:ascii="Times New Roman" w:eastAsia="宋体" w:hAnsi="Times New Roman"/>
          <w:lang w:eastAsia="zh-CN"/>
        </w:rPr>
        <w:t>与候选集合构造规则，确保公平。</w:t>
      </w:r>
    </w:p>
    <w:p w14:paraId="7831139B" w14:textId="77777777" w:rsidR="00DF5A2C" w:rsidRDefault="001441BE" w:rsidP="001441BE">
      <w:pPr>
        <w:pStyle w:val="1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7. </w:t>
      </w:r>
      <w:r>
        <w:rPr>
          <w:rFonts w:ascii="Times New Roman" w:eastAsia="宋体" w:hAnsi="Times New Roman"/>
          <w:lang w:eastAsia="zh-CN"/>
        </w:rPr>
        <w:t>代码架构与复现流水线（强调模块职责）</w:t>
      </w:r>
    </w:p>
    <w:p w14:paraId="0DCA0664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7.1 </w:t>
      </w:r>
      <w:r>
        <w:rPr>
          <w:rFonts w:ascii="Times New Roman" w:eastAsia="宋体" w:hAnsi="Times New Roman"/>
          <w:sz w:val="24"/>
        </w:rPr>
        <w:t>复用</w:t>
      </w:r>
      <w:r>
        <w:rPr>
          <w:rFonts w:ascii="Times New Roman" w:eastAsia="宋体" w:hAnsi="Times New Roman"/>
          <w:sz w:val="24"/>
        </w:rPr>
        <w:t xml:space="preserve"> uclsketch </w:t>
      </w:r>
      <w:r>
        <w:rPr>
          <w:rFonts w:ascii="Times New Roman" w:eastAsia="宋体" w:hAnsi="Times New Roman"/>
          <w:sz w:val="24"/>
        </w:rPr>
        <w:t>的数据与采样产物</w:t>
      </w:r>
    </w:p>
    <w:p w14:paraId="1A63DF28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沿用</w:t>
      </w:r>
      <w:r>
        <w:rPr>
          <w:rFonts w:ascii="Times New Roman" w:eastAsia="宋体" w:hAnsi="Times New Roman"/>
        </w:rPr>
        <w:t xml:space="preserve"> UCL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 xml:space="preserve"> trace </w:t>
      </w:r>
      <w:r>
        <w:rPr>
          <w:rFonts w:ascii="Times New Roman" w:eastAsia="宋体" w:hAnsi="Times New Roman"/>
        </w:rPr>
        <w:t>插入与采样逻辑，产出</w:t>
      </w:r>
      <w:r>
        <w:rPr>
          <w:rFonts w:ascii="Times New Roman" w:eastAsia="宋体" w:hAnsi="Times New Roman"/>
        </w:rPr>
        <w:t xml:space="preserve"> samples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ground_truth</w:t>
      </w:r>
      <w:r>
        <w:rPr>
          <w:rFonts w:ascii="Times New Roman" w:eastAsia="宋体" w:hAnsi="Times New Roman"/>
        </w:rPr>
        <w:t>。</w:t>
      </w:r>
    </w:p>
    <w:p w14:paraId="0474B72F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 xml:space="preserve">HISR </w:t>
      </w:r>
      <w:r>
        <w:rPr>
          <w:rFonts w:ascii="Times New Roman" w:eastAsia="宋体" w:hAnsi="Times New Roman"/>
        </w:rPr>
        <w:t>训练只依赖：</w:t>
      </w:r>
      <w:r>
        <w:rPr>
          <w:rFonts w:ascii="Times New Roman" w:eastAsia="宋体" w:hAnsi="Times New Roman"/>
        </w:rPr>
        <w:t>samples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sketch shots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 xml:space="preserve">+ </w:t>
      </w:r>
      <w:r>
        <w:rPr>
          <w:rFonts w:ascii="Times New Roman" w:eastAsia="宋体" w:hAnsi="Times New Roman"/>
        </w:rPr>
        <w:t>桶级结构构造器（</w:t>
      </w:r>
      <w:r>
        <w:rPr>
          <w:rFonts w:ascii="Times New Roman" w:eastAsia="宋体" w:hAnsi="Times New Roman"/>
        </w:rPr>
        <w:t xml:space="preserve">A_{e,b} </w:t>
      </w:r>
      <w:r>
        <w:rPr>
          <w:rFonts w:ascii="Times New Roman" w:eastAsia="宋体" w:hAnsi="Times New Roman"/>
        </w:rPr>
        <w:t>边表）</w:t>
      </w:r>
      <w:r>
        <w:rPr>
          <w:rFonts w:ascii="Times New Roman" w:eastAsia="宋体" w:hAnsi="Times New Roman"/>
        </w:rPr>
        <w:t xml:space="preserve">+ </w:t>
      </w:r>
      <w:r>
        <w:rPr>
          <w:rFonts w:ascii="Times New Roman" w:eastAsia="宋体" w:hAnsi="Times New Roman"/>
        </w:rPr>
        <w:t>环境划分</w:t>
      </w:r>
      <w:r>
        <w:rPr>
          <w:rFonts w:ascii="Times New Roman" w:eastAsia="宋体" w:hAnsi="Times New Roman"/>
        </w:rPr>
        <w:t>器（</w:t>
      </w:r>
      <w:r>
        <w:rPr>
          <w:rFonts w:ascii="Times New Roman" w:eastAsia="宋体" w:hAnsi="Times New Roman"/>
        </w:rPr>
        <w:t>seed/phase</w:t>
      </w:r>
      <w:r>
        <w:rPr>
          <w:rFonts w:ascii="Times New Roman" w:eastAsia="宋体" w:hAnsi="Times New Roman"/>
        </w:rPr>
        <w:t>）。</w:t>
      </w:r>
    </w:p>
    <w:p w14:paraId="0CA43BA7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 xml:space="preserve">ground_truth </w:t>
      </w:r>
      <w:r>
        <w:rPr>
          <w:rFonts w:ascii="Times New Roman" w:eastAsia="宋体" w:hAnsi="Times New Roman"/>
        </w:rPr>
        <w:t>仅用于评测与构造</w:t>
      </w:r>
      <w:r>
        <w:rPr>
          <w:rFonts w:ascii="Times New Roman" w:eastAsia="宋体" w:hAnsi="Times New Roman"/>
        </w:rPr>
        <w:t xml:space="preserve"> prefix </w:t>
      </w:r>
      <w:r>
        <w:rPr>
          <w:rFonts w:ascii="Times New Roman" w:eastAsia="宋体" w:hAnsi="Times New Roman"/>
        </w:rPr>
        <w:t>聚合真值，不进入训练损失。</w:t>
      </w:r>
    </w:p>
    <w:p w14:paraId="13912447" w14:textId="77777777" w:rsidR="00DF5A2C" w:rsidRDefault="001441BE" w:rsidP="001441BE">
      <w:pPr>
        <w:pStyle w:val="21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7.2 </w:t>
      </w:r>
      <w:r>
        <w:rPr>
          <w:rFonts w:ascii="Times New Roman" w:eastAsia="宋体" w:hAnsi="Times New Roman"/>
          <w:sz w:val="24"/>
          <w:lang w:eastAsia="zh-CN"/>
        </w:rPr>
        <w:t>建议的</w:t>
      </w:r>
      <w:r>
        <w:rPr>
          <w:rFonts w:ascii="Times New Roman" w:eastAsia="宋体" w:hAnsi="Times New Roman"/>
          <w:sz w:val="24"/>
          <w:lang w:eastAsia="zh-CN"/>
        </w:rPr>
        <w:t xml:space="preserve"> HISR </w:t>
      </w:r>
      <w:r>
        <w:rPr>
          <w:rFonts w:ascii="Times New Roman" w:eastAsia="宋体" w:hAnsi="Times New Roman"/>
          <w:sz w:val="24"/>
          <w:lang w:eastAsia="zh-CN"/>
        </w:rPr>
        <w:t>代码目录（与</w:t>
      </w:r>
      <w:r>
        <w:rPr>
          <w:rFonts w:ascii="Times New Roman" w:eastAsia="宋体" w:hAnsi="Times New Roman"/>
          <w:sz w:val="24"/>
          <w:lang w:eastAsia="zh-CN"/>
        </w:rPr>
        <w:t xml:space="preserve"> UCL </w:t>
      </w:r>
      <w:r>
        <w:rPr>
          <w:rFonts w:ascii="Times New Roman" w:eastAsia="宋体" w:hAnsi="Times New Roman"/>
          <w:sz w:val="24"/>
          <w:lang w:eastAsia="zh-CN"/>
        </w:rPr>
        <w:t>工程风格兼容）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13"/>
        <w:gridCol w:w="4843"/>
      </w:tblGrid>
      <w:tr w:rsidR="00DF5A2C" w14:paraId="6F469424" w14:textId="77777777">
        <w:trPr>
          <w:jc w:val="center"/>
        </w:trPr>
        <w:tc>
          <w:tcPr>
            <w:tcW w:w="4608" w:type="dxa"/>
          </w:tcPr>
          <w:p w14:paraId="42296A85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模块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脚本</w:t>
            </w:r>
          </w:p>
        </w:tc>
        <w:tc>
          <w:tcPr>
            <w:tcW w:w="6912" w:type="dxa"/>
          </w:tcPr>
          <w:p w14:paraId="49E84908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职责（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I/O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与关键说明）</w:t>
            </w:r>
          </w:p>
        </w:tc>
      </w:tr>
      <w:tr w:rsidR="00DF5A2C" w14:paraId="22681291" w14:textId="77777777">
        <w:trPr>
          <w:jc w:val="center"/>
        </w:trPr>
        <w:tc>
          <w:tcPr>
            <w:tcW w:w="4608" w:type="dxa"/>
          </w:tcPr>
          <w:p w14:paraId="01AE19ED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hisr/data/prefix.py</w:t>
            </w:r>
          </w:p>
        </w:tc>
        <w:tc>
          <w:tcPr>
            <w:tcW w:w="6912" w:type="dxa"/>
          </w:tcPr>
          <w:p w14:paraId="0F253B7E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从网络键中提取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IP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，并构造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/16-/24-/32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前缀映射；生成各层候选集合与聚合真值构造器。</w:t>
            </w:r>
          </w:p>
        </w:tc>
      </w:tr>
      <w:tr w:rsidR="00DF5A2C" w14:paraId="7AA82402" w14:textId="77777777">
        <w:trPr>
          <w:jc w:val="center"/>
        </w:trPr>
        <w:tc>
          <w:tcPr>
            <w:tcW w:w="4608" w:type="dxa"/>
          </w:tcPr>
          <w:p w14:paraId="0D9CFB3A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hisr/data/bucketize.py</w:t>
            </w:r>
          </w:p>
        </w:tc>
        <w:tc>
          <w:tcPr>
            <w:tcW w:w="6912" w:type="dxa"/>
          </w:tcPr>
          <w:p w14:paraId="5A5E9C89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把候选集合切分为逻辑桶；构造桶内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key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列表与索引映射。</w:t>
            </w:r>
          </w:p>
        </w:tc>
      </w:tr>
      <w:tr w:rsidR="00DF5A2C" w14:paraId="67CFEC25" w14:textId="77777777">
        <w:trPr>
          <w:jc w:val="center"/>
        </w:trPr>
        <w:tc>
          <w:tcPr>
            <w:tcW w:w="4608" w:type="dxa"/>
          </w:tcPr>
          <w:p w14:paraId="1F7A64AD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hisr/data/local_operator.py</w:t>
            </w:r>
          </w:p>
        </w:tc>
        <w:tc>
          <w:tcPr>
            <w:tcW w:w="6912" w:type="dxa"/>
          </w:tcPr>
          <w:p w14:paraId="357515BE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抽取</w:t>
            </w:r>
            <w:r>
              <w:rPr>
                <w:rFonts w:ascii="Times New Roman" w:eastAsia="宋体" w:hAnsi="Times New Roman"/>
                <w:sz w:val="21"/>
              </w:rPr>
              <w:t xml:space="preserve"> I_{e,b} </w:t>
            </w:r>
            <w:r>
              <w:rPr>
                <w:rFonts w:ascii="Times New Roman" w:eastAsia="宋体" w:hAnsi="Times New Roman"/>
                <w:sz w:val="21"/>
              </w:rPr>
              <w:t>与</w:t>
            </w:r>
            <w:r>
              <w:rPr>
                <w:rFonts w:ascii="Times New Roman" w:eastAsia="宋体" w:hAnsi="Times New Roman"/>
                <w:sz w:val="21"/>
              </w:rPr>
              <w:t xml:space="preserve"> y_{e,b}</w:t>
            </w:r>
            <w:r>
              <w:rPr>
                <w:rFonts w:ascii="Times New Roman" w:eastAsia="宋体" w:hAnsi="Times New Roman"/>
                <w:sz w:val="21"/>
              </w:rPr>
              <w:t>，并生成</w:t>
            </w:r>
            <w:r>
              <w:rPr>
                <w:rFonts w:ascii="Times New Roman" w:eastAsia="宋体" w:hAnsi="Times New Roman"/>
                <w:sz w:val="21"/>
              </w:rPr>
              <w:t xml:space="preserve"> A_{e,b} </w:t>
            </w:r>
            <w:r>
              <w:rPr>
                <w:rFonts w:ascii="Times New Roman" w:eastAsia="宋体" w:hAnsi="Times New Roman"/>
                <w:sz w:val="21"/>
              </w:rPr>
              <w:t>的稀疏边表（二部图）。</w:t>
            </w:r>
          </w:p>
        </w:tc>
      </w:tr>
      <w:tr w:rsidR="00DF5A2C" w14:paraId="5B346208" w14:textId="77777777">
        <w:trPr>
          <w:jc w:val="center"/>
        </w:trPr>
        <w:tc>
          <w:tcPr>
            <w:tcW w:w="4608" w:type="dxa"/>
          </w:tcPr>
          <w:p w14:paraId="2EA32447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hisr/model/encoder_bipartite.py</w:t>
            </w:r>
          </w:p>
        </w:tc>
        <w:tc>
          <w:tcPr>
            <w:tcW w:w="6912" w:type="dxa"/>
          </w:tcPr>
          <w:p w14:paraId="43B393A8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二部图编码器</w:t>
            </w:r>
            <w:r>
              <w:rPr>
                <w:rFonts w:ascii="Times New Roman" w:eastAsia="宋体" w:hAnsi="Times New Roman"/>
                <w:sz w:val="21"/>
              </w:rPr>
              <w:t xml:space="preserve"> Φ_θ</w:t>
            </w:r>
            <w:r>
              <w:rPr>
                <w:rFonts w:ascii="Times New Roman" w:eastAsia="宋体" w:hAnsi="Times New Roman"/>
                <w:sz w:val="21"/>
              </w:rPr>
              <w:t>：输入</w:t>
            </w:r>
            <w:r>
              <w:rPr>
                <w:rFonts w:ascii="Times New Roman" w:eastAsia="宋体" w:hAnsi="Times New Roman"/>
                <w:sz w:val="21"/>
              </w:rPr>
              <w:t xml:space="preserve"> (y_{e,b}, edge list) </w:t>
            </w:r>
            <w:r>
              <w:rPr>
                <w:rFonts w:ascii="Times New Roman" w:eastAsia="宋体" w:hAnsi="Times New Roman"/>
                <w:sz w:val="21"/>
              </w:rPr>
              <w:t>输出</w:t>
            </w:r>
            <w:r>
              <w:rPr>
                <w:rFonts w:ascii="Times New Roman" w:eastAsia="宋体" w:hAnsi="Times New Roman"/>
                <w:sz w:val="21"/>
              </w:rPr>
              <w:t xml:space="preserve"> (z_c, z_v)</w:t>
            </w:r>
            <w:r>
              <w:rPr>
                <w:rFonts w:ascii="Times New Roman" w:eastAsia="宋体" w:hAnsi="Times New Roman"/>
                <w:sz w:val="21"/>
              </w:rPr>
              <w:t>。</w:t>
            </w:r>
          </w:p>
        </w:tc>
      </w:tr>
      <w:tr w:rsidR="00DF5A2C" w14:paraId="0DBD18EC" w14:textId="77777777">
        <w:trPr>
          <w:jc w:val="center"/>
        </w:trPr>
        <w:tc>
          <w:tcPr>
            <w:tcW w:w="4608" w:type="dxa"/>
          </w:tcPr>
          <w:p w14:paraId="03A1AA1F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hisr/model/decoder_prefix_tree.py</w:t>
            </w:r>
          </w:p>
        </w:tc>
        <w:tc>
          <w:tcPr>
            <w:tcW w:w="6912" w:type="dxa"/>
          </w:tcPr>
          <w:p w14:paraId="6C08193D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前缀树层级解码器：分裂比例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/>
                <w:sz w:val="21"/>
              </w:rPr>
              <w:t>质量守恒输出</w:t>
            </w:r>
            <w:r>
              <w:rPr>
                <w:rFonts w:ascii="Times New Roman" w:eastAsia="宋体" w:hAnsi="Times New Roman"/>
                <w:sz w:val="21"/>
              </w:rPr>
              <w:t xml:space="preserve"> \hat{x}_{e,b}</w:t>
            </w:r>
            <w:r>
              <w:rPr>
                <w:rFonts w:ascii="Times New Roman" w:eastAsia="宋体" w:hAnsi="Times New Roman"/>
                <w:sz w:val="21"/>
              </w:rPr>
              <w:t>；支持</w:t>
            </w:r>
            <w:r>
              <w:rPr>
                <w:rFonts w:ascii="Times New Roman" w:eastAsia="宋体" w:hAnsi="Times New Roman"/>
                <w:sz w:val="21"/>
              </w:rPr>
              <w:t xml:space="preserve"> Path-A/Path-B</w:t>
            </w:r>
            <w:r>
              <w:rPr>
                <w:rFonts w:ascii="Times New Roman" w:eastAsia="宋体" w:hAnsi="Times New Roman"/>
                <w:sz w:val="21"/>
              </w:rPr>
              <w:t>。</w:t>
            </w:r>
          </w:p>
        </w:tc>
      </w:tr>
      <w:tr w:rsidR="00DF5A2C" w14:paraId="5BD02E66" w14:textId="77777777">
        <w:trPr>
          <w:jc w:val="center"/>
        </w:trPr>
        <w:tc>
          <w:tcPr>
            <w:tcW w:w="4608" w:type="dxa"/>
          </w:tcPr>
          <w:p w14:paraId="2A71CE9B" w14:textId="77777777" w:rsidR="00DF5A2C" w:rsidRDefault="001441BE" w:rsidP="001441BE">
            <w:pPr>
              <w:jc w:val="both"/>
            </w:pPr>
            <w:r>
              <w:rPr>
                <w:rFonts w:ascii="Times New Roman" w:eastAsia="宋体" w:hAnsi="Times New Roman"/>
                <w:sz w:val="21"/>
              </w:rPr>
              <w:t>scripts/tra</w:t>
            </w:r>
            <w:r>
              <w:rPr>
                <w:rFonts w:ascii="Times New Roman" w:eastAsia="宋体" w:hAnsi="Times New Roman"/>
                <w:sz w:val="21"/>
              </w:rPr>
              <w:t>in_eval_hisr.py</w:t>
            </w:r>
          </w:p>
        </w:tc>
        <w:tc>
          <w:tcPr>
            <w:tcW w:w="6912" w:type="dxa"/>
          </w:tcPr>
          <w:p w14:paraId="6B0FE4FA" w14:textId="77777777" w:rsidR="00DF5A2C" w:rsidRDefault="001441BE" w:rsidP="001441BE">
            <w:pPr>
              <w:jc w:val="both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统一入口：构建多环境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batch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seed/phase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），训练（自监督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+IRM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），评测并导出结果。</w:t>
            </w:r>
          </w:p>
        </w:tc>
      </w:tr>
    </w:tbl>
    <w:p w14:paraId="5C90E854" w14:textId="77777777" w:rsidR="00DF5A2C" w:rsidRDefault="00DF5A2C" w:rsidP="001441BE">
      <w:pPr>
        <w:jc w:val="both"/>
        <w:rPr>
          <w:lang w:eastAsia="zh-CN"/>
        </w:rPr>
      </w:pPr>
    </w:p>
    <w:p w14:paraId="3E2DC039" w14:textId="77777777" w:rsidR="00DF5A2C" w:rsidRDefault="001441BE" w:rsidP="001441BE">
      <w:pPr>
        <w:pStyle w:val="21"/>
        <w:jc w:val="both"/>
      </w:pPr>
      <w:r>
        <w:rPr>
          <w:rFonts w:ascii="Times New Roman" w:eastAsia="宋体" w:hAnsi="Times New Roman"/>
          <w:sz w:val="24"/>
        </w:rPr>
        <w:t xml:space="preserve">7.3 </w:t>
      </w:r>
      <w:r>
        <w:rPr>
          <w:rFonts w:ascii="Times New Roman" w:eastAsia="宋体" w:hAnsi="Times New Roman"/>
          <w:sz w:val="24"/>
        </w:rPr>
        <w:t>输出产物与汇总</w:t>
      </w:r>
    </w:p>
    <w:p w14:paraId="7C341F26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metrics.json</w:t>
      </w:r>
      <w:r>
        <w:rPr>
          <w:rFonts w:ascii="Times New Roman" w:eastAsia="宋体" w:hAnsi="Times New Roman"/>
        </w:rPr>
        <w:t>：记录各方法在各</w:t>
      </w:r>
      <w:r>
        <w:rPr>
          <w:rFonts w:ascii="Times New Roman" w:eastAsia="宋体" w:hAnsi="Times New Roman"/>
        </w:rPr>
        <w:t xml:space="preserve"> setting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ID/OOD-seed/OOD-phase</w:t>
      </w:r>
      <w:r>
        <w:rPr>
          <w:rFonts w:ascii="Times New Roman" w:eastAsia="宋体" w:hAnsi="Times New Roman"/>
        </w:rPr>
        <w:t>）与各尺度（</w:t>
      </w:r>
      <w:r>
        <w:rPr>
          <w:rFonts w:ascii="Times New Roman" w:eastAsia="宋体" w:hAnsi="Times New Roman"/>
        </w:rPr>
        <w:t>L1/L2/L3</w:t>
      </w:r>
      <w:r>
        <w:rPr>
          <w:rFonts w:ascii="Times New Roman" w:eastAsia="宋体" w:hAnsi="Times New Roman"/>
        </w:rPr>
        <w:t>）下的指标。</w:t>
      </w:r>
    </w:p>
    <w:p w14:paraId="769BE9D7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curves.csv</w:t>
      </w:r>
      <w:r>
        <w:rPr>
          <w:rFonts w:ascii="Times New Roman" w:eastAsia="宋体" w:hAnsi="Times New Roman"/>
          <w:lang w:eastAsia="zh-CN"/>
        </w:rPr>
        <w:t>：不同</w:t>
      </w:r>
      <w:r>
        <w:rPr>
          <w:rFonts w:ascii="Times New Roman" w:eastAsia="宋体" w:hAnsi="Times New Roman"/>
          <w:lang w:eastAsia="zh-CN"/>
        </w:rPr>
        <w:t xml:space="preserve"> K</w:t>
      </w:r>
      <w:r>
        <w:rPr>
          <w:rFonts w:ascii="Times New Roman" w:eastAsia="宋体" w:hAnsi="Times New Roman"/>
          <w:lang w:eastAsia="zh-CN"/>
        </w:rPr>
        <w:t>、不同预算、不同尺度下的误差</w:t>
      </w:r>
      <w:r>
        <w:rPr>
          <w:rFonts w:ascii="Times New Roman" w:eastAsia="宋体" w:hAnsi="Times New Roman"/>
          <w:lang w:eastAsia="zh-CN"/>
        </w:rPr>
        <w:t>-</w:t>
      </w:r>
      <w:r>
        <w:rPr>
          <w:rFonts w:ascii="Times New Roman" w:eastAsia="宋体" w:hAnsi="Times New Roman"/>
          <w:lang w:eastAsia="zh-CN"/>
        </w:rPr>
        <w:t>开销曲线。</w:t>
      </w:r>
    </w:p>
    <w:p w14:paraId="5666D2D1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plots/*.pdf</w:t>
      </w:r>
      <w:r>
        <w:rPr>
          <w:rFonts w:ascii="Times New Roman" w:eastAsia="宋体" w:hAnsi="Times New Roman"/>
        </w:rPr>
        <w:t>：主图（误差对比、热点召回、尺度分解、</w:t>
      </w:r>
      <w:r>
        <w:rPr>
          <w:rFonts w:ascii="Times New Roman" w:eastAsia="宋体" w:hAnsi="Times New Roman"/>
        </w:rPr>
        <w:t>OOD gap</w:t>
      </w:r>
      <w:r>
        <w:rPr>
          <w:rFonts w:ascii="Times New Roman" w:eastAsia="宋体" w:hAnsi="Times New Roman"/>
        </w:rPr>
        <w:t>）。</w:t>
      </w:r>
    </w:p>
    <w:p w14:paraId="41B2838D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checkpoints/</w:t>
      </w:r>
      <w:r>
        <w:rPr>
          <w:rFonts w:ascii="Times New Roman" w:eastAsia="宋体" w:hAnsi="Times New Roman"/>
        </w:rPr>
        <w:t>：模型权重与训练日志。</w:t>
      </w:r>
    </w:p>
    <w:p w14:paraId="786D9A13" w14:textId="77777777" w:rsidR="00DF5A2C" w:rsidRDefault="001441BE" w:rsidP="001441BE">
      <w:pPr>
        <w:pStyle w:val="1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8. </w:t>
      </w:r>
      <w:r>
        <w:rPr>
          <w:rFonts w:ascii="Times New Roman" w:eastAsia="宋体" w:hAnsi="Times New Roman"/>
          <w:lang w:eastAsia="zh-CN"/>
        </w:rPr>
        <w:t>统计与报告规范（可投稿口径）</w:t>
      </w:r>
    </w:p>
    <w:p w14:paraId="1FBCD3A6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至少</w:t>
      </w:r>
      <w:r>
        <w:rPr>
          <w:rFonts w:ascii="Times New Roman" w:eastAsia="宋体" w:hAnsi="Times New Roman"/>
          <w:lang w:eastAsia="zh-CN"/>
        </w:rPr>
        <w:t xml:space="preserve"> 3 </w:t>
      </w:r>
      <w:r>
        <w:rPr>
          <w:rFonts w:ascii="Times New Roman" w:eastAsia="宋体" w:hAnsi="Times New Roman"/>
          <w:lang w:eastAsia="zh-CN"/>
        </w:rPr>
        <w:t>次独立运行报告均值与方差；所有随机种子与数据切分写入结果文件。</w:t>
      </w:r>
    </w:p>
    <w:p w14:paraId="2A104DD0" w14:textId="77777777" w:rsidR="00DF5A2C" w:rsidRDefault="001441BE" w:rsidP="001441BE">
      <w:pPr>
        <w:pStyle w:val="a0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对齐空间预算与评测脚本；统一候选集合构造规则；避免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看见测试集前缀集合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的信息泄露。</w:t>
      </w:r>
    </w:p>
    <w:p w14:paraId="4E85FB7B" w14:textId="77777777" w:rsidR="00DF5A2C" w:rsidRDefault="001441BE" w:rsidP="001441BE">
      <w:pPr>
        <w:pStyle w:val="a0"/>
        <w:jc w:val="both"/>
      </w:pPr>
      <w:r>
        <w:rPr>
          <w:rFonts w:ascii="Times New Roman" w:eastAsia="宋体" w:hAnsi="Times New Roman"/>
        </w:rPr>
        <w:t>主文必须包含：</w:t>
      </w:r>
      <w:r>
        <w:rPr>
          <w:rFonts w:ascii="Times New Roman" w:eastAsia="宋体" w:hAnsi="Times New Roman"/>
        </w:rPr>
        <w:t xml:space="preserve">L1/L2/L3 </w:t>
      </w:r>
      <w:r>
        <w:rPr>
          <w:rFonts w:ascii="Times New Roman" w:eastAsia="宋体" w:hAnsi="Times New Roman"/>
        </w:rPr>
        <w:t>误差分解</w:t>
      </w:r>
      <w:r>
        <w:rPr>
          <w:rFonts w:ascii="Times New Roman" w:eastAsia="宋体" w:hAnsi="Times New Roman"/>
        </w:rPr>
        <w:t xml:space="preserve"> + hotspot recall@K + OOD gap</w:t>
      </w:r>
      <w:r>
        <w:rPr>
          <w:rFonts w:ascii="Times New Roman" w:eastAsia="宋体" w:hAnsi="Times New Roman"/>
        </w:rPr>
        <w:t>（相对增幅）。</w:t>
      </w:r>
    </w:p>
    <w:p w14:paraId="050D6C23" w14:textId="77777777" w:rsidR="00DF5A2C" w:rsidRDefault="001441BE" w:rsidP="001441BE">
      <w:pPr>
        <w:pStyle w:val="1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9. </w:t>
      </w:r>
      <w:r>
        <w:rPr>
          <w:rFonts w:ascii="Times New Roman" w:eastAsia="宋体" w:hAnsi="Times New Roman"/>
          <w:lang w:eastAsia="zh-CN"/>
        </w:rPr>
        <w:t>复杂度与部署（保持逻辑桶可扩展性）</w:t>
      </w:r>
    </w:p>
    <w:p w14:paraId="6EFA3502" w14:textId="77777777" w:rsidR="00DF5A2C" w:rsidRDefault="001441BE" w:rsidP="001441BE">
      <w:pPr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HISR </w:t>
      </w:r>
      <w:r>
        <w:rPr>
          <w:rFonts w:ascii="Times New Roman" w:eastAsia="宋体" w:hAnsi="Times New Roman"/>
          <w:lang w:eastAsia="zh-CN"/>
        </w:rPr>
        <w:t>的新增计算发生在控制平面；数据平面仍为固定结构</w:t>
      </w:r>
      <w:r>
        <w:rPr>
          <w:rFonts w:ascii="Times New Roman" w:eastAsia="宋体" w:hAnsi="Times New Roman"/>
          <w:lang w:eastAsia="zh-CN"/>
        </w:rPr>
        <w:t xml:space="preserve"> sketch </w:t>
      </w:r>
      <w:r>
        <w:rPr>
          <w:rFonts w:ascii="Times New Roman" w:eastAsia="宋体" w:hAnsi="Times New Roman"/>
          <w:lang w:eastAsia="zh-CN"/>
        </w:rPr>
        <w:t>的常数次哈希更新。逻辑桶共享参数使模型参</w:t>
      </w:r>
      <w:r>
        <w:rPr>
          <w:rFonts w:ascii="Times New Roman" w:eastAsia="宋体" w:hAnsi="Times New Roman"/>
          <w:lang w:eastAsia="zh-CN"/>
        </w:rPr>
        <w:t>数量与键空间规模解耦。</w:t>
      </w:r>
      <w:r>
        <w:rPr>
          <w:rFonts w:ascii="Times New Roman" w:eastAsia="宋体" w:hAnsi="Times New Roman"/>
          <w:lang w:eastAsia="zh-CN"/>
        </w:rPr>
        <w:t xml:space="preserve">Zoom-in </w:t>
      </w:r>
      <w:r>
        <w:rPr>
          <w:rFonts w:ascii="Times New Roman" w:eastAsia="宋体" w:hAnsi="Times New Roman"/>
          <w:lang w:eastAsia="zh-CN"/>
        </w:rPr>
        <w:t>进一步减少实际推理覆盖的候选键比例，使算力集中于热点前缀对应的少量桶。</w:t>
      </w:r>
    </w:p>
    <w:p w14:paraId="0FD073B5" w14:textId="77777777" w:rsidR="00DF5A2C" w:rsidRDefault="001441BE" w:rsidP="001441BE">
      <w:pPr>
        <w:pStyle w:val="1"/>
        <w:jc w:val="both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附录：最小复现步骤（不含具体超参）</w:t>
      </w:r>
    </w:p>
    <w:p w14:paraId="4AF3A279" w14:textId="77777777" w:rsidR="00DF5A2C" w:rsidRDefault="001441BE" w:rsidP="001441BE">
      <w:pPr>
        <w:pStyle w:val="a"/>
        <w:jc w:val="both"/>
      </w:pPr>
      <w:r>
        <w:rPr>
          <w:rFonts w:ascii="Times New Roman" w:eastAsia="宋体" w:hAnsi="Times New Roman"/>
        </w:rPr>
        <w:t>复现</w:t>
      </w:r>
      <w:r>
        <w:rPr>
          <w:rFonts w:ascii="Times New Roman" w:eastAsia="宋体" w:hAnsi="Times New Roman"/>
        </w:rPr>
        <w:t xml:space="preserve"> uclsketch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 xml:space="preserve"> network </w:t>
      </w:r>
      <w:r>
        <w:rPr>
          <w:rFonts w:ascii="Times New Roman" w:eastAsia="宋体" w:hAnsi="Times New Roman"/>
        </w:rPr>
        <w:t>数据流程：生成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加载</w:t>
      </w:r>
      <w:r>
        <w:rPr>
          <w:rFonts w:ascii="Times New Roman" w:eastAsia="宋体" w:hAnsi="Times New Roman"/>
        </w:rPr>
        <w:t xml:space="preserve"> trace</w:t>
      </w:r>
      <w:r>
        <w:rPr>
          <w:rFonts w:ascii="Times New Roman" w:eastAsia="宋体" w:hAnsi="Times New Roman"/>
        </w:rPr>
        <w:t>，导出</w:t>
      </w:r>
      <w:r>
        <w:rPr>
          <w:rFonts w:ascii="Times New Roman" w:eastAsia="宋体" w:hAnsi="Times New Roman"/>
        </w:rPr>
        <w:t xml:space="preserve"> samples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ground_truth</w:t>
      </w:r>
      <w:r>
        <w:rPr>
          <w:rFonts w:ascii="Times New Roman" w:eastAsia="宋体" w:hAnsi="Times New Roman"/>
        </w:rPr>
        <w:t>。</w:t>
      </w:r>
    </w:p>
    <w:p w14:paraId="7FACCCE0" w14:textId="77777777" w:rsidR="00DF5A2C" w:rsidRDefault="001441BE" w:rsidP="001441BE">
      <w:pPr>
        <w:pStyle w:val="a"/>
        <w:jc w:val="both"/>
      </w:pPr>
      <w:r>
        <w:rPr>
          <w:rFonts w:ascii="Times New Roman" w:eastAsia="宋体" w:hAnsi="Times New Roman"/>
        </w:rPr>
        <w:t>从</w:t>
      </w:r>
      <w:r>
        <w:rPr>
          <w:rFonts w:ascii="Times New Roman" w:eastAsia="宋体" w:hAnsi="Times New Roman"/>
        </w:rPr>
        <w:t xml:space="preserve"> ground_truth </w:t>
      </w:r>
      <w:r>
        <w:rPr>
          <w:rFonts w:ascii="Times New Roman" w:eastAsia="宋体" w:hAnsi="Times New Roman"/>
        </w:rPr>
        <w:t>构造</w:t>
      </w:r>
      <w:r>
        <w:rPr>
          <w:rFonts w:ascii="Times New Roman" w:eastAsia="宋体" w:hAnsi="Times New Roman"/>
        </w:rPr>
        <w:t xml:space="preserve"> /16-/24-/32 </w:t>
      </w:r>
      <w:r>
        <w:rPr>
          <w:rFonts w:ascii="Times New Roman" w:eastAsia="宋体" w:hAnsi="Times New Roman"/>
        </w:rPr>
        <w:t>的聚合真值与候选集合。</w:t>
      </w:r>
    </w:p>
    <w:p w14:paraId="233CB42C" w14:textId="77777777" w:rsidR="00DF5A2C" w:rsidRDefault="001441BE" w:rsidP="001441BE">
      <w:pPr>
        <w:pStyle w:val="a"/>
        <w:jc w:val="both"/>
      </w:pPr>
      <w:r>
        <w:rPr>
          <w:rFonts w:ascii="Times New Roman" w:eastAsia="宋体" w:hAnsi="Times New Roman"/>
        </w:rPr>
        <w:t>按</w:t>
      </w:r>
      <w:r>
        <w:rPr>
          <w:rFonts w:ascii="Times New Roman" w:eastAsia="宋体" w:hAnsi="Times New Roman"/>
        </w:rPr>
        <w:t xml:space="preserve"> Path-A </w:t>
      </w:r>
      <w:r>
        <w:rPr>
          <w:rFonts w:ascii="Times New Roman" w:eastAsia="宋体" w:hAnsi="Times New Roman"/>
        </w:rPr>
        <w:t>执行：训练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评测</w:t>
      </w:r>
      <w:r>
        <w:rPr>
          <w:rFonts w:ascii="Times New Roman" w:eastAsia="宋体" w:hAnsi="Times New Roman"/>
        </w:rPr>
        <w:t xml:space="preserve"> L1 → </w:t>
      </w:r>
      <w:r>
        <w:rPr>
          <w:rFonts w:ascii="Times New Roman" w:eastAsia="宋体" w:hAnsi="Times New Roman"/>
        </w:rPr>
        <w:t>选</w:t>
      </w:r>
      <w:r>
        <w:rPr>
          <w:rFonts w:ascii="Times New Roman" w:eastAsia="宋体" w:hAnsi="Times New Roman"/>
        </w:rPr>
        <w:t xml:space="preserve"> Top-K /16 → </w:t>
      </w:r>
      <w:r>
        <w:rPr>
          <w:rFonts w:ascii="Times New Roman" w:eastAsia="宋体" w:hAnsi="Times New Roman"/>
        </w:rPr>
        <w:t>训练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评测</w:t>
      </w:r>
      <w:r>
        <w:rPr>
          <w:rFonts w:ascii="Times New Roman" w:eastAsia="宋体" w:hAnsi="Times New Roman"/>
        </w:rPr>
        <w:t xml:space="preserve"> L2 → </w:t>
      </w:r>
      <w:r>
        <w:rPr>
          <w:rFonts w:ascii="Times New Roman" w:eastAsia="宋体" w:hAnsi="Times New Roman"/>
        </w:rPr>
        <w:t>选</w:t>
      </w:r>
      <w:r>
        <w:rPr>
          <w:rFonts w:ascii="Times New Roman" w:eastAsia="宋体" w:hAnsi="Times New Roman"/>
        </w:rPr>
        <w:t xml:space="preserve"> Top-K /24 → </w:t>
      </w:r>
      <w:r>
        <w:rPr>
          <w:rFonts w:ascii="Times New Roman" w:eastAsia="宋体" w:hAnsi="Times New Roman"/>
        </w:rPr>
        <w:t>训练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评测</w:t>
      </w:r>
      <w:r>
        <w:rPr>
          <w:rFonts w:ascii="Times New Roman" w:eastAsia="宋体" w:hAnsi="Times New Roman"/>
        </w:rPr>
        <w:t xml:space="preserve"> L3</w:t>
      </w:r>
      <w:r>
        <w:rPr>
          <w:rFonts w:ascii="Times New Roman" w:eastAsia="宋体" w:hAnsi="Times New Roman"/>
        </w:rPr>
        <w:t>。</w:t>
      </w:r>
    </w:p>
    <w:p w14:paraId="6AD8CD21" w14:textId="77777777" w:rsidR="00DF5A2C" w:rsidRDefault="001441BE" w:rsidP="001441BE">
      <w:pPr>
        <w:pStyle w:val="a"/>
        <w:jc w:val="both"/>
      </w:pPr>
      <w:r>
        <w:rPr>
          <w:rFonts w:ascii="Times New Roman" w:eastAsia="宋体" w:hAnsi="Times New Roman"/>
        </w:rPr>
        <w:t>并行</w:t>
      </w:r>
      <w:r>
        <w:rPr>
          <w:rFonts w:ascii="Times New Roman" w:eastAsia="宋体" w:hAnsi="Times New Roman"/>
        </w:rPr>
        <w:t>跑</w:t>
      </w:r>
      <w:r>
        <w:rPr>
          <w:rFonts w:ascii="Times New Roman" w:eastAsia="宋体" w:hAnsi="Times New Roman"/>
        </w:rPr>
        <w:t xml:space="preserve"> ID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OOD-seed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OOD-prefix-phase</w:t>
      </w:r>
      <w:r>
        <w:rPr>
          <w:rFonts w:ascii="Times New Roman" w:eastAsia="宋体" w:hAnsi="Times New Roman"/>
        </w:rPr>
        <w:t>；输出</w:t>
      </w:r>
      <w:r>
        <w:rPr>
          <w:rFonts w:ascii="Times New Roman" w:eastAsia="宋体" w:hAnsi="Times New Roman"/>
        </w:rPr>
        <w:t xml:space="preserve"> metrics.json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curves.csv </w:t>
      </w:r>
      <w:r>
        <w:rPr>
          <w:rFonts w:ascii="Times New Roman" w:eastAsia="宋体" w:hAnsi="Times New Roman"/>
        </w:rPr>
        <w:t>与主图。</w:t>
      </w:r>
    </w:p>
    <w:p w14:paraId="1A426054" w14:textId="77777777" w:rsidR="00DF5A2C" w:rsidRDefault="001441BE" w:rsidP="001441BE">
      <w:pPr>
        <w:pStyle w:val="a"/>
        <w:jc w:val="both"/>
      </w:pPr>
      <w:r>
        <w:rPr>
          <w:rFonts w:ascii="Times New Roman" w:eastAsia="宋体" w:hAnsi="Times New Roman"/>
        </w:rPr>
        <w:t>完成消融：</w:t>
      </w:r>
      <w:r>
        <w:rPr>
          <w:rFonts w:ascii="Times New Roman" w:eastAsia="宋体" w:hAnsi="Times New Roman"/>
        </w:rPr>
        <w:t>Flat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no-IRM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only-L1/L2</w:t>
      </w:r>
      <w:r>
        <w:rPr>
          <w:rFonts w:ascii="Times New Roman" w:eastAsia="宋体" w:hAnsi="Times New Roman"/>
        </w:rPr>
        <w:t>、不同</w:t>
      </w:r>
      <w:r>
        <w:rPr>
          <w:rFonts w:ascii="Times New Roman" w:eastAsia="宋体" w:hAnsi="Times New Roman"/>
        </w:rPr>
        <w:t xml:space="preserve"> K </w:t>
      </w:r>
      <w:r>
        <w:rPr>
          <w:rFonts w:ascii="Times New Roman" w:eastAsia="宋体" w:hAnsi="Times New Roman"/>
        </w:rPr>
        <w:t>等，并统一汇总。</w:t>
      </w:r>
    </w:p>
    <w:sectPr w:rsidR="00DF5A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1BE"/>
    <w:rsid w:val="0015074B"/>
    <w:rsid w:val="0029639D"/>
    <w:rsid w:val="00326F90"/>
    <w:rsid w:val="00AA1D8D"/>
    <w:rsid w:val="00B47730"/>
    <w:rsid w:val="00CB0664"/>
    <w:rsid w:val="00DF5A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0A8F0"/>
  <w14:defaultImageDpi w14:val="300"/>
  <w15:docId w15:val="{921FE353-A862-4932-867C-8F4842B4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哈根 哥本</cp:lastModifiedBy>
  <cp:revision>2</cp:revision>
  <dcterms:created xsi:type="dcterms:W3CDTF">2013-12-23T23:15:00Z</dcterms:created>
  <dcterms:modified xsi:type="dcterms:W3CDTF">2025-12-22T12:18:00Z</dcterms:modified>
  <cp:category/>
</cp:coreProperties>
</file>