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宸甄科技研发管理制度</w:t>
      </w:r>
    </w:p>
    <w:p>
      <w:r>
        <w:t>本制度适用于研发中心全体成员，涵盖代码管理、发布流程、质量保障与技术评审四大领域，自 2025 年 2 月 1 日起施行。</w:t>
      </w:r>
    </w:p>
    <w:p>
      <w:pPr>
        <w:pStyle w:val="Heading2"/>
      </w:pPr>
      <w:r>
        <w:t>1 代码管理</w:t>
      </w:r>
    </w:p>
    <w:p>
      <w:pPr>
        <w:pStyle w:val="Heading3"/>
      </w:pPr>
      <w:r>
        <w:t>1.1 分支模型</w:t>
      </w:r>
    </w:p>
    <w:p>
      <w:r>
        <w:t>代码仓库统一托管于公司 GitLab（gitlab.chenzhen.tech），采用 GitFlow 分支模型。长期分支仅保留 main 与 develop，功能分支命名规范为 feature/需求编号-简述（如 feature/RAG-128-hybrid-retrieval），修复分支为 fix/缺陷编号-简述，发布分支为 release/版本号。单个功能分支生命周期不得超过 14 天，到期未合并的由技术负责人评估后关闭。</w:t>
      </w:r>
    </w:p>
    <w:p>
      <w:pPr>
        <w:pStyle w:val="Heading3"/>
      </w:pPr>
      <w:r>
        <w:t>1.2 合并请求（MR）评审</w:t>
      </w:r>
    </w:p>
    <w:p>
      <w:r>
        <w:t>所有代码合入 develop 及以上分支必须通过合并请求（MR）。MR 须至少获得两名评审人批准，其中一名须为模块 Owner；单次 MR 变更行数建议不超过 400 行；MR 在评审人提出意见后 48 小时内未响应的，评审人有权关闭。</w:t>
      </w:r>
    </w:p>
    <w:p>
      <w:pPr>
        <w:pStyle w:val="Heading2"/>
      </w:pPr>
      <w:r>
        <w:t>2 发布流程</w:t>
      </w:r>
    </w:p>
    <w:p>
      <w:pPr>
        <w:pStyle w:val="Heading3"/>
      </w:pPr>
      <w:r>
        <w:t>2.1 版本号规范</w:t>
      </w:r>
    </w:p>
    <w:p>
      <w:r>
        <w:t>对外交付版本号遵循语义化版本（semver）规范：主版本号.次版本号.修订号。不兼容的接口变更提升主版本号，向下兼容的功能新增提升次版本号，缺陷修复提升修订号。</w:t>
      </w:r>
    </w:p>
    <w:p>
      <w:pPr>
        <w:pStyle w:val="Heading3"/>
      </w:pPr>
      <w:r>
        <w:t>2.2 灰度发布</w:t>
      </w:r>
    </w:p>
    <w:p>
      <w:r>
        <w:t>生产环境发布一律采用灰度策略：先放量 5% 观察不少于 2 小时，无异常后依次放量 20%、50%，最终 100% 全量。每个梯度观察期指标（错误率、P99 延迟、核心业务成功率）任一越界即自动回滚，回滚操作须在 10 分钟内完成。</w:t>
      </w:r>
    </w:p>
    <w:p>
      <w:pPr>
        <w:pStyle w:val="Heading2"/>
      </w:pPr>
      <w:r>
        <w:t>3 代码质量</w:t>
      </w:r>
    </w:p>
    <w:p>
      <w:r>
        <w:t>单元测试行覆盖率整体不低于 70%，核心资金与权限模块不低于 85%。流水线集成静态代码扫描，严重级别问题清零后才允许合并。每日凌晨执行全量回归，失败用例须在当日 18:00 前修复或标记豁免。</w:t>
      </w:r>
    </w:p>
    <w:p>
      <w:pPr>
        <w:pStyle w:val="Heading2"/>
      </w:pPr>
      <w:r>
        <w:t>4 技术评审</w:t>
      </w:r>
    </w:p>
    <w:p>
      <w:r>
        <w:t>涉及新中间件引入、数据模型变更或预估开发量超过 10 人天的方案须经过架构评审。架构评审会固定于每周四下午 15:00 召开，材料须提前一天上传至评审知识库。涉及公司级战略项目（P0 需求）的方案另需 CTO 办公会终审。</w:t>
      </w:r>
    </w:p>
    <w:p>
      <w:pPr>
        <w:pStyle w:val="Heading2"/>
      </w:pPr>
      <w:r>
        <w:t>5 环境清单</w:t>
      </w:r>
    </w:p>
    <w:p>
      <w:r>
        <w:t>公司统一环境规划如下表，任何个人不得在生产环境执行未经审批的变更操作。</w:t>
      </w:r>
    </w:p>
    <w:p>
      <w:r>
        <w:t>环境规划表：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8"/>
              </w:rPr>
              <w:t>环境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用途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部署窗口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负责人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访问方式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dev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日常联调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随时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各小组组长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内网直连 dev.chenzhen.tech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test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功能与集成测试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随时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测试平台组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内网直连 test.chenzhen.tech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staging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预发布验收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工作日 10:00-19:00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DevOps 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VPN + 堡垒机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生产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每周二/四 20:00-23:00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值班经理审批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VPN + 堡垒机双人复核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