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20"/>
        <w:jc w:val="center"/>
      </w:pPr>
      <w:r>
        <w:rPr>
          <w:rFonts w:ascii="Calibri" w:hAnsi="Calibri" w:eastAsia="Microsoft YaHei"/>
          <w:b/>
          <w:color w:val="4F6FE8"/>
          <w:sz w:val="20"/>
        </w:rPr>
        <w:t>PRICE SCOPE  ·  OPERATOR GUIDE</w:t>
      </w:r>
    </w:p>
    <w:p>
      <w:pPr>
        <w:spacing w:after="180"/>
        <w:jc w:val="center"/>
      </w:pPr>
      <w:r>
        <w:rPr>
          <w:rFonts w:ascii="Calibri" w:hAnsi="Calibri" w:eastAsia="Microsoft YaHei"/>
          <w:b/>
          <w:color w:val="1F2940"/>
          <w:sz w:val="62"/>
        </w:rPr>
        <w:t>价策 AI</w:t>
      </w:r>
    </w:p>
    <w:p>
      <w:pPr>
        <w:spacing w:after="440"/>
        <w:jc w:val="center"/>
      </w:pPr>
      <w:r>
        <w:rPr>
          <w:rFonts w:ascii="Calibri" w:hAnsi="Calibri" w:eastAsia="Microsoft YaHei"/>
          <w:b/>
          <w:color w:val="4F6FE8"/>
          <w:sz w:val="30"/>
        </w:rPr>
        <w:t>智能定价决策平台 · 产品使用说明书</w:t>
      </w:r>
    </w:p>
    <w:p>
      <w:pPr>
        <w:spacing w:after="1400"/>
        <w:jc w:val="center"/>
      </w:pPr>
      <w:r>
        <w:rPr>
          <w:rFonts w:ascii="Calibri" w:hAnsi="Calibri" w:eastAsia="Microsoft YaHei"/>
          <w:color w:val="6E788A"/>
          <w:sz w:val="20"/>
        </w:rPr>
        <w:t>面向电商运营、品类负责人、店铺负责人、采购与定价人员</w:t>
      </w:r>
    </w:p>
    <w:p>
      <w:pPr>
        <w:jc w:val="center"/>
      </w:pPr>
      <w:r>
        <w:rPr>
          <w:rFonts w:ascii="Calibri" w:hAnsi="Calibri" w:eastAsia="Microsoft YaHei"/>
          <w:b/>
          <w:color w:val="1F2940"/>
          <w:sz w:val="22"/>
        </w:rPr>
        <w:t>版本 1.1  |  采集增强版</w:t>
      </w:r>
    </w:p>
    <w:p>
      <w:pPr>
        <w:jc w:val="center"/>
      </w:pPr>
      <w:r>
        <w:rPr>
          <w:rFonts w:ascii="Calibri" w:hAnsi="Calibri" w:eastAsia="Microsoft YaHei"/>
          <w:color w:val="6E788A"/>
          <w:sz w:val="19"/>
        </w:rPr>
        <w:t>2026 年 8 月</w:t>
      </w:r>
    </w:p>
    <w:p>
      <w:r>
        <w:br w:type="page"/>
      </w:r>
    </w:p>
    <w:p>
      <w:pPr>
        <w:pStyle w:val="Heading1"/>
        <w:keepNext/>
      </w:pPr>
      <w:r>
        <w:t>目录与快速导航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01</w:t>
      </w:r>
      <w:r>
        <w:rPr>
          <w:rFonts w:ascii="Calibri" w:hAnsi="Calibri" w:eastAsia="Microsoft YaHei"/>
          <w:color w:val="1F2940"/>
          <w:sz w:val="22"/>
        </w:rPr>
        <w:t xml:space="preserve">    产品简介与快速开始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02</w:t>
      </w:r>
      <w:r>
        <w:rPr>
          <w:rFonts w:ascii="Calibri" w:hAnsi="Calibri" w:eastAsia="Microsoft YaHei"/>
          <w:color w:val="1F2940"/>
          <w:sz w:val="22"/>
        </w:rPr>
        <w:t xml:space="preserve">    主界面与经营驾驶舱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03</w:t>
      </w:r>
      <w:r>
        <w:rPr>
          <w:rFonts w:ascii="Calibri" w:hAnsi="Calibri" w:eastAsia="Microsoft YaHei"/>
          <w:color w:val="1F2940"/>
          <w:sz w:val="22"/>
        </w:rPr>
        <w:t xml:space="preserve">    价格采集中心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04</w:t>
      </w:r>
      <w:r>
        <w:rPr>
          <w:rFonts w:ascii="Calibri" w:hAnsi="Calibri" w:eastAsia="Microsoft YaHei"/>
          <w:color w:val="1F2940"/>
          <w:sz w:val="22"/>
        </w:rPr>
        <w:t xml:space="preserve">    数据导入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05</w:t>
      </w:r>
      <w:r>
        <w:rPr>
          <w:rFonts w:ascii="Calibri" w:hAnsi="Calibri" w:eastAsia="Microsoft YaHei"/>
          <w:color w:val="1F2940"/>
          <w:sz w:val="22"/>
        </w:rPr>
        <w:t xml:space="preserve">    价格诊断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06</w:t>
      </w:r>
      <w:r>
        <w:rPr>
          <w:rFonts w:ascii="Calibri" w:hAnsi="Calibri" w:eastAsia="Microsoft YaHei"/>
          <w:color w:val="1F2940"/>
          <w:sz w:val="22"/>
        </w:rPr>
        <w:t xml:space="preserve">    定价策略体系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07</w:t>
      </w:r>
      <w:r>
        <w:rPr>
          <w:rFonts w:ascii="Calibri" w:hAnsi="Calibri" w:eastAsia="Microsoft YaHei"/>
          <w:color w:val="1F2940"/>
          <w:sz w:val="22"/>
        </w:rPr>
        <w:t xml:space="preserve">    调价模拟器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08</w:t>
      </w:r>
      <w:r>
        <w:rPr>
          <w:rFonts w:ascii="Calibri" w:hAnsi="Calibri" w:eastAsia="Microsoft YaHei"/>
          <w:color w:val="1F2940"/>
          <w:sz w:val="22"/>
        </w:rPr>
        <w:t xml:space="preserve">    报告中心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09</w:t>
      </w:r>
      <w:r>
        <w:rPr>
          <w:rFonts w:ascii="Calibri" w:hAnsi="Calibri" w:eastAsia="Microsoft YaHei"/>
          <w:color w:val="1F2940"/>
          <w:sz w:val="22"/>
        </w:rPr>
        <w:t xml:space="preserve">    建议操作流程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10</w:t>
      </w:r>
      <w:r>
        <w:rPr>
          <w:rFonts w:ascii="Calibri" w:hAnsi="Calibri" w:eastAsia="Microsoft YaHei"/>
          <w:color w:val="1F2940"/>
          <w:sz w:val="22"/>
        </w:rPr>
        <w:t xml:space="preserve">    数据安全与常见问题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11</w:t>
      </w:r>
      <w:r>
        <w:rPr>
          <w:rFonts w:ascii="Calibri" w:hAnsi="Calibri" w:eastAsia="Microsoft YaHei"/>
          <w:color w:val="1F2940"/>
          <w:sz w:val="22"/>
        </w:rPr>
        <w:t xml:space="preserve">    后续商用升级</w:t>
      </w:r>
    </w:p>
    <w:p>
      <w:pPr>
        <w:pStyle w:val="Heading1"/>
        <w:keepNext/>
      </w:pPr>
      <w:r>
        <w:t>1. 产品简介</w:t>
      </w:r>
    </w:p>
    <w:p>
      <w:r>
        <w:rPr>
          <w:rFonts w:ascii="Calibri" w:hAnsi="Calibri" w:eastAsia="Microsoft YaHei"/>
        </w:rPr>
        <w:t>价策 AI 是面向电商商家的价格情报与定价决策产品。系统从平台开放 API、合规公开商品页或 CSV 获得竞品报价，结合商品价格、成本、销量、库存与商品角色，完成价格诊断、建议区间、调价模拟和可视化报告。</w:t>
      </w:r>
    </w:p>
    <w:p>
      <w:r>
        <w:rPr>
          <w:rFonts w:ascii="Calibri" w:hAnsi="Calibri" w:eastAsia="Microsoft YaHei"/>
        </w:rPr>
        <w:t>当前版本不会自动修改平台售价。演示业务数据保存在浏览器；本地采集服务只监听本机地址，不绕过登录、验证码、robots.txt 或访问控制。</w:t>
      </w:r>
    </w:p>
    <w:p>
      <w:pPr>
        <w:pStyle w:val="Heading1"/>
        <w:keepNext/>
      </w:pPr>
      <w:r>
        <w:t>2. 快速开始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安装 Node.js 22.13 或更高版本。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进入 price-scope-ai 目录，依次执行 pnpm install 和 pnpm dev。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打开终端显示的本地地址，默认通常为 http://127.0.0.1:4173。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首次进入时，系统自动加载 12 个母婴奶粉演示商品。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如需采集公开页，另开终端执行 pnpm collector:serve。</w:t>
      </w:r>
    </w:p>
    <w:p>
      <w:r>
        <w:br w:type="page"/>
      </w:r>
    </w:p>
    <w:p>
      <w:pPr>
        <w:pStyle w:val="Heading1"/>
        <w:keepNext/>
      </w:pPr>
      <w:r>
        <w:t>3. 主界面与经营驾驶舱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278223"/>
            <wp:docPr id="1" name="Picture 1" descr="图 1  经营驾驶舱：全店价格健康度和优先调价机会" title="dashboar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78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E788A"/>
          <w:sz w:val="17"/>
        </w:rPr>
        <w:t>图 1  经营驾驶舱：全店价格健康度和优先调价机会</w:t>
      </w:r>
    </w:p>
    <w:p>
      <w:r>
        <w:rPr>
          <w:rFonts w:ascii="Calibri" w:hAnsi="Calibri" w:eastAsia="Microsoft YaHei"/>
        </w:rPr>
        <w:t>左侧导航包含经营驾驶舱、价格采集中心、价格诊断、调价模拟器、报告中心、数据中心和使用指引七个模块。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近 30 天销售额、预计增量机会、综合毛利额与竞品覆盖率。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价格竞争力矩阵、价格健康度分布与优先调价商品。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核心商品的本店价格与市场价格趋势。</w:t>
      </w:r>
    </w:p>
    <w:p>
      <w:r>
        <w:rPr>
          <w:rFonts w:ascii="Calibri" w:hAnsi="Calibri" w:eastAsia="Microsoft YaHei"/>
        </w:rPr>
        <w:t>价格竞争力矩阵中，横轴表示价格指数，纵轴表示近 30 天销量，气泡大小代表毛利空间。商品越靠右，说明本店价格相对市场越高。</w:t>
      </w:r>
    </w:p>
    <w:p>
      <w:r>
        <w:br w:type="page"/>
      </w:r>
    </w:p>
    <w:p>
      <w:pPr>
        <w:pStyle w:val="Heading1"/>
        <w:keepNext/>
      </w:pPr>
      <w:r>
        <w:t>4. 价格采集中心</w:t>
      </w:r>
    </w:p>
    <w:p>
      <w:r>
        <w:rPr>
          <w:rFonts w:ascii="Calibri" w:hAnsi="Calibri" w:eastAsia="Microsoft YaHei"/>
        </w:rPr>
        <w:t>采集中心将面试演示与真实采集明确隔离。演示快照无需平台密钥且标识为 DEMO；本地采集服务接收用户提供的公开商品页 HTTPS 链接，输出平台、价格、解析方式、采集时间和失败原因。</w:t>
      </w:r>
    </w:p>
    <w:p>
      <w:pPr>
        <w:pStyle w:val="Heading2"/>
        <w:keepNext/>
      </w:pPr>
      <w:r>
        <w:t>4.1 本地采集步骤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在项目目录运行 pnpm collector:serve。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进入价格采集中心，切换为“本地采集服务”。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粘贴公开商品页链接，每行一个，然后点击“立即采集”。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核对采集状态、解析方式和匹配商品；失败项改用开放 API 或 CSV。</w:t>
      </w:r>
    </w:p>
    <w:p>
      <w:pPr>
        <w:pStyle w:val="Heading2"/>
        <w:keepNext/>
      </w:pPr>
      <w:r>
        <w:t>4.2 支持范围与边界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支持京东、天猫、淘宝、拼多多、苏宁易购和唯品会 HTTPS 域名白名单。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最小请求间隔 1.2 秒，检查 robots.txt，限制单次任务和页面大小。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依次解析 JSON-LD、价格 Meta 和页面公开数据。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不绕过登录、验证码或访问控制；商业部署优先使用平台开放 API。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密钥、Cookie 和账号信息不得提交到 GitHub 或下发浏览器。</w:t>
      </w:r>
    </w:p>
    <w:p>
      <w:r>
        <w:br w:type="page"/>
      </w:r>
    </w:p>
    <w:p>
      <w:pPr>
        <w:pStyle w:val="Heading1"/>
        <w:keepNext/>
      </w:pPr>
      <w:r>
        <w:t>5. 数据导入</w:t>
      </w:r>
    </w:p>
    <w:p>
      <w:r>
        <w:rPr>
          <w:rFonts w:ascii="Calibri" w:hAnsi="Calibri" w:eastAsia="Microsoft YaHei"/>
        </w:rPr>
        <w:t>进入“数据中心”，点击“下载导入模板”获取标准 CSV 模板。填写后点击“选择 CSV 文件”完成导入。</w:t>
      </w:r>
    </w:p>
    <w:p>
      <w:pPr>
        <w:pStyle w:val="Heading2"/>
        <w:keepNext/>
      </w:pPr>
      <w:r>
        <w:t>5.1 必填字段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600"/>
        <w:gridCol w:w="2860"/>
      </w:tblGrid>
      <w:tr>
        <w:trPr>
          <w:tblHeader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字段</w:t>
            </w:r>
          </w:p>
        </w:tc>
        <w:tc>
          <w:tcPr>
            <w:tcW w:type="dxa" w:w="4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用途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示例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商品编码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SKU 唯一标识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P001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品牌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商品标准化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伊利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系列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同系列匹配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金领冠珍护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段位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母婴商品分组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2段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规格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可比规格判断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750g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当前价格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计算价格指数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289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成本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计算利润安全线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209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近30天销量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策略模拟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156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商品角色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差异化定价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转化型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平台价格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市场价格样本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261/257/251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导入要求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文件格式必须为 CSV，推荐 UTF-8 编码。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价格字段只填写数字，不包含“元”或货币符号。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转化率填写百分比数值，例如 4.2 表示 4.2%。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平台价格应为用户实际可获得的到手价。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每个商品建议至少提供 3 个竞品报价。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导入新文件会替换当前浏览器中的商品数据。</w:t>
      </w:r>
    </w:p>
    <w:p>
      <w:r>
        <w:br w:type="page"/>
      </w:r>
    </w:p>
    <w:p>
      <w:pPr>
        <w:pStyle w:val="Heading1"/>
        <w:keepNext/>
      </w:pPr>
      <w:r>
        <w:t>6. 价格诊断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09663"/>
            <wp:docPr id="2" name="Picture 2" descr="图 2  商品级价格诊断与建议价格区间" title="diagnosi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09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E788A"/>
          <w:sz w:val="17"/>
        </w:rPr>
        <w:t>图 2  商品级价格诊断与建议价格区间</w:t>
      </w:r>
    </w:p>
    <w:p>
      <w:r>
        <w:rPr>
          <w:rFonts w:ascii="Calibri" w:hAnsi="Calibri" w:eastAsia="Microsoft YaHei"/>
        </w:rPr>
        <w:t>价格诊断表包含当前到手价、市场中位价、价格指数、毛利率、诊断状态、建议价格区间和匹配可信度。点击“详情”可查看竞品样本和 AI 解释。</w:t>
      </w:r>
    </w:p>
    <w:p>
      <w:pPr>
        <w:pStyle w:val="Heading2"/>
        <w:keepNext/>
      </w:pPr>
      <w:r>
        <w:t>6.1 诊断状态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00"/>
        <w:gridCol w:w="4360"/>
      </w:tblGrid>
      <w:tr>
        <w:trPr>
          <w:tblHeader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状态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判定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处理建议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偏高价格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价格指数 &gt; 106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优先进入调价模拟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轻度偏高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102 &lt; 价格指数 ≤ 106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结合经营角色审核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有竞争力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接近市场主流区间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保持并持续监控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优势价格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低于主流且利润安全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加强活动曝光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低价风险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明显偏低或毛利不安全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检查成本和活动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关键公式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到手价 = 页面价格 + 运费 - 优惠券 - 满减 - 平台补贴。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价格指数 = 本店到手价 ÷ 市场中位价 × 100。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利润底价 = 商品成本 ÷（1 - 最低毛利率）。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建议价格同时考虑市场中位价、商品角色与利润底价。</w:t>
      </w:r>
    </w:p>
    <w:p>
      <w:r>
        <w:br w:type="page"/>
      </w:r>
    </w:p>
    <w:p>
      <w:pPr>
        <w:pStyle w:val="Heading1"/>
        <w:keepNext/>
      </w:pPr>
      <w:r>
        <w:t>7. 定价策略体系</w:t>
      </w:r>
    </w:p>
    <w:p>
      <w:r>
        <w:rPr>
          <w:rFonts w:ascii="Calibri" w:hAnsi="Calibri" w:eastAsia="Microsoft YaHei"/>
        </w:rPr>
        <w:t>定价不是简单跟随最低价。系统先统一到手价口径，再结合市场价格带、利润底价和商品经营角色，生成进攻、平衡与保守方案。</w:t>
      </w:r>
    </w:p>
    <w:p>
      <w:pPr>
        <w:pStyle w:val="Heading2"/>
        <w:keepNext/>
      </w:pPr>
      <w:r>
        <w:t>7.1 商品角色策略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角色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经营目标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建议动作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引流型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获取访问与新客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靠近市场低位，不击穿利润底价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转化型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提升下单效率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中位价附近，先做 7 天实验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利润型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贡献毛利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允许合理溢价，减少直接折扣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防御型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对标重点竞品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紧跟目标竞品有效到手价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形象型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强化品牌定位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跟随标杆，减少频繁波动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清仓型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加快库存周转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利润与渠道约束内积极降价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策略护栏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匹配可信度不足时先人工审核，不给自动执行动作。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建议价格不得低于利润底价。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进攻价取建议区间低位，平衡价取中点，保守价取高位。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促销价与日常价分开观察，组合装先换算单位价格。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单次大幅调价拆成小流量实验，设置销量和毛利双重停止条件。</w:t>
      </w:r>
    </w:p>
    <w:p>
      <w:r>
        <w:br w:type="page"/>
      </w:r>
    </w:p>
    <w:p>
      <w:pPr>
        <w:pStyle w:val="Heading1"/>
        <w:keepNext/>
      </w:pPr>
      <w:r>
        <w:t>8. 调价模拟器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3" name="Picture 3" descr="图 3  调价前的销量、销售额与毛利模拟" title="simulato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E788A"/>
          <w:sz w:val="17"/>
        </w:rPr>
        <w:t>图 3  调价前的销量、销售额与毛利模拟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选择需要模拟的商品。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输入模拟价格，或选择进攻、平衡、保守方案。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查看预计销量、销售额、毛利额和毛利率。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检查系统是否提示“满足利润安全线”。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将通过安全线的方案用于 7 天小范围实验。</w:t>
      </w:r>
    </w:p>
    <w:p>
      <w:r>
        <w:rPr>
          <w:rFonts w:ascii="Calibri" w:hAnsi="Calibri" w:eastAsia="Microsoft YaHei"/>
        </w:rPr>
        <w:t>当前版本使用固定价格弹性系数进行演示，模拟结果只用于辅助决策，不应代替实际业务实验。</w:t>
      </w:r>
    </w:p>
    <w:p>
      <w:r>
        <w:br w:type="page"/>
      </w:r>
    </w:p>
    <w:p>
      <w:pPr>
        <w:pStyle w:val="Heading1"/>
        <w:keepNext/>
      </w:pPr>
      <w:r>
        <w:t>9. 报告中心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880225"/>
            <wp:docPr id="4" name="Picture 4" descr="图 4  面向管理层的价格竞争力诊断周报" title="report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8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E788A"/>
          <w:sz w:val="17"/>
        </w:rPr>
        <w:t>图 4  面向管理层的价格竞争力诊断周报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导出调价清单：下载 CSV，供运营人员批量审核和执行。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打印 / 保存 PDF：调用浏览器打印功能，生成管理层周报。</w:t>
      </w:r>
    </w:p>
    <w:p>
      <w:r>
        <w:rPr>
          <w:rFonts w:ascii="Calibri" w:hAnsi="Calibri" w:eastAsia="Microsoft YaHei"/>
        </w:rPr>
        <w:t>管理层报告包含综合健康度、诊断商品数、重点优化商品、增量机会、数据覆盖率、经营结论和优先调价表。</w:t>
      </w:r>
    </w:p>
    <w:p>
      <w:r>
        <w:br w:type="page"/>
      </w:r>
    </w:p>
    <w:p>
      <w:pPr>
        <w:pStyle w:val="Heading1"/>
        <w:keepNext/>
      </w:pPr>
      <w:r>
        <w:t>10. 建议操作流程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定期运行授权 API、公开页采集或 CSV 导入。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检查采集成功率、采集时间和同款匹配可信度。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优先处理偏高价格和低价风险商品。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检查商品匹配和竞品样本是否合理。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在模拟器中比较进攻、平衡与保守方案。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导出调价清单，完成运营和负责人审核。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对少量商品执行 7 天调价实验。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复盘销量、转化率、销售额和毛利变化。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验证有效后再扩大执行范围。</w:t>
      </w:r>
    </w:p>
    <w:p>
      <w:r>
        <w:br w:type="page"/>
      </w:r>
    </w:p>
    <w:p>
      <w:pPr>
        <w:pStyle w:val="Heading1"/>
        <w:keepNext/>
      </w:pPr>
      <w:r>
        <w:t>11. 数据安全与版本边界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当前数据保存在浏览器 localStorage 中，清除浏览器数据可能导致导入内容丢失。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本地采集服务只监听 127.0.0.1，不对公网开放。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系统不保存平台密钥、Cookie 或个人账号，也不会自动执行调价。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不采集登录后、验证码保护或 robots.txt 禁止的页面。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演示竞品价格不代表真实市场报价。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真实商用前，应接入合规的数据接口、账号权限、审批记录和服务端数据库。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AI 文字说明来自结构化计算结果，最终定价仍需要业务人员审核。</w:t>
      </w:r>
    </w:p>
    <w:p>
      <w:pPr>
        <w:pStyle w:val="Heading1"/>
        <w:keepNext/>
      </w:pPr>
      <w:r>
        <w:t>12. 常见问题</w:t>
      </w:r>
    </w:p>
    <w:p>
      <w:r>
        <w:rPr>
          <w:rFonts w:ascii="Calibri" w:hAnsi="Calibri" w:eastAsia="Microsoft YaHei"/>
          <w:b/>
        </w:rPr>
        <w:t>公开页采集失败：</w:t>
      </w:r>
      <w:r>
        <w:rPr>
          <w:rFonts w:ascii="Calibri" w:hAnsi="Calibri" w:eastAsia="Microsoft YaHei"/>
        </w:rPr>
        <w:t>平台可能采用动态渲染、登录校验或 robots 限制；系统不会绕过控制，请改用官方开放 API 或 CSV。</w:t>
      </w:r>
    </w:p>
    <w:p>
      <w:r>
        <w:rPr>
          <w:rFonts w:ascii="Calibri" w:hAnsi="Calibri" w:eastAsia="Microsoft YaHei"/>
          <w:b/>
        </w:rPr>
        <w:t>导入后没有商品：</w:t>
      </w:r>
      <w:r>
        <w:rPr>
          <w:rFonts w:ascii="Calibri" w:hAnsi="Calibri" w:eastAsia="Microsoft YaHei"/>
        </w:rPr>
        <w:t>检查 CSV 是否包含“当前价格”字段，并确认价格为大于 0 的数字。</w:t>
      </w:r>
    </w:p>
    <w:p>
      <w:r>
        <w:rPr>
          <w:rFonts w:ascii="Calibri" w:hAnsi="Calibri" w:eastAsia="Microsoft YaHei"/>
          <w:b/>
        </w:rPr>
        <w:t>商品全部显示偏高：</w:t>
      </w:r>
      <w:r>
        <w:rPr>
          <w:rFonts w:ascii="Calibri" w:hAnsi="Calibri" w:eastAsia="Microsoft YaHei"/>
        </w:rPr>
        <w:t>检查竞品价格是否为到手价、规格是否一致，以及是否混合单件价和组合装总价。</w:t>
      </w:r>
    </w:p>
    <w:p>
      <w:r>
        <w:rPr>
          <w:rFonts w:ascii="Calibri" w:hAnsi="Calibri" w:eastAsia="Microsoft YaHei"/>
          <w:b/>
        </w:rPr>
        <w:t>建议价格高于市场价格：</w:t>
      </w:r>
      <w:r>
        <w:rPr>
          <w:rFonts w:ascii="Calibri" w:hAnsi="Calibri" w:eastAsia="Microsoft YaHei"/>
        </w:rPr>
        <w:t>通常是利润底价或商品角色限制导致，应检查成本、最低毛利率和商品角色。</w:t>
      </w:r>
    </w:p>
    <w:p>
      <w:r>
        <w:rPr>
          <w:rFonts w:ascii="Calibri" w:hAnsi="Calibri" w:eastAsia="Microsoft YaHei"/>
          <w:b/>
        </w:rPr>
        <w:t>如何生成 PDF：</w:t>
      </w:r>
      <w:r>
        <w:rPr>
          <w:rFonts w:ascii="Calibri" w:hAnsi="Calibri" w:eastAsia="Microsoft YaHei"/>
        </w:rPr>
        <w:t>进入报告中心，点击“打印 / 保存 PDF”，在浏览器打印窗口选择“另存为 PDF”。</w:t>
      </w:r>
    </w:p>
    <w:p>
      <w:r>
        <w:rPr>
          <w:rFonts w:ascii="Calibri" w:hAnsi="Calibri" w:eastAsia="Microsoft YaHei"/>
          <w:b/>
        </w:rPr>
        <w:t>如何恢复演示数据：</w:t>
      </w:r>
      <w:r>
        <w:rPr>
          <w:rFonts w:ascii="Calibri" w:hAnsi="Calibri" w:eastAsia="Microsoft YaHei"/>
        </w:rPr>
        <w:t>进入数据中心，点击“恢复演示数据”。</w:t>
      </w:r>
    </w:p>
    <w:p>
      <w:pPr>
        <w:pStyle w:val="Heading1"/>
        <w:keepNext/>
      </w:pPr>
      <w:r>
        <w:t>13. 后续商用升级建议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接入真实平台授权 API、授权续期和调用监控。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增加定时任务、历史报价数据库与异常告警。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增加多商家账号、权限与数据隔离。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增加商品匹配人工审核工作台。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保存调价审批、执行与实验记录。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使用真实历史数据训练品类价格弹性模型。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增加邮件、企业微信或钉钉定时报告。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在完整权限与安全机制下接入平台调价执行。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E788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E788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E788A"/>
        <w:sz w:val="17"/>
      </w:rPr>
      <w:t>价策 AI  |  产品使用说明书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4F6FE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6F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29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价策 AI 产品使用说明书</dc:title>
  <dc:subject>价格采集与智能定价决策平台操作指南</dc:subject>
  <dc:creator>价策 AI 产品团队</dc:creator>
  <cp:keywords>电商, 定价, 比价, AI, 产品说明书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