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著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专制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“在普鲁士这样一个农业占优势的国家里，代表工业无产阶级说话时只攻击资产阶级，而一字不提大封建贵族对农村无产阶级的宗法式的凭棍棒维持的剥削，这是卑鄙的。”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“无产阶级在争取政权的斗争中，除了组织，没有别的武器。无产阶级被资产阶级世界中居于统治地位的无政府竞争所分散，被那种为资本的强迫劳动所压抑，总是被抛到赤贫、 粗野和退化的“底层”，它所以能够成为而且必然会成为不可战胜的力量，就是因为它根据马克思主义原则形成的思想一致是用组织的物质统一来巩固的，这个组织把千百万劳动者团结成一支工人阶级的大军。在这支大军面前，无论是已经衰败的俄国专制政权还是正在衰败的国际资本政权，都是支持不住的。不管有什么曲折和退步，不管现代社会民主党的吉伦特派讲些什么机会主义的空话，不管人们怎样得意地赞美落后的小组习气，不管他们怎样炫耀和喧嚷知识分子的无政府主义，这支大军一定会把自己的队伍日益紧密地团结起来。” </w:t>
      </w:r>
      <w:r>
        <w:rPr/>
        <w:t>（《进一步，退两步》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“建立秘密组织的全部艺术应在于利用一切力量，“让每个人都有事可做”，同时保持对整个运动的领导，当然，保持领导不是靠权力，而是靠威信，毅力，靠比较丰富的经验、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革命是需要的，并且即将到来。向革命发展的形式虽然有了改变，但革命的旧任务依然存在。由此得出的结论是： 组织形式应当改变，“支部”的形式应当灵活，发展支部将往往不是靠发展支部本身，而是靠发展它的合法的“外围组织 ”，等等。”</w:t>
      </w:r>
    </w:p>
    <w:p>
      <w:pPr>
        <w:pStyle w:val="Normal"/>
        <w:bidi w:val="0"/>
        <w:jc w:val="both"/>
        <w:rPr/>
      </w:pPr>
      <w:r>
        <w:rPr/>
      </w:r>
    </w:p>
    <w:p>
      <w:pPr>
        <w:pStyle w:val="Normal"/>
        <w:bidi w:val="0"/>
        <w:jc w:val="both"/>
        <w:rPr/>
      </w:pPr>
      <w:r>
        <w:rPr>
          <w:b/>
          <w:bCs/>
        </w:rPr>
        <w:t>　　“但是，秘密组织形式这样改变，决不能因此提出这样的公式：使秘密组织 “适应” 合法运动。完全不是这么回事！合法组织是把秘密支部的思想贯彻到群众中去的据点。就是说，我们改变施加影响的形式，是为了通过秘密的途径继续发挥早先的那种影响。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“就组织形式来说，是秘密 “适应” 合法。就我们党的工作内容来说，是合法活动“适应”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“对于搞阴谋诡计的人要注意，如中央就出了高、饶、彭、黄等人。事物都是一分为二的。有的人就是要搞阴谋，他要搞，有什么办法，现在还有要搞的嘛 ！ 搞阴谋的人，是客观存在，不是我们喜欢不喜欢的问题。”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毛泽东主席逝世了，但他的思想和行动活在工人阶级中，活在被压迫人民中，活在全世界人民群众中；革命将斗争引向何处，马列主义、毛泽东思想将长存。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，在马克思和恩格斯，在列宁和斯大林那里</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开始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国际工人阶级的伟大领袖，世界被压迫人民和世界革命的思想，他们的思想照亮了世界，并将永远照亮世界</w:t>
      </w:r>
      <w:r>
        <w:rPr/>
        <w:t>。</w:t>
      </w:r>
    </w:p>
    <w:p>
      <w:pPr>
        <w:pStyle w:val="Normal"/>
        <w:bidi w:val="0"/>
        <w:jc w:val="both"/>
        <w:rPr/>
      </w:pPr>
      <w:r>
        <w:rPr/>
      </w:r>
    </w:p>
    <w:p>
      <w:pPr>
        <w:pStyle w:val="Heading3"/>
        <w:rPr>
          <w:color w:val="FF0000"/>
        </w:rPr>
      </w:pPr>
      <w:r>
        <w:rPr>
          <w:rFonts w:ascii="Noto Serif CJK SC" w:hAnsi="Noto Serif CJK SC" w:eastAsia="Noto Serif CJK SC"/>
          <w:i/>
          <w:iCs/>
          <w:color w:val="FF0000"/>
          <w:sz w:val="21"/>
          <w:szCs w:val="21"/>
        </w:rPr>
        <w:t>　　</w:t>
      </w:r>
      <w:r>
        <w:rPr>
          <w:color w:val="FF0000"/>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毛泽东主席分析这个无产阶级革命时代，确立了关于反动派的伟大论点：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“总之，对于国际问题的观察，我们认为还是这样：帝国主义之间闹 ，互相争夺殖民地 ，这个矛盾大些。他们是假借跟我们的矛盾来掩盖他们之间的矛盾。”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“在那里冲突（苏伊士运河事件）的，有两类矛盾和三种力量。两类矛盾，一类是帝国主义中帝国主义之间的矛盾，即美国跟英国、美国跟法国之间的矛盾，一类是帝国主义跟被压迫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“美帝国主义甚至对它在西欧、北美和大洋洲的盟国，也实行“弱肉强食”的政策，力图把它们踩在自己的脚下。”</w:t>
      </w:r>
      <w:r>
        <w:rPr/>
        <w:t>他最后呼吁：</w:t>
      </w:r>
      <w:r>
        <w:rPr>
          <w:b/>
          <w:bCs/>
          <w:color w:val="FF0000"/>
        </w:rPr>
        <w:t>“社会主义阵营各国人民要联合起来，亚洲、非洲、拉丁美洲各国人民要联合起来，全世界各大洲的人民要联合起来 ，所有爱好和平的国家要联合起来，所有受到美国侵略、控制、干涉和欺负的国家要联合起来，结成最广泛的统一战线，反对美帝国主义的侵略政策和战争政策，保卫世界和平。”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w:t>
      </w:r>
      <w:r>
        <w:rPr>
          <w:b/>
          <w:bCs/>
          <w:color w:val="FF0000"/>
        </w:rPr>
        <w:t>“美国是只纸老虎，你们不要相信它，一戳就穿了的。苏联也是纸老虎。”</w:t>
      </w:r>
      <w:r>
        <w:rPr/>
        <w:t>（《中法之间有共同点》，《毛泽东全集》第</w:t>
      </w:r>
      <w:r>
        <w:rPr/>
        <w:t>46</w:t>
      </w:r>
      <w:r>
        <w:rPr/>
        <w:t>卷，第</w:t>
      </w:r>
      <w:r>
        <w:rPr/>
        <w:t>210</w:t>
      </w:r>
      <w:r>
        <w:rPr/>
        <w:t>页。</w:t>
      </w:r>
      <w:r>
        <w:rPr/>
        <w:t xml:space="preserve">） </w:t>
      </w:r>
      <w:r>
        <w:rPr>
          <w:b/>
          <w:bCs/>
          <w:color w:val="FF0000"/>
        </w:rPr>
        <w:t>“苏修、美帝狼狈为奸，做了这么多的坏事、丑事，全世界革命人民是不会饶过他们的。世界各国人民正在起来。一个反对美帝、苏修的历史新时期已经开始。”</w:t>
      </w:r>
      <w:r>
        <w:rPr>
          <w:b w:val="false"/>
          <w:bCs w:val="false"/>
          <w:color w:val="000000"/>
        </w:rPr>
        <w:t>（《毛泽东等对霍查、谢胡电贺我国二十九个省、市、区成立革委会的复电》</w:t>
      </w:r>
      <w:r>
        <w:rPr>
          <w:b w:val="false"/>
          <w:bCs w:val="false"/>
          <w:color w:val="000000"/>
        </w:rPr>
        <w:t>1968</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w:t>
      </w:r>
      <w:r>
        <w:rPr>
          <w:b w:val="false"/>
          <w:bCs w:val="false"/>
          <w:color w:val="000000"/>
        </w:rPr>
        <w:t>，《毛泽东全集》第</w:t>
      </w:r>
      <w:r>
        <w:rPr>
          <w:b w:val="false"/>
          <w:bCs w:val="false"/>
          <w:color w:val="000000"/>
        </w:rPr>
        <w:t>50</w:t>
      </w:r>
      <w:r>
        <w:rPr>
          <w:b w:val="false"/>
          <w:bCs w:val="false"/>
          <w:color w:val="000000"/>
        </w:rPr>
        <w:t>卷，第</w:t>
      </w:r>
      <w:r>
        <w:rPr>
          <w:b w:val="false"/>
          <w:bCs w:val="false"/>
          <w:color w:val="000000"/>
        </w:rPr>
        <w:t>277</w:t>
      </w:r>
      <w:r>
        <w:rPr>
          <w:b w:val="false"/>
          <w:bCs w:val="false"/>
          <w:color w:val="000000"/>
        </w:rPr>
        <w:t>页。</w:t>
      </w:r>
      <w:r>
        <w:rPr>
          <w:b w:val="false"/>
          <w:bCs w:val="false"/>
          <w:color w:val="000000"/>
        </w:rPr>
        <w:t>）</w:t>
      </w:r>
      <w:r>
        <w:rPr>
          <w:b/>
          <w:bCs/>
          <w:color w:val="FF0000"/>
        </w:rPr>
        <w:t>“全世界人民团结起来，反对任何帝国主义、社会帝国主义发动的侵略战争，特别要反对以原子弹为武器的侵略战争！如果这种战争发生，全世界人民就应以革命战争消灭侵略战争，从现在起就要有所准备！”</w:t>
      </w:r>
      <w:r>
        <w:rPr>
          <w:b w:val="false"/>
          <w:bCs w:val="false"/>
          <w:color w:val="000000"/>
        </w:rPr>
        <w:t>（《对国庆二十周年口号送审稿的批语和修改》</w:t>
      </w:r>
      <w:r>
        <w:rPr>
          <w:b w:val="false"/>
          <w:bCs w:val="false"/>
          <w:color w:val="000000"/>
        </w:rPr>
        <w:t xml:space="preserve">1969 </w:t>
      </w:r>
      <w:r>
        <w:rPr>
          <w:b w:val="false"/>
          <w:bCs w:val="false"/>
          <w:color w:val="000000"/>
        </w:rPr>
        <w:t xml:space="preserve">年 </w:t>
      </w:r>
      <w:r>
        <w:rPr>
          <w:b w:val="false"/>
          <w:bCs w:val="false"/>
          <w:color w:val="000000"/>
        </w:rPr>
        <w:t xml:space="preserve">9 </w:t>
      </w:r>
      <w:r>
        <w:rPr>
          <w:b w:val="false"/>
          <w:bCs w:val="false"/>
          <w:color w:val="000000"/>
        </w:rPr>
        <w:t>月，同上，第</w:t>
      </w:r>
      <w:r>
        <w:rPr>
          <w:b w:val="false"/>
          <w:bCs w:val="false"/>
          <w:color w:val="000000"/>
        </w:rPr>
        <w:t>469</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因此确定了与美国和苏联这两个超级大国展开的斗争时期，并从这个角度重申世界人民的作用，他在</w:t>
      </w:r>
      <w:r>
        <w:rPr/>
        <w:t>1970</w:t>
      </w:r>
      <w:r>
        <w:rPr/>
        <w:t>年</w:t>
      </w:r>
      <w:r>
        <w:rPr/>
        <w:t>5</w:t>
      </w:r>
      <w:r>
        <w:rPr/>
        <w:t>月发表了他的著名声明：</w:t>
      </w:r>
      <w:r>
        <w:rPr>
          <w:b/>
          <w:bCs/>
          <w:color w:val="FF0000"/>
        </w:rPr>
        <w:t>“小国人民只要敢于起来斗争，敢于拿起武器，掌握自己国家的命运，就一定能够战胜大国的侵略。这是一条历史的规律。”</w:t>
      </w:r>
      <w:r>
        <w:rPr/>
        <w:t>（《全世界人民团结起来，打败美国侵略者及其一切走狗》）</w:t>
      </w:r>
      <w:r>
        <w:rPr/>
        <w:t>毛泽东主席总是非常注重战术原则。在这方面，他的著作《论政策》最为重要；他在那里确定了基本方针：</w:t>
      </w:r>
      <w:r>
        <w:rPr>
          <w:b/>
          <w:bCs/>
          <w:color w:val="FF0000"/>
        </w:rPr>
        <w:t>“对于国内各阶级相互关系的基本政策，是发展进步势力，争取中间势力，孤立反共顽固势力。”</w:t>
      </w:r>
      <w:r>
        <w:rPr/>
        <w:t>对顽固派实行革命的双重政策，为了打击他们，实行：</w:t>
      </w:r>
      <w:r>
        <w:rPr>
          <w:b/>
          <w:bCs/>
          <w:color w:val="FF0000"/>
        </w:rPr>
        <w:t>“在和反共顽固派斗争时，是利用矛盾，争取多数，反对少数，各个击破；是有理，有利，有节。”</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这些标准最初是为中国的斗争而制定的，适用于反对帝国主义的斗争。</w:t>
      </w:r>
      <w:r>
        <w:rPr/>
        <w:t>1957</w:t>
      </w:r>
      <w:r>
        <w:rPr/>
        <w:t>年，毛主席总结了对敌斗争的战略战术思想：</w:t>
      </w:r>
      <w:r>
        <w:rPr>
          <w:b/>
          <w:bCs/>
          <w:color w:val="FF0000"/>
        </w:rPr>
        <w:t>“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马克思 、 恩格斯只有两个人 ，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r>
        <w:rPr>
          <w:b w:val="false"/>
          <w:bCs w:val="false"/>
          <w:color w:val="000000"/>
        </w:rPr>
        <w:t>（《在莫斯科共产党和工人党代表会议上的讲话》，</w:t>
      </w:r>
      <w:r>
        <w:rPr>
          <w:b w:val="false"/>
          <w:bCs w:val="false"/>
          <w:color w:val="000000"/>
        </w:rPr>
        <w:t xml:space="preserve">1957 </w:t>
      </w:r>
      <w:r>
        <w:rPr>
          <w:b w:val="false"/>
          <w:bCs w:val="false"/>
          <w:color w:val="000000"/>
        </w:rPr>
        <w:t xml:space="preserve">年 </w:t>
      </w:r>
      <w:r>
        <w:rPr>
          <w:b w:val="false"/>
          <w:bCs w:val="false"/>
          <w:color w:val="000000"/>
        </w:rPr>
        <w:t xml:space="preserve">11 </w:t>
      </w:r>
      <w:r>
        <w:rPr>
          <w:b w:val="false"/>
          <w:bCs w:val="false"/>
          <w:color w:val="000000"/>
        </w:rPr>
        <w:t xml:space="preserve">月 </w:t>
      </w:r>
      <w:r>
        <w:rPr>
          <w:b w:val="false"/>
          <w:bCs w:val="false"/>
          <w:color w:val="000000"/>
        </w:rPr>
        <w:t xml:space="preserve">14 </w:t>
      </w:r>
      <w:r>
        <w:rPr>
          <w:b w:val="false"/>
          <w:bCs w:val="false"/>
          <w:color w:val="000000"/>
        </w:rPr>
        <w:t xml:space="preserve">日 、 </w:t>
      </w:r>
      <w:r>
        <w:rPr>
          <w:b w:val="false"/>
          <w:bCs w:val="false"/>
          <w:color w:val="000000"/>
        </w:rPr>
        <w:t xml:space="preserve">16 </w:t>
      </w:r>
      <w:r>
        <w:rPr>
          <w:b w:val="false"/>
          <w:bCs w:val="false"/>
          <w:color w:val="000000"/>
        </w:rPr>
        <w:t xml:space="preserve">日 、 </w:t>
      </w:r>
      <w:r>
        <w:rPr>
          <w:b w:val="false"/>
          <w:bCs w:val="false"/>
          <w:color w:val="000000"/>
        </w:rPr>
        <w:t xml:space="preserve">18 </w:t>
      </w:r>
      <w:r>
        <w:rPr>
          <w:b w:val="false"/>
          <w:bCs w:val="false"/>
          <w:color w:val="000000"/>
        </w:rPr>
        <w:t>日，《毛泽东全集》第</w:t>
      </w:r>
      <w:r>
        <w:rPr>
          <w:b w:val="false"/>
          <w:bCs w:val="false"/>
          <w:color w:val="000000"/>
        </w:rPr>
        <w:t>38</w:t>
      </w:r>
      <w:r>
        <w:rPr>
          <w:b w:val="false"/>
          <w:bCs w:val="false"/>
          <w:color w:val="000000"/>
        </w:rPr>
        <w:t>卷，第</w:t>
      </w:r>
      <w:r>
        <w:rPr>
          <w:b w:val="false"/>
          <w:bCs w:val="false"/>
          <w:color w:val="000000"/>
        </w:rPr>
        <w:t>302</w:t>
      </w:r>
      <w:r>
        <w:rPr>
          <w:b w:val="false"/>
          <w:bCs w:val="false"/>
          <w:color w:val="000000"/>
        </w:rPr>
        <w:t>页</w:t>
      </w:r>
      <w:r>
        <w:rPr>
          <w:b w:val="false"/>
          <w:bCs w:val="false"/>
          <w:color w:val="000000"/>
        </w:rPr>
        <w:t>。</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他还通过无产阶级文化大革命找到了发展它的适当形式。在这场大革命的开始和发展过程中，他提出了以下论点：</w:t>
      </w:r>
      <w:r>
        <w:rPr>
          <w:b/>
          <w:bCs/>
          <w:color w:val="FF0000"/>
        </w:rPr>
        <w:t>“天下大乱 ，达到天下大治 。 过七八年又来一次 。 牛鬼蛇神自己跳出来。他们为自己的阶级本性所决定，非跳出来不可。”</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w:t>
      </w:r>
      <w:r>
        <w:rPr>
          <w:b w:val="false"/>
          <w:bCs w:val="false"/>
          <w:color w:val="000000"/>
        </w:rPr>
        <w:t>8</w:t>
      </w:r>
      <w:r>
        <w:rPr>
          <w:b w:val="false"/>
          <w:bCs w:val="false"/>
          <w:color w:val="000000"/>
        </w:rPr>
        <w:t>卷，第</w:t>
      </w:r>
      <w:r>
        <w:rPr>
          <w:b w:val="false"/>
          <w:bCs w:val="false"/>
          <w:color w:val="000000"/>
        </w:rPr>
        <w:t>376</w:t>
      </w:r>
      <w:r>
        <w:rPr>
          <w:b w:val="false"/>
          <w:bCs w:val="false"/>
          <w:color w:val="000000"/>
        </w:rPr>
        <w:t>页</w:t>
      </w:r>
      <w:r>
        <w:rPr>
          <w:b w:val="false"/>
          <w:bCs w:val="false"/>
          <w:color w:val="000000"/>
        </w:rPr>
        <w:t>。）</w:t>
      </w:r>
      <w:r>
        <w:rPr/>
        <w:t xml:space="preserve"> </w:t>
      </w:r>
      <w:r>
        <w:rPr>
          <w:b/>
          <w:bCs/>
          <w:color w:val="FF0000"/>
        </w:rPr>
        <w:t>“过去我们搞 了农村的斗争、工厂的斗争、文化界的斗争 ，进行了社会主义教育运动 ， 但不能解决问题 ， 因为没有找到一 种形 式、一种方式 ， 公开地、全面地、由下而上地发动广大群众来揭发我们的黑暗面。”</w:t>
      </w:r>
      <w:r>
        <w:rPr/>
        <w:t xml:space="preserve"> （《和卡博 、 巳卢库的谈话》，</w:t>
      </w:r>
      <w:r>
        <w:rPr/>
        <w:t xml:space="preserve">1967 </w:t>
      </w:r>
      <w:r>
        <w:rPr/>
        <w:t xml:space="preserve">年 </w:t>
      </w:r>
      <w:r>
        <w:rPr/>
        <w:t xml:space="preserve">2 </w:t>
      </w:r>
      <w:r>
        <w:rPr/>
        <w:t xml:space="preserve">月 </w:t>
      </w:r>
      <w:r>
        <w:rPr/>
        <w:t xml:space="preserve">8 </w:t>
      </w:r>
      <w:r>
        <w:rPr/>
        <w:t>日，</w:t>
      </w:r>
      <w:r>
        <w:rPr>
          <w:b w:val="false"/>
          <w:bCs w:val="false"/>
          <w:color w:val="000000"/>
        </w:rPr>
        <w:t>《毛泽东全集》第</w:t>
      </w:r>
      <w:r>
        <w:rPr>
          <w:b w:val="false"/>
          <w:bCs w:val="false"/>
          <w:color w:val="000000"/>
        </w:rPr>
        <w:t>49</w:t>
      </w:r>
      <w:r>
        <w:rPr>
          <w:b w:val="false"/>
          <w:bCs w:val="false"/>
          <w:color w:val="000000"/>
        </w:rPr>
        <w:t>卷，第</w:t>
      </w:r>
      <w:r>
        <w:rPr>
          <w:b w:val="false"/>
          <w:bCs w:val="false"/>
          <w:color w:val="000000"/>
        </w:rPr>
        <w:t>281</w:t>
      </w:r>
      <w:r>
        <w:rPr>
          <w:b w:val="false"/>
          <w:bCs w:val="false"/>
          <w:color w:val="000000"/>
        </w:rPr>
        <w:t>页</w:t>
      </w:r>
      <w:r>
        <w:rPr>
          <w:b w:val="false"/>
          <w:bCs w:val="false"/>
          <w:color w:val="000000"/>
        </w:rPr>
        <w:t>。</w:t>
      </w:r>
      <w:r>
        <w:rPr/>
        <w:t>）</w:t>
      </w:r>
      <w:r>
        <w:rPr>
          <w:b/>
          <w:bCs/>
          <w:color w:val="FF0000"/>
        </w:rPr>
        <w:t>“其实，那些支持资产阶级学阀的党内走资本主义道路的当权派 ， 那些钻进党内保护资产阶级学阀的资产阶级代表人物，才是不读书、不看报、不接触群众、什么学问也没有、专靠‘武断和以势压人’ 、窃取党的名义的大党阀 。”</w:t>
      </w:r>
      <w:r>
        <w:rPr>
          <w:b w:val="false"/>
          <w:bCs w:val="false"/>
          <w:color w:val="000000"/>
        </w:rPr>
        <w:t>（《对中央关于撤销 〈文化革命五人小组关于当前学术讨论的汇报提纲 〉通知稿的批语和修改》，</w:t>
      </w:r>
      <w:r>
        <w:rPr>
          <w:b w:val="false"/>
          <w:bCs w:val="false"/>
          <w:color w:val="000000"/>
        </w:rPr>
        <w:t xml:space="preserve">1966 </w:t>
      </w:r>
      <w:r>
        <w:rPr>
          <w:b w:val="false"/>
          <w:bCs w:val="false"/>
          <w:color w:val="000000"/>
        </w:rPr>
        <w:t xml:space="preserve">年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324</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“混进党里、政府里、军队里和各种文化界的资产阶级代表人物，是一批反革命的修正主义分子 ， 一旦时机成熟 ，他们就会要夺取政权，由无产阶级专政变为资产阶级专政 。 这些人物，有些已被我们识破了，有些则还没有被识破，有些正在受到我们信用，被培养为我们的接班人，例如赫鲁晓夫那样的人物，他们现正睡在我们的身旁”</w:t>
      </w:r>
      <w:r>
        <w:rPr>
          <w:b w:val="false"/>
          <w:bCs w:val="false"/>
          <w:color w:val="000000"/>
        </w:rPr>
        <w:t>（同上，第</w:t>
      </w:r>
      <w:r>
        <w:rPr>
          <w:b w:val="false"/>
          <w:bCs w:val="false"/>
          <w:color w:val="000000"/>
        </w:rPr>
        <w:t>326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“这次运动的重点，是斗争那些党内走资本主义道路的当权派。”</w:t>
      </w:r>
      <w:r>
        <w:rPr/>
        <w:t xml:space="preserve"> （《对林彪在接见全国各地来京师生大会上的讲话稿的批语和修改》，</w:t>
      </w:r>
      <w:r>
        <w:rPr/>
        <w:t xml:space="preserve">1966 </w:t>
      </w:r>
      <w:r>
        <w:rPr/>
        <w:t xml:space="preserve">年 </w:t>
      </w:r>
      <w:r>
        <w:rPr/>
        <w:t xml:space="preserve">9 </w:t>
      </w:r>
      <w:r>
        <w:rPr/>
        <w:t xml:space="preserve">月 </w:t>
      </w:r>
      <w:r>
        <w:rPr/>
        <w:t xml:space="preserve">15 </w:t>
      </w:r>
      <w:r>
        <w:rPr/>
        <w:t>日，《毛泽东全集》第</w:t>
      </w:r>
      <w:r>
        <w:rPr/>
        <w:t>49</w:t>
      </w:r>
      <w:r>
        <w:rPr/>
        <w:t>卷，第</w:t>
      </w:r>
      <w:r>
        <w:rPr/>
        <w:t>44-45</w:t>
      </w:r>
      <w:r>
        <w:rPr/>
        <w:t>页。</w:t>
      </w:r>
      <w:r>
        <w:rPr/>
        <w:t>）</w:t>
      </w:r>
      <w:r>
        <w:rPr>
          <w:b/>
          <w:bCs/>
          <w:color w:val="FF0000"/>
        </w:rPr>
        <w:t>“中央出了修正主义怎么办？这是很可能的 ，也是最危险的。”</w:t>
      </w:r>
      <w:r>
        <w:rPr>
          <w:b w:val="false"/>
          <w:bCs w:val="false"/>
          <w:color w:val="000000"/>
        </w:rPr>
        <w:t>（《对中宣部和北京市委的批评》，</w:t>
      </w:r>
      <w:r>
        <w:rPr>
          <w:b w:val="false"/>
          <w:bCs w:val="false"/>
          <w:color w:val="000000"/>
        </w:rPr>
        <w:t xml:space="preserve">1966 </w:t>
      </w:r>
      <w:r>
        <w:rPr>
          <w:b w:val="false"/>
          <w:bCs w:val="false"/>
          <w:color w:val="000000"/>
        </w:rPr>
        <w:t xml:space="preserve">年 </w:t>
      </w:r>
      <w:r>
        <w:rPr>
          <w:b w:val="false"/>
          <w:bCs w:val="false"/>
          <w:color w:val="000000"/>
        </w:rPr>
        <w:t xml:space="preserve">3 </w:t>
      </w:r>
      <w:r>
        <w:rPr>
          <w:b w:val="false"/>
          <w:bCs w:val="false"/>
          <w:color w:val="000000"/>
        </w:rPr>
        <w:t xml:space="preserve">月 、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313</w:t>
      </w:r>
      <w:r>
        <w:rPr>
          <w:b w:val="false"/>
          <w:bCs w:val="false"/>
          <w:color w:val="000000"/>
        </w:rPr>
        <w:t>页。</w:t>
      </w:r>
      <w:r>
        <w:rPr>
          <w:b w:val="false"/>
          <w:bCs w:val="false"/>
          <w:color w:val="000000"/>
        </w:rPr>
        <w:t>）</w:t>
      </w:r>
      <w:r>
        <w:rPr>
          <w:b/>
          <w:bCs/>
          <w:color w:val="FF0000"/>
        </w:rPr>
        <w:t>“</w:t>
      </w:r>
      <w:r>
        <w:rPr>
          <w:b/>
          <w:bCs/>
          <w:color w:val="FF0000"/>
          <w:u w:val="single"/>
        </w:rPr>
        <w:t>无产阶级必须在上层建筑其中包括各个文化领域中对资产阶级实行全面的专政。</w:t>
      </w:r>
      <w:r>
        <w:rPr>
          <w:b/>
          <w:bCs/>
          <w:color w:val="FF0000"/>
        </w:rPr>
        <w:t>”</w:t>
      </w:r>
      <w:r>
        <w:rPr/>
        <w:t xml:space="preserve"> （《沿着十月社会主义革命开辟的道路前进》，转引自</w:t>
      </w:r>
      <w:r>
        <w:rPr/>
        <w:t>1967</w:t>
      </w:r>
      <w:r>
        <w:rPr/>
        <w:t>年</w:t>
      </w:r>
      <w:r>
        <w:rPr/>
        <w:t>11</w:t>
      </w:r>
      <w:r>
        <w:rPr/>
        <w:t>月</w:t>
      </w:r>
      <w:r>
        <w:rPr/>
        <w:t>6</w:t>
      </w:r>
      <w:r>
        <w:rPr/>
        <w:t>日《人民日报》。）</w:t>
      </w:r>
      <w:r>
        <w:rPr>
          <w:b/>
          <w:bCs/>
          <w:color w:val="FF0000"/>
        </w:rPr>
        <w:t>“这次无产阶级文化大革命，对于巩固无产阶级专政，防止资本主义复辟，建设社会主义，是完全必要的，是非常及时的 。”</w:t>
      </w:r>
      <w:r>
        <w:rPr>
          <w:b w:val="false"/>
          <w:bCs w:val="false"/>
          <w:color w:val="000000"/>
        </w:rPr>
        <w:t>（《论述文化大革命“必要性”的一段话》，</w:t>
      </w:r>
      <w:r>
        <w:rPr>
          <w:b w:val="false"/>
          <w:bCs w:val="false"/>
          <w:color w:val="000000"/>
        </w:rPr>
        <w:t>1968</w:t>
      </w:r>
      <w:r>
        <w:rPr>
          <w:b w:val="false"/>
          <w:bCs w:val="false"/>
          <w:color w:val="000000"/>
        </w:rPr>
        <w:t>年，《毛泽东全集》第</w:t>
      </w:r>
      <w:r>
        <w:rPr>
          <w:b w:val="false"/>
          <w:bCs w:val="false"/>
          <w:color w:val="000000"/>
        </w:rPr>
        <w:t>50</w:t>
      </w:r>
      <w:r>
        <w:rPr>
          <w:b w:val="false"/>
          <w:bCs w:val="false"/>
          <w:color w:val="000000"/>
        </w:rPr>
        <w:t>卷，第</w:t>
      </w:r>
      <w:r>
        <w:rPr>
          <w:b w:val="false"/>
          <w:bCs w:val="false"/>
          <w:color w:val="000000"/>
        </w:rPr>
        <w:t>311</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w:t>
      </w:r>
      <w:r>
        <w:rPr>
          <w:b/>
          <w:bCs/>
          <w:color w:val="FF0000"/>
          <w:u w:val="single"/>
        </w:rPr>
        <w:t>现在的文化大革命，仅仅是第一次，以后还必然要进行多次。</w:t>
      </w:r>
      <w:r>
        <w:rPr>
          <w:b/>
          <w:bCs/>
          <w:color w:val="FF0000"/>
        </w:rPr>
        <w:t>毛泽东同志近几年经常说，</w:t>
      </w:r>
      <w:r>
        <w:rPr>
          <w:b/>
          <w:bCs/>
          <w:color w:val="FF0000"/>
          <w:u w:val="single"/>
        </w:rPr>
        <w:t>革命的谁胜谁负，要在一个很长的历史时期内才能解决。如果弄得不好，资本主义复辟将是随时可能的。</w:t>
      </w:r>
      <w:r>
        <w:rPr>
          <w:b/>
          <w:bCs/>
          <w:color w:val="FF0000"/>
        </w:rPr>
        <w:t>”</w:t>
      </w:r>
      <w:r>
        <w:rPr/>
        <w:t xml:space="preserve"> （《伟大的历史文件》，转引自</w:t>
      </w:r>
      <w:r>
        <w:rPr/>
        <w:t>1967</w:t>
      </w:r>
      <w:r>
        <w:rPr/>
        <w:t>年</w:t>
      </w:r>
      <w:r>
        <w:rPr/>
        <w:t>5</w:t>
      </w:r>
      <w:r>
        <w:rPr/>
        <w:t>月</w:t>
      </w:r>
      <w:r>
        <w:rPr/>
        <w:t>18</w:t>
      </w:r>
      <w:r>
        <w:rPr/>
        <w:t>日《人民日报》。</w:t>
      </w:r>
      <w:r>
        <w:rPr/>
        <w:t>）</w:t>
      </w:r>
      <w:r>
        <w:rPr>
          <w:b/>
          <w:bCs/>
          <w:color w:val="FF0000"/>
        </w:rPr>
        <w:t>“对反动派造反有理”</w:t>
      </w:r>
      <w:r>
        <w:rPr>
          <w:b w:val="false"/>
          <w:bCs w:val="false"/>
          <w:color w:val="000000"/>
          <w:shd w:fill="auto" w:val="clear"/>
        </w:rPr>
        <w:t>（《给清华大学附属中学红卫兵的信》，</w:t>
      </w:r>
      <w:r>
        <w:rPr>
          <w:b w:val="false"/>
          <w:bCs w:val="false"/>
          <w:color w:val="000000"/>
          <w:shd w:fill="auto" w:val="clear"/>
        </w:rPr>
        <w:t xml:space="preserve">1966 </w:t>
      </w:r>
      <w:r>
        <w:rPr>
          <w:b w:val="false"/>
          <w:bCs w:val="false"/>
          <w:color w:val="000000"/>
          <w:shd w:fill="auto" w:val="clear"/>
        </w:rPr>
        <w:t xml:space="preserve">年 </w:t>
      </w:r>
      <w:r>
        <w:rPr>
          <w:b w:val="false"/>
          <w:bCs w:val="false"/>
          <w:color w:val="000000"/>
          <w:shd w:fill="auto" w:val="clear"/>
        </w:rPr>
        <w:t xml:space="preserve">7 </w:t>
      </w:r>
      <w:r>
        <w:rPr>
          <w:b w:val="false"/>
          <w:bCs w:val="false"/>
          <w:color w:val="000000"/>
          <w:shd w:fill="auto" w:val="clear"/>
        </w:rPr>
        <w:t xml:space="preserve">月 </w:t>
      </w:r>
      <w:r>
        <w:rPr>
          <w:b w:val="false"/>
          <w:bCs w:val="false"/>
          <w:color w:val="000000"/>
          <w:shd w:fill="auto" w:val="clear"/>
        </w:rPr>
        <w:t xml:space="preserve">31 </w:t>
      </w:r>
      <w:r>
        <w:rPr>
          <w:b w:val="false"/>
          <w:bCs w:val="false"/>
          <w:color w:val="000000"/>
          <w:shd w:fill="auto" w:val="clear"/>
        </w:rPr>
        <w:t xml:space="preserve">日 、 </w:t>
      </w:r>
      <w:r>
        <w:rPr>
          <w:b w:val="false"/>
          <w:bCs w:val="false"/>
          <w:color w:val="000000"/>
          <w:shd w:fill="auto" w:val="clear"/>
        </w:rPr>
        <w:t xml:space="preserve">8 </w:t>
      </w:r>
      <w:r>
        <w:rPr>
          <w:b w:val="false"/>
          <w:bCs w:val="false"/>
          <w:color w:val="000000"/>
          <w:shd w:fill="auto" w:val="clear"/>
        </w:rPr>
        <w:t xml:space="preserve">月 </w:t>
      </w:r>
      <w:r>
        <w:rPr>
          <w:b w:val="false"/>
          <w:bCs w:val="false"/>
          <w:color w:val="000000"/>
          <w:shd w:fill="auto" w:val="clear"/>
        </w:rPr>
        <w:t xml:space="preserve">1 </w:t>
      </w:r>
      <w:r>
        <w:rPr>
          <w:b w:val="false"/>
          <w:bCs w:val="false"/>
          <w:color w:val="000000"/>
          <w:shd w:fill="auto" w:val="clear"/>
        </w:rPr>
        <w:t>日，《毛泽东全集》第</w:t>
      </w:r>
      <w:r>
        <w:rPr>
          <w:b w:val="false"/>
          <w:bCs w:val="false"/>
          <w:color w:val="000000"/>
          <w:shd w:fill="auto" w:val="clear"/>
        </w:rPr>
        <w:t>48</w:t>
      </w:r>
      <w:r>
        <w:rPr>
          <w:b w:val="false"/>
          <w:bCs w:val="false"/>
          <w:color w:val="000000"/>
          <w:shd w:fill="auto" w:val="clear"/>
        </w:rPr>
        <w:t>卷，第</w:t>
      </w:r>
      <w:r>
        <w:rPr>
          <w:b w:val="false"/>
          <w:bCs w:val="false"/>
          <w:color w:val="000000"/>
          <w:shd w:fill="auto" w:val="clear"/>
        </w:rPr>
        <w:t>417</w:t>
      </w:r>
      <w:r>
        <w:rPr>
          <w:b w:val="false"/>
          <w:bCs w:val="false"/>
          <w:color w:val="000000"/>
          <w:shd w:fill="auto" w:val="clear"/>
        </w:rPr>
        <w:t>页。</w:t>
      </w:r>
      <w:r>
        <w:rPr>
          <w:b w:val="false"/>
          <w:bCs w:val="false"/>
          <w:color w:val="000000"/>
          <w:shd w:fill="auto" w:val="clear"/>
        </w:rPr>
        <w:t>）</w:t>
      </w:r>
      <w:r>
        <w:rPr/>
        <w:t xml:space="preserve"> </w:t>
      </w:r>
      <w:r>
        <w:rPr>
          <w:b/>
          <w:bCs/>
          <w:color w:val="FF0000"/>
        </w:rPr>
        <w:t>“无产阶级革命派联合起来，向党内一小撮走资本主义道路当权派手里夺权”</w:t>
      </w:r>
      <w:r>
        <w:rPr>
          <w:b w:val="false"/>
          <w:bCs w:val="false"/>
          <w:color w:val="000000"/>
        </w:rPr>
        <w:t>（转引自《红旗》杂志，</w:t>
      </w:r>
      <w:r>
        <w:rPr>
          <w:b w:val="false"/>
          <w:bCs w:val="false"/>
          <w:color w:val="000000"/>
        </w:rPr>
        <w:t>1967</w:t>
      </w:r>
      <w:r>
        <w:rPr>
          <w:b w:val="false"/>
          <w:bCs w:val="false"/>
          <w:color w:val="000000"/>
        </w:rPr>
        <w:t>年</w:t>
      </w:r>
      <w:r>
        <w:rPr>
          <w:b w:val="false"/>
          <w:bCs w:val="false"/>
          <w:color w:val="000000"/>
        </w:rPr>
        <w:t>1</w:t>
      </w:r>
      <w:r>
        <w:rPr>
          <w:b w:val="false"/>
          <w:bCs w:val="false"/>
          <w:color w:val="000000"/>
        </w:rPr>
        <w:t>月</w:t>
      </w:r>
      <w:r>
        <w:rPr>
          <w:b w:val="false"/>
          <w:bCs w:val="false"/>
          <w:color w:val="000000"/>
        </w:rPr>
        <w:t>31</w:t>
      </w:r>
      <w:r>
        <w:rPr>
          <w:b w:val="false"/>
          <w:bCs w:val="false"/>
          <w:color w:val="000000"/>
        </w:rPr>
        <w:t>日。</w:t>
      </w:r>
      <w:r>
        <w:rPr>
          <w:b w:val="false"/>
          <w:bCs w:val="false"/>
          <w:color w:val="000000"/>
        </w:rPr>
        <w:t>）</w:t>
      </w:r>
      <w:r>
        <w:rPr/>
        <w:t>无产阶级文化大革命打击了以刘少奇为首的资产阶级反革命司令部，中国的赫鲁晓夫的副手是邓小平，</w:t>
      </w:r>
      <w:r>
        <w:rPr>
          <w:b/>
          <w:bCs/>
          <w:color w:val="FF0000"/>
        </w:rPr>
        <w:t>“党内头号走资本主义道路的当权派”</w:t>
      </w:r>
      <w:r>
        <w:rPr>
          <w:b w:val="false"/>
          <w:bCs w:val="false"/>
          <w:color w:val="000000"/>
        </w:rPr>
        <w:t>（转引自《红旗》杂志，第</w:t>
      </w:r>
      <w:r>
        <w:rPr>
          <w:b w:val="false"/>
          <w:bCs w:val="false"/>
          <w:color w:val="000000"/>
        </w:rPr>
        <w:t>7</w:t>
      </w:r>
      <w:r>
        <w:rPr>
          <w:b w:val="false"/>
          <w:bCs w:val="false"/>
          <w:color w:val="000000"/>
        </w:rPr>
        <w:t>期，</w:t>
      </w:r>
      <w:r>
        <w:rPr>
          <w:b w:val="false"/>
          <w:bCs w:val="false"/>
          <w:color w:val="000000"/>
        </w:rPr>
        <w:t>1967</w:t>
      </w:r>
      <w:r>
        <w:rPr>
          <w:b w:val="false"/>
          <w:bCs w:val="false"/>
          <w:color w:val="000000"/>
        </w:rPr>
        <w:t>年</w:t>
      </w:r>
      <w:r>
        <w:rPr>
          <w:b w:val="false"/>
          <w:bCs w:val="false"/>
          <w:color w:val="000000"/>
        </w:rPr>
        <w:t>5</w:t>
      </w:r>
      <w:r>
        <w:rPr>
          <w:b w:val="false"/>
          <w:bCs w:val="false"/>
          <w:color w:val="000000"/>
        </w:rPr>
        <w:t>月</w:t>
      </w:r>
      <w:r>
        <w:rPr>
          <w:b w:val="false"/>
          <w:bCs w:val="false"/>
          <w:color w:val="000000"/>
        </w:rPr>
        <w:t>20</w:t>
      </w:r>
      <w:r>
        <w:rPr>
          <w:b w:val="false"/>
          <w:bCs w:val="false"/>
          <w:color w:val="000000"/>
        </w:rPr>
        <w:t>日，总</w:t>
      </w:r>
      <w:r>
        <w:rPr>
          <w:b w:val="false"/>
          <w:bCs w:val="false"/>
          <w:color w:val="000000"/>
        </w:rPr>
        <w:t>383</w:t>
      </w:r>
      <w:r>
        <w:rPr>
          <w:b w:val="false"/>
          <w:bCs w:val="false"/>
          <w:color w:val="000000"/>
        </w:rPr>
        <w:t>页，第</w:t>
      </w:r>
      <w:r>
        <w:rPr>
          <w:b w:val="false"/>
          <w:bCs w:val="false"/>
          <w:color w:val="000000"/>
        </w:rPr>
        <w:t>33</w:t>
      </w:r>
      <w:r>
        <w:rPr>
          <w:b w:val="false"/>
          <w:bCs w:val="false"/>
          <w:color w:val="000000"/>
        </w:rPr>
        <w:t>页。</w:t>
      </w:r>
      <w:r>
        <w:rPr>
          <w:b w:val="false"/>
          <w:bCs w:val="false"/>
          <w:color w:val="000000"/>
        </w:rPr>
        <w:t>）</w:t>
      </w:r>
      <w:r>
        <w:rPr/>
        <w:t>；并且粉碎了以林彪为首的反革命阴谋总部。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夺回它，反对赫鲁晓夫、勃列日涅夫修正主义的大论战是这个问题的开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后来，斗争围绕着决定性问题和政权的本质问题，即无产阶级专政问题展开了。毛主席说：</w:t>
      </w:r>
      <w:r>
        <w:rPr>
          <w:b/>
          <w:bCs/>
          <w:color w:val="FF0000"/>
        </w:rPr>
        <w:t>“列宁为什么说对资产阶级专政，这个问题要搞清楚。这个问题不搞清楚，就会变修正主义。要使全国知道。”</w:t>
      </w:r>
      <w:r>
        <w:rPr>
          <w:b w:val="false"/>
          <w:bCs w:val="false"/>
          <w:color w:val="000000"/>
        </w:rPr>
        <w:t xml:space="preserve">（转引自 </w:t>
      </w:r>
      <w:r>
        <w:rPr>
          <w:b w:val="false"/>
          <w:bCs w:val="false"/>
          <w:color w:val="000000"/>
        </w:rPr>
        <w:t xml:space="preserve">1975 </w:t>
      </w:r>
      <w:r>
        <w:rPr>
          <w:b w:val="false"/>
          <w:bCs w:val="false"/>
          <w:color w:val="000000"/>
        </w:rPr>
        <w:t xml:space="preserve">年 </w:t>
      </w:r>
      <w:r>
        <w:rPr>
          <w:b w:val="false"/>
          <w:bCs w:val="false"/>
          <w:color w:val="000000"/>
        </w:rPr>
        <w:t xml:space="preserve">2 </w:t>
      </w:r>
      <w:r>
        <w:rPr>
          <w:b w:val="false"/>
          <w:bCs w:val="false"/>
          <w:color w:val="000000"/>
        </w:rPr>
        <w:t xml:space="preserve">月 </w:t>
      </w:r>
      <w:r>
        <w:rPr>
          <w:b w:val="false"/>
          <w:bCs w:val="false"/>
          <w:color w:val="000000"/>
        </w:rPr>
        <w:t xml:space="preserve">22 </w:t>
      </w:r>
      <w:r>
        <w:rPr>
          <w:b w:val="false"/>
          <w:bCs w:val="false"/>
          <w:color w:val="000000"/>
        </w:rPr>
        <w:t>日《人民日报》。）</w:t>
      </w:r>
      <w:r>
        <w:rPr/>
        <w:t xml:space="preserve"> </w:t>
      </w:r>
      <w:r>
        <w:rPr>
          <w:b/>
          <w:bCs/>
          <w:color w:val="FF0000"/>
        </w:rPr>
        <w:t>“总而言之，中国属于社会主义国家。解放前跟资本主义差不多。现在还实行八级工资制，按劳分配，货币交换，这些跟旧社会没有多少差别。所不同的是所有制变更了。”</w:t>
      </w:r>
      <w:r>
        <w:rPr>
          <w:b w:val="false"/>
          <w:bCs w:val="false"/>
          <w:color w:val="000000"/>
        </w:rPr>
        <w:t xml:space="preserve">（《关于正确处理人民内部矛盾的问题》。《毛泽东著作选读》（甲种本），人民出版社 </w:t>
      </w:r>
      <w:r>
        <w:rPr>
          <w:b w:val="false"/>
          <w:bCs w:val="false"/>
          <w:color w:val="000000"/>
        </w:rPr>
        <w:t xml:space="preserve">1965 </w:t>
      </w:r>
      <w:r>
        <w:rPr>
          <w:b w:val="false"/>
          <w:bCs w:val="false"/>
          <w:color w:val="000000"/>
        </w:rPr>
        <w:t xml:space="preserve">年版，第 </w:t>
      </w:r>
      <w:r>
        <w:rPr>
          <w:b w:val="false"/>
          <w:bCs w:val="false"/>
          <w:color w:val="000000"/>
        </w:rPr>
        <w:t xml:space="preserve">336 </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“我国现在实行的是商品制度，工资制度也不平等，有八级工资制，等等。这只能在无产阶级专政下加以限制。所以，林彪一类如上台，搞资本主义制度很容易。”</w:t>
      </w:r>
      <w:r>
        <w:rPr>
          <w:b w:val="false"/>
          <w:bCs w:val="false"/>
          <w:color w:val="000000"/>
        </w:rPr>
        <w:t xml:space="preserve"> （同上）</w:t>
      </w:r>
      <w:r>
        <w:rPr/>
        <w:t xml:space="preserve">为此，我们必须多研究马列主义者的著作。 </w:t>
      </w:r>
      <w:r>
        <w:rPr>
          <w:b/>
          <w:bCs/>
          <w:color w:val="FF0000"/>
        </w:rPr>
        <w:t>“列宁说：‘</w:t>
      </w:r>
      <w:r>
        <w:rPr>
          <w:rStyle w:val="Emphasis"/>
          <w:b/>
          <w:bCs/>
          <w:i w:val="false"/>
          <w:iCs w:val="false"/>
          <w:color w:val="FF0000"/>
        </w:rPr>
        <w:t>小生产</w:t>
      </w:r>
      <w:r>
        <w:rPr>
          <w:b/>
          <w:bCs/>
          <w:i w:val="false"/>
          <w:iCs w:val="false"/>
          <w:color w:val="FF0000"/>
        </w:rPr>
        <w:t>是经常地、每日每时地、</w:t>
      </w:r>
      <w:r>
        <w:rPr>
          <w:rStyle w:val="Emphasis"/>
          <w:b/>
          <w:bCs/>
          <w:i w:val="false"/>
          <w:iCs w:val="false"/>
          <w:color w:val="FF0000"/>
        </w:rPr>
        <w:t>自发地</w:t>
      </w:r>
      <w:r>
        <w:rPr>
          <w:b/>
          <w:bCs/>
          <w:i w:val="false"/>
          <w:iCs w:val="false"/>
          <w:color w:val="FF0000"/>
        </w:rPr>
        <w:t>和大批</w:t>
      </w:r>
      <w:r>
        <w:rPr>
          <w:rStyle w:val="Emphasis"/>
          <w:b/>
          <w:bCs/>
          <w:i w:val="false"/>
          <w:iCs w:val="false"/>
          <w:color w:val="FF0000"/>
        </w:rPr>
        <w:t>地产生</w:t>
      </w:r>
      <w:r>
        <w:rPr>
          <w:b/>
          <w:bCs/>
          <w:i w:val="false"/>
          <w:iCs w:val="false"/>
          <w:color w:val="FF0000"/>
        </w:rPr>
        <w:t>着</w:t>
      </w:r>
      <w:r>
        <w:rPr>
          <w:rStyle w:val="Emphasis"/>
          <w:b/>
          <w:bCs/>
          <w:i w:val="false"/>
          <w:iCs w:val="false"/>
          <w:color w:val="FF0000"/>
        </w:rPr>
        <w:t>资本主义和资产阶级</w:t>
      </w:r>
      <w:r>
        <w:rPr>
          <w:b/>
          <w:bCs/>
          <w:i w:val="false"/>
          <w:iCs w:val="false"/>
          <w:color w:val="FF0000"/>
        </w:rPr>
        <w:t>的。</w:t>
      </w:r>
      <w:r>
        <w:rPr>
          <w:b/>
          <w:bCs/>
          <w:color w:val="FF0000"/>
        </w:rPr>
        <w:t>’</w:t>
      </w:r>
      <w:r>
        <w:rPr>
          <w:b w:val="false"/>
          <w:bCs w:val="false"/>
          <w:color w:val="000000"/>
        </w:rPr>
        <w:t>（《共产主义运动中的 “左派” 幼稚病》）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这也发生在一部分工人阶级和一部分党员身上。无论是无产者还是公营企业的干部，都有过着资产阶级生活方式的人。</w:t>
      </w:r>
      <w:r>
        <w:rPr>
          <w:b/>
          <w:bCs/>
          <w:color w:val="FF0000"/>
        </w:rPr>
        <w:t>“列宁说建设没有资本家的资产阶级国家，为了保障资产阶级法权。我们自己就是建设了这样－个国家 ， 跟旧社会差不多 ， 分等级 ， 有八级工资 ， 按劳分配 ， 等价交换。”</w:t>
      </w:r>
      <w:r>
        <w:rPr>
          <w:b w:val="false"/>
          <w:bCs w:val="false"/>
          <w:color w:val="000000"/>
        </w:rPr>
        <w:t>（《毛主席重要指示》，</w:t>
      </w:r>
      <w:r>
        <w:rPr>
          <w:b w:val="false"/>
          <w:bCs w:val="false"/>
          <w:color w:val="000000"/>
        </w:rPr>
        <w:t xml:space="preserve">1975 </w:t>
      </w:r>
      <w:r>
        <w:rPr>
          <w:b w:val="false"/>
          <w:bCs w:val="false"/>
          <w:color w:val="000000"/>
        </w:rPr>
        <w:t xml:space="preserve">年 </w:t>
      </w:r>
      <w:r>
        <w:rPr>
          <w:b w:val="false"/>
          <w:bCs w:val="false"/>
          <w:color w:val="000000"/>
        </w:rPr>
        <w:t xml:space="preserve">10 </w:t>
      </w:r>
      <w:r>
        <w:rPr>
          <w:b w:val="false"/>
          <w:bCs w:val="false"/>
          <w:color w:val="000000"/>
        </w:rPr>
        <w:t xml:space="preserve">月 至 </w:t>
      </w:r>
      <w:r>
        <w:rPr>
          <w:b w:val="false"/>
          <w:bCs w:val="false"/>
          <w:color w:val="000000"/>
        </w:rPr>
        <w:t xml:space="preserve">1976 </w:t>
      </w:r>
      <w:r>
        <w:rPr>
          <w:b w:val="false"/>
          <w:bCs w:val="false"/>
          <w:color w:val="000000"/>
        </w:rPr>
        <w:t xml:space="preserve">年 </w:t>
      </w:r>
      <w:r>
        <w:rPr>
          <w:b w:val="false"/>
          <w:bCs w:val="false"/>
          <w:color w:val="000000"/>
        </w:rPr>
        <w:t xml:space="preserve">1 </w:t>
      </w:r>
      <w:r>
        <w:rPr>
          <w:b w:val="false"/>
          <w:bCs w:val="false"/>
          <w:color w:val="000000"/>
        </w:rPr>
        <w:t>月，《毛泽东全集》第</w:t>
      </w:r>
      <w:r>
        <w:rPr>
          <w:b w:val="false"/>
          <w:bCs w:val="false"/>
          <w:color w:val="000000"/>
        </w:rPr>
        <w:t>52</w:t>
      </w:r>
      <w:r>
        <w:rPr>
          <w:b w:val="false"/>
          <w:bCs w:val="false"/>
          <w:color w:val="000000"/>
        </w:rPr>
        <w:t>卷，第</w:t>
      </w:r>
      <w:r>
        <w:rPr>
          <w:b w:val="false"/>
          <w:bCs w:val="false"/>
          <w:color w:val="000000"/>
        </w:rPr>
        <w:t>68</w:t>
      </w:r>
      <w:r>
        <w:rPr>
          <w:b w:val="false"/>
          <w:bCs w:val="false"/>
          <w:color w:val="000000"/>
        </w:rPr>
        <w:t>页。</w:t>
      </w:r>
      <w:r>
        <w:rPr>
          <w:b w:val="false"/>
          <w:bCs w:val="false"/>
          <w:color w:val="000000"/>
        </w:rPr>
        <w:t>）</w:t>
      </w:r>
    </w:p>
    <w:p>
      <w:pPr>
        <w:pStyle w:val="Normal"/>
        <w:bidi w:val="0"/>
        <w:jc w:val="both"/>
        <w:rPr>
          <w:b w:val="false"/>
          <w:bCs w:val="false"/>
          <w:color w:val="000000"/>
        </w:rPr>
      </w:pPr>
      <w:r>
        <w:rPr>
          <w:b w:val="false"/>
          <w:bCs w:val="false"/>
          <w:color w:val="000000"/>
        </w:rPr>
      </w:r>
    </w:p>
    <w:p>
      <w:pPr>
        <w:pStyle w:val="Normal"/>
        <w:bidi w:val="0"/>
        <w:jc w:val="both"/>
        <w:rPr/>
      </w:pPr>
      <w:r>
        <w:rPr>
          <w:rFonts w:ascii="Noto Serif CJK SC" w:hAnsi="Noto Serif CJK SC" w:eastAsia="Noto Serif CJK SC"/>
          <w:i/>
          <w:iCs/>
          <w:sz w:val="21"/>
          <w:szCs w:val="21"/>
        </w:rPr>
        <w:t>　　</w:t>
      </w:r>
      <w:r>
        <w:rPr/>
        <w:t>这些论点和前几个论点，显然是对马列主义基本原理的延续和发展。毛泽东主席重申马克思和列宁声明的关于旧社会长期革命改造的立场；无产阶级专政的需要和加强，社会主义内部的阶级斗争持续进行并在一定条件下尖锐化，资产阶级法权的坚持和必要的限制，资本主义和资产阶级的不断产生，资本主义通过攀登权力复辟的可能性。此外，他还提出要反对党内的走资派，要在无产阶级专政下继续以文化大革命的方式进行革命。</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“《水浒》 这部书 ， 好就好在投降。做反面教材，使人民都知道投降派。”</w:t>
      </w:r>
      <w:r>
        <w:rPr/>
        <w:t xml:space="preserve"> </w:t>
      </w:r>
      <w:r>
        <w:rPr>
          <w:b/>
          <w:bCs/>
          <w:color w:val="FF0000"/>
        </w:rPr>
        <w:t>“《水浒》只反贪官 ， 不反皇帝 。 屏晁盖于一百零八人之外。 宋江投降 ， 搞修正主义 ，把晁的聚义厅改为忠义堂 ， 让人招安了。 宋江同高俅的斗争，是地主阶级内部这一派反对那一派的斗争。宋江投降了 ， 就去打方腊 。”</w:t>
      </w:r>
      <w:r>
        <w:rPr/>
        <w:t xml:space="preserve"> （《关于 〈水浒〉 的评论》，</w:t>
      </w:r>
      <w:r>
        <w:rPr/>
        <w:t xml:space="preserve">1975 </w:t>
      </w:r>
      <w:r>
        <w:rPr/>
        <w:t xml:space="preserve">年 </w:t>
      </w:r>
      <w:r>
        <w:rPr/>
        <w:t xml:space="preserve">8 </w:t>
      </w:r>
      <w:r>
        <w:rPr/>
        <w:t xml:space="preserve">月 </w:t>
      </w:r>
      <w:r>
        <w:rPr/>
        <w:t xml:space="preserve">14 </w:t>
      </w:r>
      <w:r>
        <w:rPr/>
        <w:t>日，《毛泽东全集》第</w:t>
      </w:r>
      <w:r>
        <w:rPr/>
        <w:t>52</w:t>
      </w:r>
      <w:r>
        <w:rPr/>
        <w:t>卷，第</w:t>
      </w:r>
      <w:r>
        <w:rPr/>
        <w:t>36</w:t>
      </w:r>
      <w:r>
        <w:rPr/>
        <w:t>页。</w:t>
      </w:r>
      <w:r>
        <w:rPr>
          <w:b w:val="false"/>
          <w:bCs w:val="false"/>
          <w:color w:val="000000"/>
        </w:rPr>
        <w:t>晁盖</w:t>
      </w:r>
      <w:r>
        <w:rPr/>
        <w:t>：叙事中农民起义军的创始人；一百零八人：起义军将领；宋江：篡夺起义军领导权的人物；聚义厅是指聚在一起，起义等造反军首领给他们会面的客厅取了这个名字；忠义堂的意思是向皇帝表示效忠，这是篡位者使用的一种恶意名称）。</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毛主席在文中说：</w:t>
      </w:r>
      <w:r>
        <w:rPr>
          <w:b/>
          <w:bCs/>
          <w:color w:val="FF0000"/>
        </w:rPr>
        <w:t>“民主革命后，工人、贫下中农没有停止，他们要革命。而一部分党员却不想前进了，有些人后退了，反对革命了。为什么呢？作了大官了，要保护大官们的利益。”</w:t>
      </w:r>
      <w:r>
        <w:rPr>
          <w:b w:val="false"/>
          <w:bCs w:val="false"/>
          <w:i w:val="false"/>
          <w:iCs w:val="false"/>
          <w:color w:val="000000"/>
        </w:rPr>
        <w:t>（《毛主席重要指示》，</w:t>
      </w:r>
      <w:r>
        <w:rPr>
          <w:b w:val="false"/>
          <w:bCs w:val="false"/>
          <w:i w:val="false"/>
          <w:iCs w:val="false"/>
          <w:color w:val="000000"/>
        </w:rPr>
        <w:t xml:space="preserve">1975 </w:t>
      </w:r>
      <w:r>
        <w:rPr>
          <w:b w:val="false"/>
          <w:bCs w:val="false"/>
          <w:i w:val="false"/>
          <w:iCs w:val="false"/>
          <w:color w:val="000000"/>
        </w:rPr>
        <w:t xml:space="preserve">年 </w:t>
      </w:r>
      <w:r>
        <w:rPr>
          <w:b w:val="false"/>
          <w:bCs w:val="false"/>
          <w:i w:val="false"/>
          <w:iCs w:val="false"/>
          <w:color w:val="000000"/>
        </w:rPr>
        <w:t xml:space="preserve">10 </w:t>
      </w:r>
      <w:r>
        <w:rPr>
          <w:b w:val="false"/>
          <w:bCs w:val="false"/>
          <w:i w:val="false"/>
          <w:iCs w:val="false"/>
          <w:color w:val="000000"/>
        </w:rPr>
        <w:t xml:space="preserve">月 至 </w:t>
      </w:r>
      <w:r>
        <w:rPr>
          <w:b w:val="false"/>
          <w:bCs w:val="false"/>
          <w:i w:val="false"/>
          <w:iCs w:val="false"/>
          <w:color w:val="000000"/>
        </w:rPr>
        <w:t xml:space="preserve">1976 </w:t>
      </w:r>
      <w:r>
        <w:rPr>
          <w:b w:val="false"/>
          <w:bCs w:val="false"/>
          <w:i w:val="false"/>
          <w:iCs w:val="false"/>
          <w:color w:val="000000"/>
        </w:rPr>
        <w:t xml:space="preserve">年 </w:t>
      </w:r>
      <w:r>
        <w:rPr>
          <w:b w:val="false"/>
          <w:bCs w:val="false"/>
          <w:i w:val="false"/>
          <w:iCs w:val="false"/>
          <w:color w:val="000000"/>
        </w:rPr>
        <w:t xml:space="preserve">1 </w:t>
      </w:r>
      <w:r>
        <w:rPr>
          <w:b w:val="false"/>
          <w:bCs w:val="false"/>
          <w:i w:val="false"/>
          <w:iCs w:val="false"/>
          <w:color w:val="000000"/>
        </w:rPr>
        <w:t>月，《毛泽东全集》第</w:t>
      </w:r>
      <w:r>
        <w:rPr>
          <w:b w:val="false"/>
          <w:bCs w:val="false"/>
          <w:i w:val="false"/>
          <w:iCs w:val="false"/>
          <w:color w:val="000000"/>
        </w:rPr>
        <w:t>52</w:t>
      </w:r>
      <w:r>
        <w:rPr>
          <w:b w:val="false"/>
          <w:bCs w:val="false"/>
          <w:i w:val="false"/>
          <w:iCs w:val="false"/>
          <w:color w:val="000000"/>
        </w:rPr>
        <w:t>卷，第</w:t>
      </w:r>
      <w:r>
        <w:rPr>
          <w:b w:val="false"/>
          <w:bCs w:val="false"/>
          <w:i w:val="false"/>
          <w:iCs w:val="false"/>
          <w:color w:val="000000"/>
        </w:rPr>
        <w:t>68</w:t>
      </w:r>
      <w:r>
        <w:rPr>
          <w:b w:val="false"/>
          <w:bCs w:val="false"/>
          <w:i w:val="false"/>
          <w:iCs w:val="false"/>
          <w:color w:val="000000"/>
        </w:rPr>
        <w:t>页。</w:t>
      </w:r>
      <w:r>
        <w:rPr>
          <w:b w:val="false"/>
          <w:bCs w:val="false"/>
          <w:i w:val="false"/>
          <w:i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“社会主义革命革到自己头上了 ， 合作化时党内就有人反对 ， 批资产阶级法权他们有反感 。 搞社会主义革命，不知道资产阶级在哪里 ， 就在共产党内，党内走资本主义道路的当权派 。 走资派还在走。”</w:t>
      </w:r>
      <w:r>
        <w:rPr>
          <w:b w:val="false"/>
          <w:bCs w:val="false"/>
          <w:color w:val="000000"/>
        </w:rPr>
        <w:t>（同上，第</w:t>
      </w:r>
      <w:r>
        <w:rPr>
          <w:b w:val="false"/>
          <w:bCs w:val="false"/>
          <w:color w:val="000000"/>
        </w:rPr>
        <w:t>68-69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“翻案不得人心。”</w:t>
      </w:r>
      <w:r>
        <w:rPr/>
        <w:t xml:space="preserve"> （《红旗》杂志，</w:t>
      </w:r>
      <w:r>
        <w:rPr/>
        <w:t>1976</w:t>
      </w:r>
      <w:r>
        <w:rPr/>
        <w:t>年第</w:t>
      </w:r>
      <w:r>
        <w:rPr/>
        <w:t>3</w:t>
      </w:r>
      <w:r>
        <w:rPr/>
        <w:t>期，总</w:t>
      </w:r>
      <w:r>
        <w:rPr/>
        <w:t>197</w:t>
      </w:r>
      <w:r>
        <w:rPr/>
        <w:t>页，第</w:t>
      </w:r>
      <w:r>
        <w:rPr/>
        <w:t>11</w:t>
      </w:r>
      <w:r>
        <w:rPr/>
        <w:t>页。</w:t>
      </w:r>
      <w:r>
        <w:rPr/>
        <w:t>）</w:t>
      </w:r>
      <w:r>
        <w:rPr>
          <w:b/>
          <w:bCs/>
          <w:color w:val="FF0000"/>
        </w:rPr>
        <w:t>“不斗争就不能进步。” “八亿人口，不斗行吗？！”</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6</w:t>
      </w:r>
      <w:r>
        <w:rPr>
          <w:b w:val="false"/>
          <w:bCs w:val="false"/>
          <w:color w:val="000000"/>
        </w:rPr>
        <w:t>页。</w:t>
      </w:r>
      <w:r>
        <w:rPr>
          <w:b w:val="false"/>
          <w:bCs w:val="false"/>
          <w:color w:val="000000"/>
        </w:rPr>
        <w:t>）</w:t>
      </w:r>
      <w:r>
        <w:rPr/>
        <w:t xml:space="preserve"> </w:t>
      </w:r>
      <w:r>
        <w:rPr>
          <w:b/>
          <w:bCs/>
          <w:color w:val="FF0000"/>
        </w:rPr>
        <w:t>“什么‘三项指示为纲’，安定团结不是不要阶级斗争。阶级斗争是纲，其余都是目。”</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“他这个人是不抓阶级斗争的，历来不提这个纲。还是“白猫、黑猫”啊，不管是帝国主义还是马克思主义。”</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5</w:t>
      </w:r>
      <w:r>
        <w:rPr>
          <w:b w:val="false"/>
          <w:bCs w:val="false"/>
          <w:color w:val="000000"/>
        </w:rPr>
        <w:t>页。</w:t>
      </w:r>
      <w:r>
        <w:rPr>
          <w:b w:val="false"/>
          <w:bCs w:val="false"/>
          <w:color w:val="000000"/>
        </w:rPr>
        <w:t>）</w:t>
      </w:r>
      <w:r>
        <w:rPr/>
        <w:t>这样，斗争的中心就是反对邓小平，反对他追随中国赫鲁晓夫刘少奇的阶级斗争熄灭论；</w:t>
      </w:r>
      <w:r>
        <w:rPr/>
        <w:t>1956</w:t>
      </w:r>
      <w:r>
        <w:rPr/>
        <w:t>年他在中共八大修改章程的报告中认为，阶级，特别是资产阶级已经消灭，社会主义革命的大部分任务已经完成，他们应该不强调阶级斗争，而强调建设任务；他在同一份报告中追随刘少奇的群众理论，反对毛主席的党论；支持在苏联二十次党代表大会上攻击无产阶级专政的赫鲁晓夫，伪装成所谓反对“个人崇拜”的斗争，认为这次代表大会具有“重要功绩”，对他来说恰恰是“一个最重要的功德”是他用来对抗毛泽东主席的“反神化”。</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无产阶级文化大革命、反击右倾翻案风的运动，以反击邓小平为中心。反对在</w:t>
      </w:r>
      <w:r>
        <w:rPr/>
        <w:t>1959</w:t>
      </w:r>
      <w:r>
        <w:rPr/>
        <w:t>年被刘少奇及其反动指挥部制裁和捍卫的彭德怀的顽强捍卫者，篡权者和阴谋家军事首脑；它针对的是邓小平，他在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反对他鼓吹增加自留地、自由市场、企业自负盈亏、农业生产包户到户，掀起了农业劳动个人主义的修正主义风潮。反对毛主席的人说：“</w:t>
      </w:r>
      <w:r>
        <w:rPr>
          <w:rStyle w:val="Emphasis"/>
          <w:i w:val="false"/>
          <w:iCs w:val="false"/>
        </w:rPr>
        <w:t>不管黑猫白猫</w:t>
      </w:r>
      <w:r>
        <w:rPr>
          <w:i w:val="false"/>
          <w:iCs w:val="false"/>
        </w:rPr>
        <w:t>，能捉</w:t>
      </w:r>
      <w:r>
        <w:rPr>
          <w:rStyle w:val="Emphasis"/>
          <w:i w:val="false"/>
          <w:iCs w:val="false"/>
        </w:rPr>
        <w:t>到老鼠就是好猫</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这就是</w:t>
      </w:r>
      <w:r>
        <w:rPr/>
        <w:t>1950</w:t>
      </w:r>
      <w:r>
        <w:rPr/>
        <w:t>、</w:t>
      </w:r>
      <w:r>
        <w:rPr/>
        <w:t>60</w:t>
      </w:r>
      <w:r>
        <w:rPr/>
        <w:t>年代的邓小平，典型的“又一个掌握权力的党内走资派”，刘少奇的副手，担任总书记，被无产阶级文化大革命推翻。毛主席领导的反击右倾翻案风的斗争，是针对邓小平的，邓小平从</w:t>
      </w:r>
      <w:r>
        <w:rPr/>
        <w:t>50</w:t>
      </w:r>
      <w:r>
        <w:rPr/>
        <w:t>年代开始就搞反革命纲领，一回到领导岗位上就和其他人一样，继续走老路，重新发展反革命纲领。以“三项指示为纲”，以“打好思想阵地，形成舆论”为目标，“首先考虑领导班子”，抢占组织阵地，“他们在各个方面进行了整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是一个以取消文革、篡权复辟、破坏无产阶级专政、揭示阶级斗争熄灭论、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这场反击右倾翻案风的斗争导致了</w:t>
      </w:r>
      <w:r>
        <w:rPr>
          <w:b/>
          <w:bCs/>
          <w:color w:val="FF0000"/>
        </w:rPr>
        <w:t>“</w:t>
      </w:r>
      <w:r>
        <w:rPr>
          <w:rStyle w:val="Emphasis"/>
          <w:b/>
          <w:bCs/>
          <w:i w:val="false"/>
          <w:iCs w:val="false"/>
          <w:color w:val="FF0000"/>
        </w:rPr>
        <w:t>根据伟大领袖毛主席提议</w:t>
      </w:r>
      <w:r>
        <w:rPr>
          <w:b/>
          <w:bCs/>
          <w:i w:val="false"/>
          <w:iCs w:val="false"/>
          <w:color w:val="FF0000"/>
        </w:rPr>
        <w:t>，政治局一致通过，撤销</w:t>
      </w:r>
      <w:r>
        <w:rPr>
          <w:rStyle w:val="Emphasis"/>
          <w:b/>
          <w:bCs/>
          <w:i w:val="false"/>
          <w:iCs w:val="false"/>
          <w:color w:val="FF0000"/>
        </w:rPr>
        <w:t>邓小平党内外一切职务</w:t>
      </w:r>
      <w:r>
        <w:rPr>
          <w:b/>
          <w:bCs/>
          <w:color w:val="FF0000"/>
        </w:rPr>
        <w:t>”</w:t>
      </w:r>
      <w:r>
        <w:rPr>
          <w:b w:val="false"/>
          <w:bCs w:val="false"/>
          <w:color w:val="000000"/>
        </w:rPr>
        <w:t>（新华社</w:t>
      </w:r>
      <w:r>
        <w:rPr>
          <w:b w:val="false"/>
          <w:bCs w:val="false"/>
          <w:color w:val="000000"/>
        </w:rPr>
        <w:t>1976</w:t>
      </w:r>
      <w:r>
        <w:rPr>
          <w:b w:val="false"/>
          <w:bCs w:val="false"/>
          <w:color w:val="000000"/>
        </w:rPr>
        <w:t>年</w:t>
      </w:r>
      <w:r>
        <w:rPr>
          <w:b w:val="false"/>
          <w:bCs w:val="false"/>
          <w:color w:val="000000"/>
        </w:rPr>
        <w:t>4</w:t>
      </w:r>
      <w:r>
        <w:rPr>
          <w:b w:val="false"/>
          <w:bCs w:val="false"/>
          <w:color w:val="000000"/>
        </w:rPr>
        <w:t>月</w:t>
      </w:r>
      <w:r>
        <w:rPr>
          <w:b w:val="false"/>
          <w:bCs w:val="false"/>
          <w:color w:val="000000"/>
        </w:rPr>
        <w:t>7</w:t>
      </w:r>
      <w:r>
        <w:rPr>
          <w:b w:val="false"/>
          <w:bCs w:val="false"/>
          <w:color w:val="000000"/>
        </w:rPr>
        <w:t>日讯，载</w:t>
      </w:r>
      <w:r>
        <w:rPr>
          <w:b w:val="false"/>
          <w:bCs w:val="false"/>
          <w:color w:val="000000"/>
        </w:rPr>
        <w:t>4</w:t>
      </w:r>
      <w:r>
        <w:rPr>
          <w:b w:val="false"/>
          <w:bCs w:val="false"/>
          <w:color w:val="000000"/>
        </w:rPr>
        <w:t>月</w:t>
      </w:r>
      <w:r>
        <w:rPr>
          <w:b w:val="false"/>
          <w:bCs w:val="false"/>
          <w:color w:val="000000"/>
        </w:rPr>
        <w:t>8</w:t>
      </w:r>
      <w:r>
        <w:rPr>
          <w:b w:val="false"/>
          <w:bCs w:val="false"/>
          <w:color w:val="000000"/>
        </w:rPr>
        <w:t>日《人民日报》 ）</w:t>
      </w:r>
      <w:r>
        <w:rPr/>
        <w:t>的决议。毛泽东主席的逝世，就像无产阶级一切伟大领袖的逝世那样，以及在中国开展斗争的条件下，在中国乃至世界引起了深刻的轰动和广泛的反响。它为右派发动政变，篡夺无产阶级专政政权提供了条件。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要而巨大的变化；同时，暂停对邓小平修正主义右倾翻案风的批判运动；无产阶级文化大革命受到公开质疑；投降运动，特别是民族投降运动，高举邓小平反革命纲领的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这一切无非是趁着毛泽东主席逝世的余波，在继续革命时期两条路线尖锐斗争中的右派政变。在中国出现的情况并不是一个不重要的问题。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苏联复辟和篡权的经验，是我们不能忘记的近期教训。马里亚特吉教导我们：</w:t>
      </w:r>
      <w:r>
        <w:rPr>
          <w:b/>
          <w:bCs/>
        </w:rPr>
        <w:t>“一个民族在时空上占据如此重要的地位，我们不可能对它的命运无动于衷。中国人是人类历史上的重量级人物，我们为什么不要被它的行为和它的人所吸引？”</w:t>
      </w:r>
      <w:r>
        <w:rPr/>
        <w:t>这个伟大的真理今天比以往任何时候都更适用于该国的所有共产党人和革命者。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但是，尽管在中国发生的事件，尤其是在毛泽东主席去世之后，使我们有了一个公正的关注，并有责任保卫马克思主义的旗帜，但正是为了能够保卫他们，让我们以他自己的预测为指导：</w:t>
      </w:r>
      <w:r>
        <w:rPr>
          <w:b/>
          <w:bCs/>
          <w:color w:val="FF0000"/>
        </w:rPr>
        <w:t>“中国如发生反共的右派政变，我断定他们也是不得安宁的 ， 很可能是短命的，因为代表百分之九十以上人民利益的一切革命者是不会容忍的 。”</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48</w:t>
      </w:r>
      <w:r>
        <w:rPr>
          <w:b w:val="false"/>
          <w:bCs w:val="false"/>
          <w:color w:val="000000"/>
        </w:rPr>
        <w:t>卷，第</w:t>
      </w:r>
      <w:r>
        <w:rPr>
          <w:b w:val="false"/>
          <w:bCs w:val="false"/>
          <w:color w:val="000000"/>
        </w:rPr>
        <w:t>379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“不论在中国 ， 在世界各国 ， 总而言之，百分之九十以上的人终究是会拥护马克思列宁主义的 。 在世界上，现在还有许多人， 在社会民主党的欺骗之下，在修正主义的欺骗之下 ， 在帝国主义的欺骗之下，在各国反动派的欺骗之下 ，他们还不觉悟 。 但是，他们总会逐步地觉悟过来，总会拥护马克思列宁主义 。 马克思列宁主义这个真理，是不可抗拒的 。 人民群众总是要革命的 。 世界革命总是要胜利的 。”</w:t>
      </w:r>
      <w:r>
        <w:rPr>
          <w:b w:val="false"/>
          <w:bCs w:val="false"/>
          <w:color w:val="000000"/>
        </w:rPr>
        <w:t>（《在扩大的中央工作会议上的讲话》，</w:t>
      </w:r>
      <w:r>
        <w:rPr>
          <w:b w:val="false"/>
          <w:bCs w:val="false"/>
          <w:color w:val="000000"/>
        </w:rPr>
        <w:t xml:space="preserve">1962 </w:t>
      </w:r>
      <w:r>
        <w:rPr>
          <w:b w:val="false"/>
          <w:bCs w:val="false"/>
          <w:color w:val="000000"/>
        </w:rPr>
        <w:t xml:space="preserve">年 </w:t>
      </w:r>
      <w:r>
        <w:rPr>
          <w:b w:val="false"/>
          <w:bCs w:val="false"/>
          <w:color w:val="000000"/>
        </w:rPr>
        <w:t xml:space="preserve">1 </w:t>
      </w:r>
      <w:r>
        <w:rPr>
          <w:b w:val="false"/>
          <w:bCs w:val="false"/>
          <w:color w:val="000000"/>
        </w:rPr>
        <w:t xml:space="preserve">月 </w:t>
      </w:r>
      <w:r>
        <w:rPr>
          <w:b w:val="false"/>
          <w:bCs w:val="false"/>
          <w:color w:val="000000"/>
        </w:rPr>
        <w:t xml:space="preserve">30 </w:t>
      </w:r>
      <w:r>
        <w:rPr>
          <w:b w:val="false"/>
          <w:bCs w:val="false"/>
          <w:color w:val="000000"/>
        </w:rPr>
        <w:t>日，《毛泽东全集》第</w:t>
      </w:r>
      <w:r>
        <w:rPr>
          <w:b w:val="false"/>
          <w:bCs w:val="false"/>
          <w:color w:val="000000"/>
        </w:rPr>
        <w:t>45</w:t>
      </w:r>
      <w:r>
        <w:rPr>
          <w:b w:val="false"/>
          <w:bCs w:val="false"/>
          <w:color w:val="000000"/>
        </w:rPr>
        <w:t>卷，第</w:t>
      </w:r>
      <w:r>
        <w:rPr>
          <w:b w:val="false"/>
          <w:bCs w:val="false"/>
          <w:color w:val="000000"/>
        </w:rPr>
        <w:t>47-48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（秘鲁共产党机关刊物《红旗》第</w:t>
      </w:r>
      <w:r>
        <w:rPr/>
        <w:t>47/48</w:t>
      </w:r>
      <w:r>
        <w:rPr/>
        <w:t>号，</w:t>
      </w:r>
      <w:r>
        <w:rPr/>
        <w:t>1977</w:t>
      </w:r>
      <w:r>
        <w:rPr/>
        <w:t>年</w:t>
      </w:r>
      <w:r>
        <w:rPr/>
        <w:t>10</w:t>
      </w:r>
      <w:r>
        <w:rPr/>
        <w:t>月，秘鲁共产党于</w:t>
      </w:r>
      <w:r>
        <w:rPr/>
        <w:t>1987</w:t>
      </w:r>
      <w:r>
        <w:rPr/>
        <w:t>年重新分发）</w:t>
      </w:r>
    </w:p>
    <w:p>
      <w:pPr>
        <w:pStyle w:val="Normal"/>
        <w:bidi w:val="0"/>
        <w:jc w:val="both"/>
        <w:rPr/>
      </w:pPr>
      <w:r>
        <w:rPr/>
        <w:t>——————————</w:t>
      </w:r>
      <w:r>
        <w:br w:type="page"/>
      </w:r>
    </w:p>
    <w:p>
      <w:pPr>
        <w:pStyle w:val="Heading1"/>
        <w:jc w:val="center"/>
        <w:rPr/>
      </w:pPr>
      <w:r>
        <w:rPr/>
        <w:t>1978</w:t>
      </w:r>
      <w:r>
        <w:rPr/>
        <w:t xml:space="preserve">年 </w:t>
      </w:r>
      <w:r>
        <w:rPr/>
        <w:t xml:space="preserve">- </w:t>
      </w:r>
      <w:r>
        <w:rPr/>
        <w:t>反对宪政幻想，争取新民主主义国家</w:t>
      </w:r>
    </w:p>
    <w:p>
      <w:pPr>
        <w:pStyle w:val="Heading2"/>
        <w:jc w:val="center"/>
        <w:rPr/>
      </w:pPr>
      <w:r>
        <w:rPr/>
        <w:t>内容</w:t>
      </w:r>
    </w:p>
    <w:p>
      <w:pPr>
        <w:pStyle w:val="Heading3"/>
        <w:jc w:val="center"/>
        <w:rPr/>
      </w:pPr>
      <w:r>
        <w:rPr/>
        <w:t>总一、</w:t>
      </w:r>
      <w:r>
        <w:rPr/>
        <w:t>反对宪政幻想，争取新民主主义国家</w:t>
      </w:r>
    </w:p>
    <w:p>
      <w:pPr>
        <w:pStyle w:val="Heading3"/>
        <w:jc w:val="center"/>
        <w:rPr/>
      </w:pPr>
      <w:r>
        <w:rPr/>
        <w:t>一、</w:t>
      </w:r>
      <w:r>
        <w:rPr/>
        <w:t>基本问题：国家、暴力和选举</w:t>
      </w:r>
    </w:p>
    <w:p>
      <w:pPr>
        <w:pStyle w:val="Heading4"/>
        <w:jc w:val="center"/>
        <w:rPr/>
      </w:pPr>
      <w:r>
        <w:rPr/>
        <w:t>1</w:t>
      </w:r>
      <w:r>
        <w:rPr/>
        <w:t xml:space="preserve"> </w:t>
      </w:r>
      <w:r>
        <w:rPr/>
        <w:t>关于国家</w:t>
      </w:r>
    </w:p>
    <w:p>
      <w:pPr>
        <w:pStyle w:val="Heading4"/>
        <w:jc w:val="center"/>
        <w:rPr/>
      </w:pPr>
      <w:r>
        <w:rPr/>
        <w:t>2</w:t>
      </w:r>
      <w:r>
        <w:rPr/>
        <w:t xml:space="preserve"> </w:t>
      </w:r>
      <w:r>
        <w:rPr/>
        <w:t>关于暴力</w:t>
      </w:r>
    </w:p>
    <w:p>
      <w:pPr>
        <w:pStyle w:val="Heading4"/>
        <w:jc w:val="center"/>
        <w:rPr/>
      </w:pPr>
      <w:r>
        <w:rPr/>
        <w:t>3</w:t>
      </w:r>
      <w:r>
        <w:rPr/>
        <w:t xml:space="preserve"> </w:t>
      </w:r>
      <w:r>
        <w:rPr/>
        <w:t>关于选举</w:t>
      </w:r>
    </w:p>
    <w:p>
      <w:pPr>
        <w:pStyle w:val="Heading3"/>
        <w:jc w:val="center"/>
        <w:rPr/>
      </w:pPr>
      <w:r>
        <w:rPr/>
        <w:t>二、</w:t>
      </w:r>
      <w:r>
        <w:rPr/>
        <w:t>当前时期</w:t>
      </w:r>
    </w:p>
    <w:p>
      <w:pPr>
        <w:pStyle w:val="Heading4"/>
        <w:jc w:val="center"/>
        <w:rPr/>
      </w:pPr>
      <w:r>
        <w:rPr/>
        <w:t>1</w:t>
      </w:r>
      <w:r>
        <w:rPr/>
        <w:t xml:space="preserve"> </w:t>
      </w:r>
      <w:r>
        <w:rPr/>
        <w:t>经济形势和危机</w:t>
      </w:r>
    </w:p>
    <w:p>
      <w:pPr>
        <w:pStyle w:val="Heading3"/>
        <w:jc w:val="center"/>
        <w:rPr/>
      </w:pPr>
      <w:r>
        <w:rPr/>
        <w:t>三、</w:t>
      </w:r>
      <w:r>
        <w:rPr/>
        <w:t>政治形势与人民的道路</w:t>
      </w:r>
    </w:p>
    <w:p>
      <w:pPr>
        <w:pStyle w:val="Heading4"/>
        <w:jc w:val="center"/>
        <w:rPr/>
      </w:pPr>
      <w:r>
        <w:rPr/>
        <w:t>1</w:t>
      </w:r>
      <w:r>
        <w:rPr/>
        <w:t xml:space="preserve"> </w:t>
      </w:r>
      <w:r>
        <w:rPr/>
        <w:t>关于阶级的融合；反动阵营的派别和党派</w:t>
      </w:r>
    </w:p>
    <w:p>
      <w:pPr>
        <w:pStyle w:val="Heading4"/>
        <w:jc w:val="center"/>
        <w:rPr/>
      </w:pPr>
      <w:r>
        <w:rPr/>
        <w:t>2</w:t>
      </w:r>
      <w:r>
        <w:rPr/>
        <w:t xml:space="preserve"> </w:t>
      </w:r>
      <w:r>
        <w:rPr/>
        <w:t>关于选举中的机会主义路线</w:t>
      </w:r>
    </w:p>
    <w:p>
      <w:pPr>
        <w:pStyle w:val="Heading4"/>
        <w:jc w:val="center"/>
        <w:rPr/>
      </w:pPr>
      <w:r>
        <w:rPr/>
        <w:t>3</w:t>
      </w:r>
      <w:r>
        <w:rPr/>
        <w:t xml:space="preserve"> </w:t>
      </w:r>
      <w:r>
        <w:rPr/>
        <w:t>在人民的道路上</w:t>
      </w:r>
    </w:p>
    <w:p>
      <w:pPr>
        <w:pStyle w:val="Heading2"/>
        <w:jc w:val="center"/>
        <w:rPr/>
      </w:pPr>
      <w:r>
        <w:rPr/>
        <w:t>总一、</w:t>
      </w:r>
      <w:r>
        <w:rPr/>
        <w:t>反对宪政幻想，争取新民主主义国家</w:t>
      </w:r>
    </w:p>
    <w:p>
      <w:pPr>
        <w:pStyle w:val="Normal"/>
        <w:bidi w:val="0"/>
        <w:jc w:val="both"/>
        <w:rPr/>
      </w:pPr>
      <w:r>
        <w:rPr>
          <w:rFonts w:ascii="Noto Serif CJK SC" w:hAnsi="Noto Serif CJK SC" w:eastAsia="Noto Serif CJK SC"/>
          <w:i/>
          <w:iCs/>
          <w:sz w:val="21"/>
          <w:szCs w:val="21"/>
        </w:rPr>
        <w:t>　　</w:t>
      </w: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w:t>
      </w:r>
      <w:r>
        <w:rPr/>
        <w:t>1933</w:t>
      </w:r>
      <w:r>
        <w:rPr/>
        <w:t>年宪法宪章和大选，根据该政权的图帕克</w:t>
      </w:r>
      <w:r>
        <w:rPr/>
        <w:t>·</w:t>
      </w:r>
      <w:r>
        <w:rPr/>
        <w:t>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Heading2"/>
        <w:jc w:val="center"/>
        <w:rPr/>
      </w:pPr>
      <w:r>
        <w:rPr/>
        <w:t>一、</w:t>
      </w:r>
      <w:r>
        <w:rPr/>
        <w:t>基本问题：国家、暴力和选举</w:t>
      </w:r>
    </w:p>
    <w:p>
      <w:pPr>
        <w:pStyle w:val="Normal"/>
        <w:bidi w:val="0"/>
        <w:jc w:val="both"/>
        <w:rPr/>
      </w:pPr>
      <w:r>
        <w:rPr>
          <w:rFonts w:ascii="Noto Serif CJK SC" w:hAnsi="Noto Serif CJK SC" w:eastAsia="Noto Serif CJK SC"/>
          <w:i/>
          <w:iCs/>
          <w:sz w:val="21"/>
          <w:szCs w:val="21"/>
        </w:rPr>
        <w:t>　　</w:t>
      </w:r>
      <w:r>
        <w:rPr/>
        <w:t>对当前形势的分析必须基于工人阶级的根本问题，这些问题通过工人阶级并根据马克思主义已经在我国得到确立和证明。</w:t>
      </w:r>
    </w:p>
    <w:p>
      <w:pPr>
        <w:pStyle w:val="Heading3"/>
        <w:jc w:val="center"/>
        <w:rPr/>
      </w:pPr>
      <w:r>
        <w:rPr/>
        <w:t>1</w:t>
      </w:r>
      <w:r>
        <w:rPr/>
        <w:t xml:space="preserve"> </w:t>
      </w:r>
      <w:r>
        <w:rPr/>
        <w:t>关于国家</w:t>
      </w:r>
    </w:p>
    <w:p>
      <w:pPr>
        <w:pStyle w:val="Normal"/>
        <w:bidi w:val="0"/>
        <w:jc w:val="both"/>
        <w:rPr/>
      </w:pPr>
      <w:r>
        <w:rPr>
          <w:rFonts w:ascii="Noto Serif CJK SC" w:hAnsi="Noto Serif CJK SC" w:eastAsia="Noto Serif CJK SC"/>
          <w:i/>
          <w:iCs/>
          <w:sz w:val="21"/>
          <w:szCs w:val="21"/>
        </w:rPr>
        <w:t>　　</w:t>
      </w: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Heading3"/>
        <w:jc w:val="center"/>
        <w:rPr/>
      </w:pPr>
      <w:r>
        <w:rPr/>
        <w:t>2</w:t>
      </w:r>
      <w:r>
        <w:rPr/>
        <w:t xml:space="preserve"> </w:t>
      </w:r>
      <w:r>
        <w:rPr/>
        <w:t>关于暴力</w:t>
      </w:r>
    </w:p>
    <w:p>
      <w:pPr>
        <w:pStyle w:val="Normal"/>
        <w:bidi w:val="0"/>
        <w:jc w:val="both"/>
        <w:rPr/>
      </w:pPr>
      <w:r>
        <w:rPr>
          <w:rFonts w:ascii="Noto Serif CJK SC" w:hAnsi="Noto Serif CJK SC" w:eastAsia="Noto Serif CJK SC"/>
          <w:i/>
          <w:iCs/>
          <w:sz w:val="21"/>
          <w:szCs w:val="21"/>
        </w:rPr>
        <w:t>　　</w:t>
      </w: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项，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然而，暴力不仅是反动的。还有来自人民的革命暴力，动员农民在无产阶级的领导下产生了共产党领导的人民军队。正是暴力在农村兴起，并发展了一场人民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专制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我们历史上的革命暴力在无产阶级统治下达到了一个新的高度，在马里亚特吉和他的政党中恢复了。就这样，在秘鲁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Heading3"/>
        <w:jc w:val="center"/>
        <w:rPr/>
      </w:pPr>
      <w:r>
        <w:rPr/>
        <w:t>3</w:t>
      </w:r>
      <w:r>
        <w:rPr/>
        <w:t xml:space="preserve"> </w:t>
      </w:r>
      <w:r>
        <w:rPr/>
        <w:t>关于选举</w:t>
      </w:r>
    </w:p>
    <w:p>
      <w:pPr>
        <w:pStyle w:val="Normal"/>
        <w:bidi w:val="0"/>
        <w:jc w:val="both"/>
        <w:rPr/>
      </w:pPr>
      <w:r>
        <w:rPr>
          <w:rFonts w:ascii="Noto Serif CJK SC" w:hAnsi="Noto Serif CJK SC" w:eastAsia="Noto Serif CJK SC"/>
          <w:i/>
          <w:iCs/>
          <w:sz w:val="21"/>
          <w:szCs w:val="21"/>
        </w:rPr>
        <w:t>　　</w:t>
      </w:r>
      <w:r>
        <w:rPr/>
        <w:t>马克思指出：</w:t>
      </w:r>
      <w:r>
        <w:rPr>
          <w:b/>
          <w:bCs/>
        </w:rPr>
        <w:t>“为了每三年或六年决定一次， 究竟由统治阶级中的什么人在议会里代表和压迫人民”</w:t>
      </w:r>
      <w:r>
        <w:rPr/>
        <w:t>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封建地主和大资本家选举服务的工具，无论是周期性的更新，就像最近在哥伦比亚所做的那样，还是结束军政府，例如在阿根廷。</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国家是土地所有制和官僚主义国家。它是美帝国主义控制下的封建地主和大资产阶级的专政。与此相反，人民的斗争必须摧毁现有的旧秩序，以建立一个新民主主义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w:t>
      </w:r>
    </w:p>
    <w:p>
      <w:pPr>
        <w:pStyle w:val="Heading2"/>
        <w:jc w:val="center"/>
        <w:rPr/>
      </w:pPr>
      <w:r>
        <w:rPr/>
        <w:t>二、</w:t>
      </w:r>
      <w:r>
        <w:rPr/>
        <w:t>当前时期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这个问题需要分析两个问题：国家的经济形势和危机，以及秘鲁国家的第三次改组。</w:t>
      </w:r>
    </w:p>
    <w:p>
      <w:pPr>
        <w:pStyle w:val="Heading3"/>
        <w:jc w:val="center"/>
        <w:rPr/>
      </w:pPr>
      <w:r>
        <w:rPr/>
        <w:t>1</w:t>
      </w:r>
      <w:r>
        <w:rPr/>
        <w:t xml:space="preserve"> </w:t>
      </w:r>
      <w:r>
        <w:rPr/>
        <w:t>经济形势和危机</w:t>
      </w:r>
    </w:p>
    <w:p>
      <w:pPr>
        <w:pStyle w:val="Normal"/>
        <w:bidi w:val="0"/>
        <w:jc w:val="both"/>
        <w:rPr/>
      </w:pPr>
      <w:r>
        <w:rPr>
          <w:rFonts w:ascii="Noto Serif CJK SC" w:hAnsi="Noto Serif CJK SC" w:eastAsia="Noto Serif CJK SC"/>
          <w:i/>
          <w:iCs/>
          <w:sz w:val="21"/>
          <w:szCs w:val="21"/>
        </w:rPr>
        <w:t>　　</w:t>
      </w: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著。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b/>
          <w:bCs/>
        </w:rPr>
      </w:pPr>
      <w:r>
        <w:rPr>
          <w:b/>
          <w:bCs/>
        </w:rPr>
        <w:t>土地分布，</w:t>
      </w:r>
      <w:r>
        <w:rPr>
          <w:b/>
          <w:bCs/>
        </w:rPr>
        <w:t>1961-1972</w:t>
      </w:r>
      <w:r>
        <w:rPr>
          <w:b/>
          <w:bCs/>
        </w:rPr>
        <w:t>年面积比较（公顷）</w:t>
      </w:r>
    </w:p>
    <w:p>
      <w:pPr>
        <w:pStyle w:val="Normal"/>
        <w:bidi w:val="0"/>
        <w:jc w:val="both"/>
        <w:rPr/>
      </w:pPr>
      <w:r>
        <w:rPr/>
      </w:r>
    </w:p>
    <w:tbl>
      <w:tblPr>
        <w:tblW w:w="5000" w:type="pct"/>
        <w:jc w:val="left"/>
        <w:tblInd w:w="-5" w:type="dxa"/>
        <w:tblLayout w:type="fixed"/>
        <w:tblCellMar>
          <w:top w:w="55" w:type="dxa"/>
          <w:left w:w="55" w:type="dxa"/>
          <w:bottom w:w="55" w:type="dxa"/>
          <w:right w:w="55" w:type="dxa"/>
        </w:tblCellMar>
      </w:tblPr>
      <w:tblGrid>
        <w:gridCol w:w="1605"/>
        <w:gridCol w:w="1605"/>
        <w:gridCol w:w="1605"/>
        <w:gridCol w:w="1605"/>
        <w:gridCol w:w="1605"/>
        <w:gridCol w:w="1605"/>
      </w:tblGrid>
      <w:tr>
        <w:trPr/>
        <w:tc>
          <w:tcPr>
            <w:tcW w:w="3210" w:type="dxa"/>
            <w:gridSpan w:val="2"/>
            <w:tcBorders>
              <w:top w:val="single" w:sz="4" w:space="0" w:color="000000"/>
              <w:left w:val="single" w:sz="4" w:space="0" w:color="000000"/>
              <w:bottom w:val="single" w:sz="4" w:space="0" w:color="000000"/>
            </w:tcBorders>
          </w:tcPr>
          <w:p>
            <w:pPr>
              <w:pStyle w:val="TableContents"/>
              <w:rPr/>
            </w:pPr>
            <w:r>
              <w:rPr/>
              <w:t>扩展有：</w:t>
            </w:r>
          </w:p>
        </w:tc>
        <w:tc>
          <w:tcPr>
            <w:tcW w:w="3210" w:type="dxa"/>
            <w:gridSpan w:val="2"/>
            <w:tcBorders>
              <w:top w:val="single" w:sz="4" w:space="0" w:color="000000"/>
              <w:left w:val="single" w:sz="4" w:space="0" w:color="000000"/>
              <w:bottom w:val="single" w:sz="4" w:space="0" w:color="000000"/>
            </w:tcBorders>
          </w:tcPr>
          <w:p>
            <w:pPr>
              <w:pStyle w:val="TableContents"/>
              <w:rPr/>
            </w:pPr>
            <w:r>
              <w:rPr/>
              <w:t>1961</w:t>
            </w:r>
            <w:r>
              <w:rPr/>
              <w:t>年</w:t>
            </w:r>
          </w:p>
          <w:p>
            <w:pPr>
              <w:pStyle w:val="TableContents"/>
              <w:rPr/>
            </w:pPr>
            <w:r>
              <w:rPr/>
              <w:t>单位总数</w:t>
            </w:r>
          </w:p>
        </w:tc>
        <w:tc>
          <w:tcPr>
            <w:tcW w:w="3210" w:type="dxa"/>
            <w:gridSpan w:val="2"/>
            <w:tcBorders>
              <w:top w:val="single" w:sz="4" w:space="0" w:color="000000"/>
              <w:left w:val="single" w:sz="4" w:space="0" w:color="000000"/>
              <w:bottom w:val="single" w:sz="4" w:space="0" w:color="000000"/>
              <w:right w:val="single" w:sz="4" w:space="0" w:color="000000"/>
            </w:tcBorders>
          </w:tcPr>
          <w:p>
            <w:pPr>
              <w:pStyle w:val="TableContents"/>
              <w:rPr/>
            </w:pPr>
            <w:r>
              <w:rPr/>
              <w:t>1972</w:t>
            </w:r>
            <w:r>
              <w:rPr/>
              <w:t>年</w:t>
            </w:r>
          </w:p>
          <w:p>
            <w:pPr>
              <w:pStyle w:val="TableContents"/>
              <w:rPr/>
            </w:pPr>
            <w:r>
              <w:rPr/>
              <w:t>单位总数</w:t>
            </w:r>
          </w:p>
        </w:tc>
      </w:tr>
      <w:tr>
        <w:trPr/>
        <w:tc>
          <w:tcPr>
            <w:tcW w:w="3210" w:type="dxa"/>
            <w:gridSpan w:val="2"/>
            <w:tcBorders>
              <w:left w:val="single" w:sz="4" w:space="0" w:color="000000"/>
              <w:bottom w:val="single" w:sz="4" w:space="0" w:color="000000"/>
            </w:tcBorders>
          </w:tcPr>
          <w:p>
            <w:pPr>
              <w:pStyle w:val="TableContents"/>
              <w:rPr/>
            </w:pPr>
            <w:r>
              <w:rPr/>
            </w:r>
          </w:p>
        </w:tc>
        <w:tc>
          <w:tcPr>
            <w:tcW w:w="1605" w:type="dxa"/>
            <w:tcBorders>
              <w:left w:val="single" w:sz="4" w:space="0" w:color="000000"/>
              <w:bottom w:val="single" w:sz="4" w:space="0" w:color="000000"/>
            </w:tcBorders>
          </w:tcPr>
          <w:p>
            <w:pPr>
              <w:pStyle w:val="TableContents"/>
              <w:rPr/>
            </w:pPr>
            <w:r>
              <w:rPr/>
              <w:t>%</w:t>
            </w:r>
            <w:r>
              <w:rPr/>
              <w:t>数量</w:t>
            </w:r>
          </w:p>
        </w:tc>
        <w:tc>
          <w:tcPr>
            <w:tcW w:w="1605" w:type="dxa"/>
            <w:tcBorders>
              <w:left w:val="single" w:sz="4" w:space="0" w:color="000000"/>
              <w:bottom w:val="single" w:sz="4" w:space="0" w:color="000000"/>
            </w:tcBorders>
          </w:tcPr>
          <w:p>
            <w:pPr>
              <w:pStyle w:val="TableContents"/>
              <w:rPr/>
            </w:pPr>
            <w:r>
              <w:rPr/>
              <w:t>%</w:t>
            </w:r>
            <w:r>
              <w:rPr/>
              <w:t>有</w:t>
            </w:r>
          </w:p>
        </w:tc>
        <w:tc>
          <w:tcPr>
            <w:tcW w:w="1605" w:type="dxa"/>
            <w:tcBorders>
              <w:left w:val="single" w:sz="4" w:space="0" w:color="000000"/>
              <w:bottom w:val="single" w:sz="4" w:space="0" w:color="000000"/>
            </w:tcBorders>
          </w:tcPr>
          <w:p>
            <w:pPr>
              <w:pStyle w:val="TableContents"/>
              <w:rPr/>
            </w:pPr>
            <w:r>
              <w:rPr/>
              <w:t>%</w:t>
            </w:r>
            <w:r>
              <w:rPr/>
              <w:t>数量</w:t>
            </w:r>
          </w:p>
        </w:tc>
        <w:tc>
          <w:tcPr>
            <w:tcW w:w="1605" w:type="dxa"/>
            <w:tcBorders>
              <w:left w:val="single" w:sz="4" w:space="0" w:color="000000"/>
              <w:bottom w:val="single" w:sz="4" w:space="0" w:color="000000"/>
              <w:right w:val="single" w:sz="4" w:space="0" w:color="000000"/>
            </w:tcBorders>
          </w:tcPr>
          <w:p>
            <w:pPr>
              <w:pStyle w:val="TableContents"/>
              <w:rPr/>
            </w:pPr>
            <w:r>
              <w:rPr/>
              <w:t>%</w:t>
            </w:r>
            <w:r>
              <w:rPr/>
              <w:t>有</w:t>
            </w:r>
          </w:p>
        </w:tc>
      </w:tr>
      <w:tr>
        <w:trPr/>
        <w:tc>
          <w:tcPr>
            <w:tcW w:w="1605" w:type="dxa"/>
            <w:tcBorders>
              <w:left w:val="single" w:sz="4" w:space="0" w:color="000000"/>
              <w:bottom w:val="single" w:sz="4" w:space="0" w:color="000000"/>
            </w:tcBorders>
          </w:tcPr>
          <w:p>
            <w:pPr>
              <w:pStyle w:val="TableContents"/>
              <w:rPr/>
            </w:pPr>
            <w:r>
              <w:rPr/>
              <w:t>A</w:t>
            </w:r>
          </w:p>
        </w:tc>
        <w:tc>
          <w:tcPr>
            <w:tcW w:w="1605" w:type="dxa"/>
            <w:tcBorders>
              <w:left w:val="single" w:sz="4" w:space="0" w:color="000000"/>
              <w:bottom w:val="single" w:sz="4" w:space="0" w:color="000000"/>
            </w:tcBorders>
          </w:tcPr>
          <w:p>
            <w:pPr>
              <w:pStyle w:val="TableContents"/>
              <w:rPr/>
            </w:pPr>
            <w:r>
              <w:rPr/>
              <w:t>小于</w:t>
            </w:r>
            <w:r>
              <w:rPr/>
              <w:t>5</w:t>
            </w:r>
          </w:p>
        </w:tc>
        <w:tc>
          <w:tcPr>
            <w:tcW w:w="1605" w:type="dxa"/>
            <w:tcBorders>
              <w:left w:val="single" w:sz="4" w:space="0" w:color="000000"/>
              <w:bottom w:val="single" w:sz="4" w:space="0" w:color="000000"/>
            </w:tcBorders>
          </w:tcPr>
          <w:p>
            <w:pPr>
              <w:pStyle w:val="TableContents"/>
              <w:rPr/>
            </w:pPr>
            <w:r>
              <w:rPr/>
              <w:t>83.2</w:t>
            </w:r>
          </w:p>
        </w:tc>
        <w:tc>
          <w:tcPr>
            <w:tcW w:w="1605" w:type="dxa"/>
            <w:tcBorders>
              <w:left w:val="single" w:sz="4" w:space="0" w:color="000000"/>
              <w:bottom w:val="single" w:sz="4" w:space="0" w:color="000000"/>
            </w:tcBorders>
          </w:tcPr>
          <w:p>
            <w:pPr>
              <w:pStyle w:val="TableContents"/>
              <w:rPr/>
            </w:pPr>
            <w:r>
              <w:rPr/>
              <w:t>5.5</w:t>
            </w:r>
          </w:p>
        </w:tc>
        <w:tc>
          <w:tcPr>
            <w:tcW w:w="1605" w:type="dxa"/>
            <w:tcBorders>
              <w:left w:val="single" w:sz="4" w:space="0" w:color="000000"/>
              <w:bottom w:val="single" w:sz="4" w:space="0" w:color="000000"/>
            </w:tcBorders>
          </w:tcPr>
          <w:p>
            <w:pPr>
              <w:pStyle w:val="TableContents"/>
              <w:rPr/>
            </w:pPr>
            <w:r>
              <w:rPr/>
              <w:t>77.9</w:t>
            </w:r>
          </w:p>
        </w:tc>
        <w:tc>
          <w:tcPr>
            <w:tcW w:w="1605" w:type="dxa"/>
            <w:tcBorders>
              <w:left w:val="single" w:sz="4" w:space="0" w:color="000000"/>
              <w:bottom w:val="single" w:sz="4" w:space="0" w:color="000000"/>
              <w:right w:val="single" w:sz="4" w:space="0" w:color="000000"/>
            </w:tcBorders>
          </w:tcPr>
          <w:p>
            <w:pPr>
              <w:pStyle w:val="TableContents"/>
              <w:rPr/>
            </w:pPr>
            <w:r>
              <w:rPr/>
              <w:t>6.6</w:t>
            </w:r>
          </w:p>
        </w:tc>
      </w:tr>
      <w:tr>
        <w:trPr/>
        <w:tc>
          <w:tcPr>
            <w:tcW w:w="1605" w:type="dxa"/>
            <w:tcBorders>
              <w:left w:val="single" w:sz="4" w:space="0" w:color="000000"/>
              <w:bottom w:val="single" w:sz="4" w:space="0" w:color="000000"/>
            </w:tcBorders>
          </w:tcPr>
          <w:p>
            <w:pPr>
              <w:pStyle w:val="TableContents"/>
              <w:rPr/>
            </w:pPr>
            <w:r>
              <w:rPr/>
            </w:r>
          </w:p>
        </w:tc>
        <w:tc>
          <w:tcPr>
            <w:tcW w:w="1605" w:type="dxa"/>
            <w:tcBorders>
              <w:left w:val="single" w:sz="4" w:space="0" w:color="000000"/>
              <w:bottom w:val="single" w:sz="4" w:space="0" w:color="000000"/>
            </w:tcBorders>
          </w:tcPr>
          <w:p>
            <w:pPr>
              <w:pStyle w:val="TableContents"/>
              <w:rPr/>
            </w:pPr>
            <w:r>
              <w:rPr/>
              <w:t>小于</w:t>
            </w:r>
            <w:r>
              <w:rPr/>
              <w:t>1</w:t>
            </w:r>
          </w:p>
        </w:tc>
        <w:tc>
          <w:tcPr>
            <w:tcW w:w="1605" w:type="dxa"/>
            <w:tcBorders>
              <w:left w:val="single" w:sz="4" w:space="0" w:color="000000"/>
              <w:bottom w:val="single" w:sz="4" w:space="0" w:color="000000"/>
            </w:tcBorders>
          </w:tcPr>
          <w:p>
            <w:pPr>
              <w:pStyle w:val="TableContents"/>
              <w:rPr/>
            </w:pPr>
            <w:r>
              <w:rPr/>
              <w:t>34.2</w:t>
            </w:r>
          </w:p>
        </w:tc>
        <w:tc>
          <w:tcPr>
            <w:tcW w:w="1605" w:type="dxa"/>
            <w:tcBorders>
              <w:left w:val="single" w:sz="4" w:space="0" w:color="000000"/>
              <w:bottom w:val="single" w:sz="4" w:space="0" w:color="000000"/>
            </w:tcBorders>
          </w:tcPr>
          <w:p>
            <w:pPr>
              <w:pStyle w:val="TableContents"/>
              <w:rPr/>
            </w:pPr>
            <w:r>
              <w:rPr/>
              <w:t>0.6</w:t>
            </w:r>
          </w:p>
        </w:tc>
        <w:tc>
          <w:tcPr>
            <w:tcW w:w="1605" w:type="dxa"/>
            <w:tcBorders>
              <w:left w:val="single" w:sz="4" w:space="0" w:color="000000"/>
              <w:bottom w:val="single" w:sz="4" w:space="0" w:color="000000"/>
            </w:tcBorders>
          </w:tcPr>
          <w:p>
            <w:pPr>
              <w:pStyle w:val="TableContents"/>
              <w:rPr/>
            </w:pPr>
            <w:r>
              <w:rPr/>
              <w:t>34.7</w:t>
            </w:r>
          </w:p>
        </w:tc>
        <w:tc>
          <w:tcPr>
            <w:tcW w:w="1605" w:type="dxa"/>
            <w:tcBorders>
              <w:left w:val="single" w:sz="4" w:space="0" w:color="000000"/>
              <w:bottom w:val="single" w:sz="4" w:space="0" w:color="000000"/>
              <w:right w:val="single" w:sz="4" w:space="0" w:color="000000"/>
            </w:tcBorders>
          </w:tcPr>
          <w:p>
            <w:pPr>
              <w:pStyle w:val="TableContents"/>
              <w:rPr/>
            </w:pPr>
            <w:r>
              <w:rPr/>
              <w:t>0.8</w:t>
            </w:r>
          </w:p>
        </w:tc>
      </w:tr>
      <w:tr>
        <w:trPr/>
        <w:tc>
          <w:tcPr>
            <w:tcW w:w="1605" w:type="dxa"/>
            <w:tcBorders>
              <w:left w:val="single" w:sz="4" w:space="0" w:color="000000"/>
              <w:bottom w:val="single" w:sz="4" w:space="0" w:color="000000"/>
            </w:tcBorders>
          </w:tcPr>
          <w:p>
            <w:pPr>
              <w:pStyle w:val="TableContents"/>
              <w:rPr/>
            </w:pPr>
            <w:r>
              <w:rPr/>
            </w:r>
          </w:p>
        </w:tc>
        <w:tc>
          <w:tcPr>
            <w:tcW w:w="1605" w:type="dxa"/>
            <w:tcBorders>
              <w:left w:val="single" w:sz="4" w:space="0" w:color="000000"/>
              <w:bottom w:val="single" w:sz="4" w:space="0" w:color="000000"/>
            </w:tcBorders>
          </w:tcPr>
          <w:p>
            <w:pPr>
              <w:pStyle w:val="TableContents"/>
              <w:rPr/>
            </w:pPr>
            <w:r>
              <w:rPr/>
              <w:t>1-5</w:t>
            </w:r>
          </w:p>
        </w:tc>
        <w:tc>
          <w:tcPr>
            <w:tcW w:w="1605" w:type="dxa"/>
            <w:tcBorders>
              <w:left w:val="single" w:sz="4" w:space="0" w:color="000000"/>
              <w:bottom w:val="single" w:sz="4" w:space="0" w:color="000000"/>
            </w:tcBorders>
          </w:tcPr>
          <w:p>
            <w:pPr>
              <w:pStyle w:val="TableContents"/>
              <w:rPr/>
            </w:pPr>
            <w:r>
              <w:rPr/>
              <w:t>49</w:t>
            </w:r>
          </w:p>
        </w:tc>
        <w:tc>
          <w:tcPr>
            <w:tcW w:w="1605" w:type="dxa"/>
            <w:tcBorders>
              <w:left w:val="single" w:sz="4" w:space="0" w:color="000000"/>
              <w:bottom w:val="single" w:sz="4" w:space="0" w:color="000000"/>
            </w:tcBorders>
          </w:tcPr>
          <w:p>
            <w:pPr>
              <w:pStyle w:val="TableContents"/>
              <w:rPr/>
            </w:pPr>
            <w:r>
              <w:rPr/>
              <w:t>4.9</w:t>
            </w:r>
          </w:p>
        </w:tc>
        <w:tc>
          <w:tcPr>
            <w:tcW w:w="1605" w:type="dxa"/>
            <w:tcBorders>
              <w:left w:val="single" w:sz="4" w:space="0" w:color="000000"/>
              <w:bottom w:val="single" w:sz="4" w:space="0" w:color="000000"/>
            </w:tcBorders>
          </w:tcPr>
          <w:p>
            <w:pPr>
              <w:pStyle w:val="TableContents"/>
              <w:rPr/>
            </w:pPr>
            <w:r>
              <w:rPr/>
              <w:t>43.2</w:t>
            </w:r>
          </w:p>
        </w:tc>
        <w:tc>
          <w:tcPr>
            <w:tcW w:w="1605" w:type="dxa"/>
            <w:tcBorders>
              <w:left w:val="single" w:sz="4" w:space="0" w:color="000000"/>
              <w:bottom w:val="single" w:sz="4" w:space="0" w:color="000000"/>
              <w:right w:val="single" w:sz="4" w:space="0" w:color="000000"/>
            </w:tcBorders>
          </w:tcPr>
          <w:p>
            <w:pPr>
              <w:pStyle w:val="TableContents"/>
              <w:rPr/>
            </w:pPr>
            <w:r>
              <w:rPr/>
              <w:t>5.8</w:t>
            </w:r>
          </w:p>
        </w:tc>
      </w:tr>
      <w:tr>
        <w:trPr/>
        <w:tc>
          <w:tcPr>
            <w:tcW w:w="1605" w:type="dxa"/>
            <w:tcBorders>
              <w:left w:val="single" w:sz="4" w:space="0" w:color="000000"/>
              <w:bottom w:val="single" w:sz="4" w:space="0" w:color="000000"/>
            </w:tcBorders>
          </w:tcPr>
          <w:p>
            <w:pPr>
              <w:pStyle w:val="TableContents"/>
              <w:rPr/>
            </w:pPr>
            <w:r>
              <w:rPr/>
              <w:t>B</w:t>
            </w:r>
          </w:p>
        </w:tc>
        <w:tc>
          <w:tcPr>
            <w:tcW w:w="1605" w:type="dxa"/>
            <w:tcBorders>
              <w:left w:val="single" w:sz="4" w:space="0" w:color="000000"/>
              <w:bottom w:val="single" w:sz="4" w:space="0" w:color="000000"/>
            </w:tcBorders>
          </w:tcPr>
          <w:p>
            <w:pPr>
              <w:pStyle w:val="TableContents"/>
              <w:rPr/>
            </w:pPr>
            <w:r>
              <w:rPr/>
              <w:t>5-20</w:t>
            </w:r>
          </w:p>
        </w:tc>
        <w:tc>
          <w:tcPr>
            <w:tcW w:w="1605" w:type="dxa"/>
            <w:tcBorders>
              <w:left w:val="single" w:sz="4" w:space="0" w:color="000000"/>
              <w:bottom w:val="single" w:sz="4" w:space="0" w:color="000000"/>
            </w:tcBorders>
          </w:tcPr>
          <w:p>
            <w:pPr>
              <w:pStyle w:val="TableContents"/>
              <w:rPr/>
            </w:pPr>
            <w:r>
              <w:rPr/>
              <w:t>12.6</w:t>
            </w:r>
          </w:p>
        </w:tc>
        <w:tc>
          <w:tcPr>
            <w:tcW w:w="1605" w:type="dxa"/>
            <w:tcBorders>
              <w:left w:val="single" w:sz="4" w:space="0" w:color="000000"/>
              <w:bottom w:val="single" w:sz="4" w:space="0" w:color="000000"/>
            </w:tcBorders>
          </w:tcPr>
          <w:p>
            <w:pPr>
              <w:pStyle w:val="TableContents"/>
              <w:rPr/>
            </w:pPr>
            <w:r>
              <w:rPr/>
              <w:t>4.7</w:t>
            </w:r>
          </w:p>
        </w:tc>
        <w:tc>
          <w:tcPr>
            <w:tcW w:w="1605" w:type="dxa"/>
            <w:tcBorders>
              <w:left w:val="single" w:sz="4" w:space="0" w:color="000000"/>
              <w:bottom w:val="single" w:sz="4" w:space="0" w:color="000000"/>
            </w:tcBorders>
          </w:tcPr>
          <w:p>
            <w:pPr>
              <w:pStyle w:val="TableContents"/>
              <w:rPr/>
            </w:pPr>
            <w:r>
              <w:rPr/>
              <w:t>16.7</w:t>
            </w:r>
          </w:p>
        </w:tc>
        <w:tc>
          <w:tcPr>
            <w:tcW w:w="1605" w:type="dxa"/>
            <w:tcBorders>
              <w:left w:val="single" w:sz="4" w:space="0" w:color="000000"/>
              <w:bottom w:val="single" w:sz="4" w:space="0" w:color="000000"/>
              <w:right w:val="single" w:sz="4" w:space="0" w:color="000000"/>
            </w:tcBorders>
          </w:tcPr>
          <w:p>
            <w:pPr>
              <w:pStyle w:val="TableContents"/>
              <w:rPr/>
            </w:pPr>
            <w:r>
              <w:rPr/>
              <w:t>8.7</w:t>
            </w:r>
          </w:p>
        </w:tc>
      </w:tr>
      <w:tr>
        <w:trPr/>
        <w:tc>
          <w:tcPr>
            <w:tcW w:w="1605" w:type="dxa"/>
            <w:tcBorders>
              <w:left w:val="single" w:sz="4" w:space="0" w:color="000000"/>
              <w:bottom w:val="single" w:sz="4" w:space="0" w:color="000000"/>
            </w:tcBorders>
          </w:tcPr>
          <w:p>
            <w:pPr>
              <w:pStyle w:val="TableContents"/>
              <w:rPr/>
            </w:pPr>
            <w:r>
              <w:rPr/>
              <w:t>C</w:t>
            </w:r>
          </w:p>
        </w:tc>
        <w:tc>
          <w:tcPr>
            <w:tcW w:w="1605" w:type="dxa"/>
            <w:tcBorders>
              <w:left w:val="single" w:sz="4" w:space="0" w:color="000000"/>
              <w:bottom w:val="single" w:sz="4" w:space="0" w:color="000000"/>
            </w:tcBorders>
          </w:tcPr>
          <w:p>
            <w:pPr>
              <w:pStyle w:val="TableContents"/>
              <w:rPr/>
            </w:pPr>
            <w:r>
              <w:rPr/>
              <w:t>20-100</w:t>
            </w:r>
          </w:p>
        </w:tc>
        <w:tc>
          <w:tcPr>
            <w:tcW w:w="1605" w:type="dxa"/>
            <w:tcBorders>
              <w:left w:val="single" w:sz="4" w:space="0" w:color="000000"/>
              <w:bottom w:val="single" w:sz="4" w:space="0" w:color="000000"/>
            </w:tcBorders>
          </w:tcPr>
          <w:p>
            <w:pPr>
              <w:pStyle w:val="TableContents"/>
              <w:rPr/>
            </w:pPr>
            <w:r>
              <w:rPr/>
              <w:t>2.9</w:t>
            </w:r>
          </w:p>
        </w:tc>
        <w:tc>
          <w:tcPr>
            <w:tcW w:w="1605" w:type="dxa"/>
            <w:tcBorders>
              <w:left w:val="single" w:sz="4" w:space="0" w:color="000000"/>
              <w:bottom w:val="single" w:sz="4" w:space="0" w:color="000000"/>
            </w:tcBorders>
          </w:tcPr>
          <w:p>
            <w:pPr>
              <w:pStyle w:val="TableContents"/>
              <w:rPr/>
            </w:pPr>
            <w:r>
              <w:rPr/>
              <w:t>5.2</w:t>
            </w:r>
          </w:p>
        </w:tc>
        <w:tc>
          <w:tcPr>
            <w:tcW w:w="1605" w:type="dxa"/>
            <w:tcBorders>
              <w:left w:val="single" w:sz="4" w:space="0" w:color="000000"/>
              <w:bottom w:val="single" w:sz="4" w:space="0" w:color="000000"/>
            </w:tcBorders>
          </w:tcPr>
          <w:p>
            <w:pPr>
              <w:pStyle w:val="TableContents"/>
              <w:rPr/>
            </w:pPr>
            <w:r>
              <w:rPr/>
              <w:t>4.3</w:t>
            </w:r>
          </w:p>
        </w:tc>
        <w:tc>
          <w:tcPr>
            <w:tcW w:w="1605" w:type="dxa"/>
            <w:tcBorders>
              <w:left w:val="single" w:sz="4" w:space="0" w:color="000000"/>
              <w:bottom w:val="single" w:sz="4" w:space="0" w:color="000000"/>
              <w:right w:val="single" w:sz="4" w:space="0" w:color="000000"/>
            </w:tcBorders>
          </w:tcPr>
          <w:p>
            <w:pPr>
              <w:pStyle w:val="TableContents"/>
              <w:rPr/>
            </w:pPr>
            <w:r>
              <w:rPr/>
              <w:t>9.3</w:t>
            </w:r>
          </w:p>
        </w:tc>
      </w:tr>
      <w:tr>
        <w:trPr/>
        <w:tc>
          <w:tcPr>
            <w:tcW w:w="1605" w:type="dxa"/>
            <w:tcBorders>
              <w:left w:val="single" w:sz="4" w:space="0" w:color="000000"/>
              <w:bottom w:val="single" w:sz="4" w:space="0" w:color="000000"/>
            </w:tcBorders>
          </w:tcPr>
          <w:p>
            <w:pPr>
              <w:pStyle w:val="TableContents"/>
              <w:rPr/>
            </w:pPr>
            <w:r>
              <w:rPr/>
              <w:t>D</w:t>
            </w:r>
          </w:p>
        </w:tc>
        <w:tc>
          <w:tcPr>
            <w:tcW w:w="1605" w:type="dxa"/>
            <w:tcBorders>
              <w:left w:val="single" w:sz="4" w:space="0" w:color="000000"/>
              <w:bottom w:val="single" w:sz="4" w:space="0" w:color="000000"/>
            </w:tcBorders>
          </w:tcPr>
          <w:p>
            <w:pPr>
              <w:pStyle w:val="TableContents"/>
              <w:rPr/>
            </w:pPr>
            <w:r>
              <w:rPr/>
              <w:t>大于</w:t>
            </w:r>
            <w:r>
              <w:rPr/>
              <w:t>100</w:t>
            </w:r>
          </w:p>
        </w:tc>
        <w:tc>
          <w:tcPr>
            <w:tcW w:w="1605" w:type="dxa"/>
            <w:tcBorders>
              <w:left w:val="single" w:sz="4" w:space="0" w:color="000000"/>
              <w:bottom w:val="single" w:sz="4" w:space="0" w:color="000000"/>
            </w:tcBorders>
          </w:tcPr>
          <w:p>
            <w:pPr>
              <w:pStyle w:val="TableContents"/>
              <w:rPr/>
            </w:pPr>
            <w:r>
              <w:rPr/>
              <w:t>1.3</w:t>
            </w:r>
          </w:p>
        </w:tc>
        <w:tc>
          <w:tcPr>
            <w:tcW w:w="1605" w:type="dxa"/>
            <w:tcBorders>
              <w:left w:val="single" w:sz="4" w:space="0" w:color="000000"/>
              <w:bottom w:val="single" w:sz="4" w:space="0" w:color="000000"/>
            </w:tcBorders>
          </w:tcPr>
          <w:p>
            <w:pPr>
              <w:pStyle w:val="TableContents"/>
              <w:rPr/>
            </w:pPr>
            <w:r>
              <w:rPr/>
              <w:t>84.6</w:t>
            </w:r>
          </w:p>
        </w:tc>
        <w:tc>
          <w:tcPr>
            <w:tcW w:w="1605" w:type="dxa"/>
            <w:tcBorders>
              <w:left w:val="single" w:sz="4" w:space="0" w:color="000000"/>
              <w:bottom w:val="single" w:sz="4" w:space="0" w:color="000000"/>
            </w:tcBorders>
          </w:tcPr>
          <w:p>
            <w:pPr>
              <w:pStyle w:val="TableContents"/>
              <w:rPr/>
            </w:pPr>
            <w:r>
              <w:rPr/>
              <w:t>1.1</w:t>
            </w:r>
          </w:p>
        </w:tc>
        <w:tc>
          <w:tcPr>
            <w:tcW w:w="1605" w:type="dxa"/>
            <w:tcBorders>
              <w:left w:val="single" w:sz="4" w:space="0" w:color="000000"/>
              <w:bottom w:val="single" w:sz="4" w:space="0" w:color="000000"/>
              <w:right w:val="single" w:sz="4" w:space="0" w:color="000000"/>
            </w:tcBorders>
          </w:tcPr>
          <w:p>
            <w:pPr>
              <w:pStyle w:val="TableContents"/>
              <w:rPr/>
            </w:pPr>
            <w:r>
              <w:rPr/>
              <w:t>75.4</w:t>
            </w:r>
          </w:p>
        </w:tc>
      </w:tr>
      <w:tr>
        <w:trPr/>
        <w:tc>
          <w:tcPr>
            <w:tcW w:w="1605" w:type="dxa"/>
            <w:tcBorders>
              <w:left w:val="single" w:sz="4" w:space="0" w:color="000000"/>
              <w:bottom w:val="single" w:sz="4" w:space="0" w:color="000000"/>
            </w:tcBorders>
          </w:tcPr>
          <w:p>
            <w:pPr>
              <w:pStyle w:val="TableContents"/>
              <w:rPr/>
            </w:pPr>
            <w:r>
              <w:rPr/>
            </w:r>
          </w:p>
        </w:tc>
        <w:tc>
          <w:tcPr>
            <w:tcW w:w="1605" w:type="dxa"/>
            <w:tcBorders>
              <w:left w:val="single" w:sz="4" w:space="0" w:color="000000"/>
              <w:bottom w:val="single" w:sz="4" w:space="0" w:color="000000"/>
            </w:tcBorders>
          </w:tcPr>
          <w:p>
            <w:pPr>
              <w:pStyle w:val="TableContents"/>
              <w:rPr/>
            </w:pPr>
            <w:r>
              <w:rPr/>
              <w:t>100-500</w:t>
            </w:r>
          </w:p>
        </w:tc>
        <w:tc>
          <w:tcPr>
            <w:tcW w:w="1605" w:type="dxa"/>
            <w:tcBorders>
              <w:left w:val="single" w:sz="4" w:space="0" w:color="000000"/>
              <w:bottom w:val="single" w:sz="4" w:space="0" w:color="000000"/>
            </w:tcBorders>
          </w:tcPr>
          <w:p>
            <w:pPr>
              <w:pStyle w:val="TableContents"/>
              <w:rPr/>
            </w:pPr>
            <w:r>
              <w:rPr/>
              <w:t>0.9</w:t>
            </w:r>
          </w:p>
        </w:tc>
        <w:tc>
          <w:tcPr>
            <w:tcW w:w="1605" w:type="dxa"/>
            <w:tcBorders>
              <w:left w:val="single" w:sz="4" w:space="0" w:color="000000"/>
              <w:bottom w:val="single" w:sz="4" w:space="0" w:color="000000"/>
            </w:tcBorders>
          </w:tcPr>
          <w:p>
            <w:pPr>
              <w:pStyle w:val="TableContents"/>
              <w:rPr/>
            </w:pPr>
            <w:r>
              <w:rPr/>
              <w:t>8.7</w:t>
            </w:r>
          </w:p>
        </w:tc>
        <w:tc>
          <w:tcPr>
            <w:tcW w:w="1605" w:type="dxa"/>
            <w:tcBorders>
              <w:left w:val="single" w:sz="4" w:space="0" w:color="000000"/>
              <w:bottom w:val="single" w:sz="4" w:space="0" w:color="000000"/>
            </w:tcBorders>
          </w:tcPr>
          <w:p>
            <w:pPr>
              <w:pStyle w:val="TableContents"/>
              <w:rPr/>
            </w:pPr>
            <w:r>
              <w:rPr/>
              <w:t>0.8</w:t>
            </w:r>
          </w:p>
        </w:tc>
        <w:tc>
          <w:tcPr>
            <w:tcW w:w="1605" w:type="dxa"/>
            <w:tcBorders>
              <w:left w:val="single" w:sz="4" w:space="0" w:color="000000"/>
              <w:bottom w:val="single" w:sz="4" w:space="0" w:color="000000"/>
              <w:right w:val="single" w:sz="4" w:space="0" w:color="000000"/>
            </w:tcBorders>
          </w:tcPr>
          <w:p>
            <w:pPr>
              <w:pStyle w:val="TableContents"/>
              <w:rPr/>
            </w:pPr>
            <w:r>
              <w:rPr/>
              <w:t>9.1</w:t>
            </w:r>
          </w:p>
        </w:tc>
      </w:tr>
      <w:tr>
        <w:trPr/>
        <w:tc>
          <w:tcPr>
            <w:tcW w:w="1605" w:type="dxa"/>
            <w:tcBorders>
              <w:left w:val="single" w:sz="4" w:space="0" w:color="000000"/>
              <w:bottom w:val="single" w:sz="4" w:space="0" w:color="000000"/>
            </w:tcBorders>
          </w:tcPr>
          <w:p>
            <w:pPr>
              <w:pStyle w:val="TableContents"/>
              <w:rPr/>
            </w:pPr>
            <w:r>
              <w:rPr/>
            </w:r>
          </w:p>
        </w:tc>
        <w:tc>
          <w:tcPr>
            <w:tcW w:w="1605" w:type="dxa"/>
            <w:tcBorders>
              <w:left w:val="single" w:sz="4" w:space="0" w:color="000000"/>
              <w:bottom w:val="single" w:sz="4" w:space="0" w:color="000000"/>
            </w:tcBorders>
          </w:tcPr>
          <w:p>
            <w:pPr>
              <w:pStyle w:val="TableContents"/>
              <w:rPr/>
            </w:pPr>
            <w:r>
              <w:rPr/>
              <w:t>500-1000</w:t>
            </w:r>
          </w:p>
        </w:tc>
        <w:tc>
          <w:tcPr>
            <w:tcW w:w="1605" w:type="dxa"/>
            <w:tcBorders>
              <w:left w:val="single" w:sz="4" w:space="0" w:color="000000"/>
              <w:bottom w:val="single" w:sz="4" w:space="0" w:color="000000"/>
            </w:tcBorders>
          </w:tcPr>
          <w:p>
            <w:pPr>
              <w:pStyle w:val="TableContents"/>
              <w:rPr/>
            </w:pPr>
            <w:r>
              <w:rPr/>
              <w:t>0.2</w:t>
            </w:r>
          </w:p>
        </w:tc>
        <w:tc>
          <w:tcPr>
            <w:tcW w:w="1605" w:type="dxa"/>
            <w:tcBorders>
              <w:left w:val="single" w:sz="4" w:space="0" w:color="000000"/>
              <w:bottom w:val="single" w:sz="4" w:space="0" w:color="000000"/>
            </w:tcBorders>
          </w:tcPr>
          <w:p>
            <w:pPr>
              <w:pStyle w:val="TableContents"/>
              <w:rPr/>
            </w:pPr>
            <w:r>
              <w:rPr/>
              <w:t>6.2</w:t>
            </w:r>
          </w:p>
        </w:tc>
        <w:tc>
          <w:tcPr>
            <w:tcW w:w="1605" w:type="dxa"/>
            <w:tcBorders>
              <w:left w:val="single" w:sz="4" w:space="0" w:color="000000"/>
              <w:bottom w:val="single" w:sz="4" w:space="0" w:color="000000"/>
            </w:tcBorders>
          </w:tcPr>
          <w:p>
            <w:pPr>
              <w:pStyle w:val="TableContents"/>
              <w:rPr/>
            </w:pPr>
            <w:r>
              <w:rPr/>
              <w:t>0.1</w:t>
            </w:r>
          </w:p>
        </w:tc>
        <w:tc>
          <w:tcPr>
            <w:tcW w:w="1605" w:type="dxa"/>
            <w:tcBorders>
              <w:left w:val="single" w:sz="4" w:space="0" w:color="000000"/>
              <w:bottom w:val="single" w:sz="4" w:space="0" w:color="000000"/>
              <w:right w:val="single" w:sz="4" w:space="0" w:color="000000"/>
            </w:tcBorders>
          </w:tcPr>
          <w:p>
            <w:pPr>
              <w:pStyle w:val="TableContents"/>
              <w:rPr/>
            </w:pPr>
            <w:r>
              <w:rPr/>
              <w:t>4.6</w:t>
            </w:r>
          </w:p>
        </w:tc>
      </w:tr>
      <w:tr>
        <w:trPr/>
        <w:tc>
          <w:tcPr>
            <w:tcW w:w="1605" w:type="dxa"/>
            <w:tcBorders>
              <w:left w:val="single" w:sz="4" w:space="0" w:color="000000"/>
              <w:bottom w:val="single" w:sz="4" w:space="0" w:color="000000"/>
            </w:tcBorders>
          </w:tcPr>
          <w:p>
            <w:pPr>
              <w:pStyle w:val="TableContents"/>
              <w:rPr/>
            </w:pPr>
            <w:r>
              <w:rPr/>
            </w:r>
          </w:p>
        </w:tc>
        <w:tc>
          <w:tcPr>
            <w:tcW w:w="1605" w:type="dxa"/>
            <w:tcBorders>
              <w:left w:val="single" w:sz="4" w:space="0" w:color="000000"/>
              <w:bottom w:val="single" w:sz="4" w:space="0" w:color="000000"/>
            </w:tcBorders>
          </w:tcPr>
          <w:p>
            <w:pPr>
              <w:pStyle w:val="TableContents"/>
              <w:rPr/>
            </w:pPr>
            <w:r>
              <w:rPr/>
              <w:t>1000-2500</w:t>
            </w:r>
          </w:p>
        </w:tc>
        <w:tc>
          <w:tcPr>
            <w:tcW w:w="1605" w:type="dxa"/>
            <w:tcBorders>
              <w:left w:val="single" w:sz="4" w:space="0" w:color="000000"/>
              <w:bottom w:val="single" w:sz="4" w:space="0" w:color="000000"/>
            </w:tcBorders>
          </w:tcPr>
          <w:p>
            <w:pPr>
              <w:pStyle w:val="TableContents"/>
              <w:rPr/>
            </w:pPr>
            <w:r>
              <w:rPr/>
              <w:t>0.1</w:t>
            </w:r>
          </w:p>
        </w:tc>
        <w:tc>
          <w:tcPr>
            <w:tcW w:w="1605" w:type="dxa"/>
            <w:tcBorders>
              <w:left w:val="single" w:sz="4" w:space="0" w:color="000000"/>
              <w:bottom w:val="single" w:sz="4" w:space="0" w:color="000000"/>
            </w:tcBorders>
          </w:tcPr>
          <w:p>
            <w:pPr>
              <w:pStyle w:val="TableContents"/>
              <w:rPr/>
            </w:pPr>
            <w:r>
              <w:rPr/>
              <w:t>8.8</w:t>
            </w:r>
          </w:p>
        </w:tc>
        <w:tc>
          <w:tcPr>
            <w:tcW w:w="1605" w:type="dxa"/>
            <w:tcBorders>
              <w:left w:val="single" w:sz="4" w:space="0" w:color="000000"/>
              <w:bottom w:val="single" w:sz="4" w:space="0" w:color="000000"/>
            </w:tcBorders>
          </w:tcPr>
          <w:p>
            <w:pPr>
              <w:pStyle w:val="TableContents"/>
              <w:rPr/>
            </w:pPr>
            <w:r>
              <w:rPr/>
              <w:t>0.1</w:t>
            </w:r>
          </w:p>
        </w:tc>
        <w:tc>
          <w:tcPr>
            <w:tcW w:w="1605" w:type="dxa"/>
            <w:tcBorders>
              <w:left w:val="single" w:sz="4" w:space="0" w:color="000000"/>
              <w:bottom w:val="single" w:sz="4" w:space="0" w:color="000000"/>
              <w:right w:val="single" w:sz="4" w:space="0" w:color="000000"/>
            </w:tcBorders>
          </w:tcPr>
          <w:p>
            <w:pPr>
              <w:pStyle w:val="TableContents"/>
              <w:rPr/>
            </w:pPr>
            <w:r>
              <w:rPr/>
              <w:t>7.4</w:t>
            </w:r>
          </w:p>
        </w:tc>
      </w:tr>
      <w:tr>
        <w:trPr/>
        <w:tc>
          <w:tcPr>
            <w:tcW w:w="1605" w:type="dxa"/>
            <w:tcBorders>
              <w:left w:val="single" w:sz="4" w:space="0" w:color="000000"/>
              <w:bottom w:val="single" w:sz="4" w:space="0" w:color="000000"/>
            </w:tcBorders>
          </w:tcPr>
          <w:p>
            <w:pPr>
              <w:pStyle w:val="TableContents"/>
              <w:rPr/>
            </w:pPr>
            <w:r>
              <w:rPr/>
            </w:r>
          </w:p>
        </w:tc>
        <w:tc>
          <w:tcPr>
            <w:tcW w:w="1605" w:type="dxa"/>
            <w:tcBorders>
              <w:left w:val="single" w:sz="4" w:space="0" w:color="000000"/>
              <w:bottom w:val="single" w:sz="4" w:space="0" w:color="000000"/>
            </w:tcBorders>
          </w:tcPr>
          <w:p>
            <w:pPr>
              <w:pStyle w:val="TableContents"/>
              <w:rPr/>
            </w:pPr>
            <w:r>
              <w:rPr/>
              <w:t>大于</w:t>
            </w:r>
            <w:r>
              <w:rPr/>
              <w:t>2500</w:t>
            </w:r>
          </w:p>
        </w:tc>
        <w:tc>
          <w:tcPr>
            <w:tcW w:w="1605" w:type="dxa"/>
            <w:tcBorders>
              <w:left w:val="single" w:sz="4" w:space="0" w:color="000000"/>
              <w:bottom w:val="single" w:sz="4" w:space="0" w:color="000000"/>
            </w:tcBorders>
          </w:tcPr>
          <w:p>
            <w:pPr>
              <w:pStyle w:val="TableContents"/>
              <w:rPr/>
            </w:pPr>
            <w:r>
              <w:rPr/>
              <w:t>0.1</w:t>
            </w:r>
          </w:p>
        </w:tc>
        <w:tc>
          <w:tcPr>
            <w:tcW w:w="1605" w:type="dxa"/>
            <w:tcBorders>
              <w:left w:val="single" w:sz="4" w:space="0" w:color="000000"/>
              <w:bottom w:val="single" w:sz="4" w:space="0" w:color="000000"/>
            </w:tcBorders>
          </w:tcPr>
          <w:p>
            <w:pPr>
              <w:pStyle w:val="TableContents"/>
              <w:rPr/>
            </w:pPr>
            <w:r>
              <w:rPr/>
              <w:t>60.9</w:t>
            </w:r>
          </w:p>
        </w:tc>
        <w:tc>
          <w:tcPr>
            <w:tcW w:w="1605" w:type="dxa"/>
            <w:tcBorders>
              <w:left w:val="single" w:sz="4" w:space="0" w:color="000000"/>
              <w:bottom w:val="single" w:sz="4" w:space="0" w:color="000000"/>
            </w:tcBorders>
          </w:tcPr>
          <w:p>
            <w:pPr>
              <w:pStyle w:val="TableContents"/>
              <w:rPr/>
            </w:pPr>
            <w:r>
              <w:rPr/>
              <w:t>1.1</w:t>
            </w:r>
          </w:p>
        </w:tc>
        <w:tc>
          <w:tcPr>
            <w:tcW w:w="1605" w:type="dxa"/>
            <w:tcBorders>
              <w:left w:val="single" w:sz="4" w:space="0" w:color="000000"/>
              <w:bottom w:val="single" w:sz="4" w:space="0" w:color="000000"/>
              <w:right w:val="single" w:sz="4" w:space="0" w:color="000000"/>
            </w:tcBorders>
          </w:tcPr>
          <w:p>
            <w:pPr>
              <w:pStyle w:val="TableContents"/>
              <w:rPr/>
            </w:pPr>
            <w:r>
              <w:rPr/>
              <w:t>54.3</w:t>
            </w:r>
          </w:p>
        </w:tc>
      </w:tr>
    </w:tbl>
    <w:p>
      <w:pPr>
        <w:pStyle w:val="Normal"/>
        <w:bidi w:val="0"/>
        <w:jc w:val="both"/>
        <w:rPr/>
      </w:pPr>
      <w:r>
        <w:rPr/>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tbl>
      <w:tblPr>
        <w:tblW w:w="5000" w:type="pct"/>
        <w:jc w:val="left"/>
        <w:tblInd w:w="-5" w:type="dxa"/>
        <w:tblLayout w:type="fixed"/>
        <w:tblCellMar>
          <w:top w:w="55" w:type="dxa"/>
          <w:left w:w="55" w:type="dxa"/>
          <w:bottom w:w="55" w:type="dxa"/>
          <w:right w:w="55" w:type="dxa"/>
        </w:tblCellMar>
      </w:tblPr>
      <w:tblGrid>
        <w:gridCol w:w="1926"/>
        <w:gridCol w:w="1926"/>
        <w:gridCol w:w="1926"/>
        <w:gridCol w:w="1926"/>
        <w:gridCol w:w="1926"/>
      </w:tblGrid>
      <w:tr>
        <w:trPr/>
        <w:tc>
          <w:tcPr>
            <w:tcW w:w="1926" w:type="dxa"/>
            <w:tcBorders>
              <w:top w:val="single" w:sz="4" w:space="0" w:color="000000"/>
              <w:left w:val="single" w:sz="4" w:space="0" w:color="000000"/>
              <w:bottom w:val="single" w:sz="4" w:space="0" w:color="000000"/>
            </w:tcBorders>
          </w:tcPr>
          <w:p>
            <w:pPr>
              <w:pStyle w:val="TableContents"/>
              <w:rPr/>
            </w:pPr>
            <w:r>
              <w:rPr/>
            </w:r>
          </w:p>
        </w:tc>
        <w:tc>
          <w:tcPr>
            <w:tcW w:w="1926" w:type="dxa"/>
            <w:tcBorders>
              <w:top w:val="single" w:sz="4" w:space="0" w:color="000000"/>
              <w:left w:val="single" w:sz="4" w:space="0" w:color="000000"/>
              <w:bottom w:val="single" w:sz="4" w:space="0" w:color="000000"/>
            </w:tcBorders>
          </w:tcPr>
          <w:p>
            <w:pPr>
              <w:pStyle w:val="TableContents"/>
              <w:rPr/>
            </w:pPr>
            <w:r>
              <w:rPr/>
              <w:t>1974,00</w:t>
            </w:r>
          </w:p>
        </w:tc>
        <w:tc>
          <w:tcPr>
            <w:tcW w:w="1926" w:type="dxa"/>
            <w:tcBorders>
              <w:top w:val="single" w:sz="4" w:space="0" w:color="000000"/>
              <w:left w:val="single" w:sz="4" w:space="0" w:color="000000"/>
              <w:bottom w:val="single" w:sz="4" w:space="0" w:color="000000"/>
            </w:tcBorders>
          </w:tcPr>
          <w:p>
            <w:pPr>
              <w:pStyle w:val="TableContents"/>
              <w:rPr/>
            </w:pPr>
            <w:r>
              <w:rPr/>
              <w:t>1975,00</w:t>
            </w:r>
          </w:p>
        </w:tc>
        <w:tc>
          <w:tcPr>
            <w:tcW w:w="1926" w:type="dxa"/>
            <w:tcBorders>
              <w:top w:val="single" w:sz="4" w:space="0" w:color="000000"/>
              <w:left w:val="single" w:sz="4" w:space="0" w:color="000000"/>
              <w:bottom w:val="single" w:sz="4" w:space="0" w:color="000000"/>
            </w:tcBorders>
          </w:tcPr>
          <w:p>
            <w:pPr>
              <w:pStyle w:val="TableContents"/>
              <w:rPr/>
            </w:pPr>
            <w:r>
              <w:rPr/>
              <w:t>1976,00</w:t>
            </w:r>
          </w:p>
        </w:tc>
        <w:tc>
          <w:tcPr>
            <w:tcW w:w="1926" w:type="dxa"/>
            <w:tcBorders>
              <w:top w:val="single" w:sz="4" w:space="0" w:color="000000"/>
              <w:left w:val="single" w:sz="4" w:space="0" w:color="000000"/>
              <w:bottom w:val="single" w:sz="4" w:space="0" w:color="000000"/>
              <w:right w:val="single" w:sz="4" w:space="0" w:color="000000"/>
            </w:tcBorders>
          </w:tcPr>
          <w:p>
            <w:pPr>
              <w:pStyle w:val="TableContents"/>
              <w:rPr/>
            </w:pPr>
            <w:r>
              <w:rPr/>
              <w:t>1977,00</w:t>
            </w:r>
          </w:p>
        </w:tc>
      </w:tr>
      <w:tr>
        <w:trPr/>
        <w:tc>
          <w:tcPr>
            <w:tcW w:w="1926" w:type="dxa"/>
            <w:tcBorders>
              <w:left w:val="single" w:sz="4" w:space="0" w:color="000000"/>
              <w:bottom w:val="single" w:sz="4" w:space="0" w:color="000000"/>
            </w:tcBorders>
          </w:tcPr>
          <w:p>
            <w:pPr>
              <w:pStyle w:val="TableContents"/>
              <w:rPr/>
            </w:pPr>
            <w:r>
              <w:rPr/>
              <w:t>-</w:t>
            </w:r>
            <w:r>
              <w:rPr/>
              <w:t>国内生产总值增长率</w:t>
            </w:r>
          </w:p>
        </w:tc>
        <w:tc>
          <w:tcPr>
            <w:tcW w:w="1926" w:type="dxa"/>
            <w:tcBorders>
              <w:left w:val="single" w:sz="4" w:space="0" w:color="000000"/>
              <w:bottom w:val="single" w:sz="4" w:space="0" w:color="000000"/>
            </w:tcBorders>
          </w:tcPr>
          <w:p>
            <w:pPr>
              <w:pStyle w:val="TableContents"/>
              <w:rPr/>
            </w:pPr>
            <w:r>
              <w:rPr/>
              <w:t>6.9</w:t>
            </w:r>
          </w:p>
        </w:tc>
        <w:tc>
          <w:tcPr>
            <w:tcW w:w="1926" w:type="dxa"/>
            <w:tcBorders>
              <w:left w:val="single" w:sz="4" w:space="0" w:color="000000"/>
              <w:bottom w:val="single" w:sz="4" w:space="0" w:color="000000"/>
            </w:tcBorders>
          </w:tcPr>
          <w:p>
            <w:pPr>
              <w:pStyle w:val="TableContents"/>
              <w:rPr/>
            </w:pPr>
            <w:r>
              <w:rPr/>
              <w:t>3.3</w:t>
            </w:r>
          </w:p>
        </w:tc>
        <w:tc>
          <w:tcPr>
            <w:tcW w:w="1926" w:type="dxa"/>
            <w:tcBorders>
              <w:left w:val="single" w:sz="4" w:space="0" w:color="000000"/>
              <w:bottom w:val="single" w:sz="4" w:space="0" w:color="000000"/>
            </w:tcBorders>
          </w:tcPr>
          <w:p>
            <w:pPr>
              <w:pStyle w:val="TableContents"/>
              <w:rPr/>
            </w:pPr>
            <w:r>
              <w:rPr/>
              <w:t>3</w:t>
            </w:r>
          </w:p>
        </w:tc>
        <w:tc>
          <w:tcPr>
            <w:tcW w:w="1926" w:type="dxa"/>
            <w:tcBorders>
              <w:left w:val="single" w:sz="4" w:space="0" w:color="000000"/>
              <w:bottom w:val="single" w:sz="4" w:space="0" w:color="000000"/>
              <w:right w:val="single" w:sz="4" w:space="0" w:color="000000"/>
            </w:tcBorders>
          </w:tcPr>
          <w:p>
            <w:pPr>
              <w:pStyle w:val="TableContents"/>
              <w:rPr/>
            </w:pPr>
            <w:r>
              <w:rPr/>
              <w:t>-</w:t>
            </w:r>
            <w:r>
              <w:rPr/>
              <w:t>0.2</w:t>
            </w:r>
          </w:p>
        </w:tc>
      </w:tr>
      <w:tr>
        <w:trPr/>
        <w:tc>
          <w:tcPr>
            <w:tcW w:w="1926" w:type="dxa"/>
            <w:tcBorders>
              <w:left w:val="single" w:sz="4" w:space="0" w:color="000000"/>
              <w:bottom w:val="single" w:sz="4" w:space="0" w:color="000000"/>
            </w:tcBorders>
          </w:tcPr>
          <w:p>
            <w:pPr>
              <w:pStyle w:val="TableContents"/>
              <w:rPr/>
            </w:pPr>
            <w:r>
              <w:rPr/>
              <w:t>%</w:t>
            </w:r>
            <w:r>
              <w:rPr/>
              <w:t>利马年价格上涨</w:t>
            </w:r>
          </w:p>
        </w:tc>
        <w:tc>
          <w:tcPr>
            <w:tcW w:w="1926" w:type="dxa"/>
            <w:tcBorders>
              <w:left w:val="single" w:sz="4" w:space="0" w:color="000000"/>
              <w:bottom w:val="single" w:sz="4" w:space="0" w:color="000000"/>
            </w:tcBorders>
          </w:tcPr>
          <w:p>
            <w:pPr>
              <w:pStyle w:val="TableContents"/>
              <w:rPr/>
            </w:pPr>
            <w:r>
              <w:rPr/>
              <w:t>16.9</w:t>
            </w:r>
          </w:p>
        </w:tc>
        <w:tc>
          <w:tcPr>
            <w:tcW w:w="1926" w:type="dxa"/>
            <w:tcBorders>
              <w:left w:val="single" w:sz="4" w:space="0" w:color="000000"/>
              <w:bottom w:val="single" w:sz="4" w:space="0" w:color="000000"/>
            </w:tcBorders>
          </w:tcPr>
          <w:p>
            <w:pPr>
              <w:pStyle w:val="TableContents"/>
              <w:rPr/>
            </w:pPr>
            <w:r>
              <w:rPr/>
              <w:t>23.6</w:t>
            </w:r>
          </w:p>
        </w:tc>
        <w:tc>
          <w:tcPr>
            <w:tcW w:w="1926" w:type="dxa"/>
            <w:tcBorders>
              <w:left w:val="single" w:sz="4" w:space="0" w:color="000000"/>
              <w:bottom w:val="single" w:sz="4" w:space="0" w:color="000000"/>
            </w:tcBorders>
          </w:tcPr>
          <w:p>
            <w:pPr>
              <w:pStyle w:val="TableContents"/>
              <w:rPr/>
            </w:pPr>
            <w:r>
              <w:rPr/>
              <w:t>33.5</w:t>
            </w:r>
          </w:p>
        </w:tc>
        <w:tc>
          <w:tcPr>
            <w:tcW w:w="1926" w:type="dxa"/>
            <w:tcBorders>
              <w:left w:val="single" w:sz="4" w:space="0" w:color="000000"/>
              <w:bottom w:val="single" w:sz="4" w:space="0" w:color="000000"/>
              <w:right w:val="single" w:sz="4" w:space="0" w:color="000000"/>
            </w:tcBorders>
          </w:tcPr>
          <w:p>
            <w:pPr>
              <w:pStyle w:val="TableContents"/>
              <w:rPr/>
            </w:pPr>
            <w:r>
              <w:rPr/>
              <w:t>39</w:t>
            </w:r>
          </w:p>
        </w:tc>
      </w:tr>
      <w:tr>
        <w:trPr/>
        <w:tc>
          <w:tcPr>
            <w:tcW w:w="1926" w:type="dxa"/>
            <w:tcBorders>
              <w:left w:val="single" w:sz="4" w:space="0" w:color="000000"/>
              <w:bottom w:val="single" w:sz="4" w:space="0" w:color="000000"/>
            </w:tcBorders>
          </w:tcPr>
          <w:p>
            <w:pPr>
              <w:pStyle w:val="TableContents"/>
              <w:rPr/>
            </w:pPr>
            <w:r>
              <w:rPr/>
              <w:t>中央政府的经济赤字，以百万索尔为单位</w:t>
            </w:r>
          </w:p>
        </w:tc>
        <w:tc>
          <w:tcPr>
            <w:tcW w:w="1926" w:type="dxa"/>
            <w:tcBorders>
              <w:left w:val="single" w:sz="4" w:space="0" w:color="000000"/>
              <w:bottom w:val="single" w:sz="4" w:space="0" w:color="000000"/>
            </w:tcBorders>
          </w:tcPr>
          <w:p>
            <w:pPr>
              <w:pStyle w:val="TableContents"/>
              <w:rPr/>
            </w:pPr>
            <w:r>
              <w:rPr/>
              <w:t>-</w:t>
            </w:r>
            <w:r>
              <w:rPr/>
              <w:t>14,09</w:t>
            </w:r>
          </w:p>
        </w:tc>
        <w:tc>
          <w:tcPr>
            <w:tcW w:w="1926" w:type="dxa"/>
            <w:tcBorders>
              <w:left w:val="single" w:sz="4" w:space="0" w:color="000000"/>
              <w:bottom w:val="single" w:sz="4" w:space="0" w:color="000000"/>
            </w:tcBorders>
          </w:tcPr>
          <w:p>
            <w:pPr>
              <w:pStyle w:val="TableContents"/>
              <w:rPr/>
            </w:pPr>
            <w:r>
              <w:rPr/>
              <w:t>-</w:t>
            </w:r>
            <w:r>
              <w:rPr/>
              <w:t>30,59</w:t>
            </w:r>
          </w:p>
        </w:tc>
        <w:tc>
          <w:tcPr>
            <w:tcW w:w="1926" w:type="dxa"/>
            <w:tcBorders>
              <w:left w:val="single" w:sz="4" w:space="0" w:color="000000"/>
              <w:bottom w:val="single" w:sz="4" w:space="0" w:color="000000"/>
            </w:tcBorders>
          </w:tcPr>
          <w:p>
            <w:pPr>
              <w:pStyle w:val="TableContents"/>
              <w:rPr/>
            </w:pPr>
            <w:r>
              <w:rPr/>
              <w:t>-</w:t>
            </w:r>
            <w:r>
              <w:rPr/>
              <w:t>48,43</w:t>
            </w:r>
          </w:p>
        </w:tc>
        <w:tc>
          <w:tcPr>
            <w:tcW w:w="1926" w:type="dxa"/>
            <w:tcBorders>
              <w:left w:val="single" w:sz="4" w:space="0" w:color="000000"/>
              <w:bottom w:val="single" w:sz="4" w:space="0" w:color="000000"/>
              <w:right w:val="single" w:sz="4" w:space="0" w:color="000000"/>
            </w:tcBorders>
          </w:tcPr>
          <w:p>
            <w:pPr>
              <w:pStyle w:val="TableContents"/>
              <w:rPr/>
            </w:pPr>
            <w:r>
              <w:rPr/>
              <w:t>-</w:t>
            </w:r>
            <w:r>
              <w:rPr/>
              <w:t>38,20</w:t>
            </w:r>
          </w:p>
        </w:tc>
      </w:tr>
    </w:tbl>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GNP=</w:t>
      </w:r>
      <w:r>
        <w:rPr/>
        <w:t>国民生产总值</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月将汇率提高到</w:t>
      </w:r>
      <w:r>
        <w:rPr/>
        <w:t>130</w:t>
      </w:r>
      <w:r>
        <w:rPr/>
        <w:t>索尔，而现在，交易所以每美元汇票支付</w:t>
      </w:r>
      <w:r>
        <w:rPr/>
        <w:t>180</w:t>
      </w:r>
      <w:r>
        <w:rPr/>
        <w:t>索尔，尽管官方汇率没有变化；这种情况与美国控制的国际货币基金组织密切相关。根据官方数据，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殖民地状况；严重的危机首先让我们陷入困境，并展示了迫使专业经济出版物说“今年，即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运用条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金融问题，现在集中在外债上。这将要求在已经采取的措施之外采取其他措施；经济问题，作为生产过程，需要一项已经宣布并与正在进行的选举进程和正在制定的“救国社会契约”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"Oncenio" de Leguia</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1933</w:t>
      </w:r>
      <w:r>
        <w:rPr/>
        <w:t>年宪法具有卡尔</w:t>
      </w:r>
      <w:r>
        <w:rPr/>
        <w:t>·</w:t>
      </w:r>
      <w:r>
        <w:rPr/>
        <w:t>马克思精辟指出的特点：</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虽然它承认民主资产阶级类型的权利和自由，但每一条认可它们的条款都有其自身的矛盾，即在规定权利和自由的同时，它们受到合法的限制。以下示例就足够了，它恰好是马克思给出的示例之一。法案第</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年采取人民行动起草并提出了一项关于职能参议院的法案，这是宪法第</w:t>
      </w:r>
      <w:r>
        <w:rPr/>
        <w:t>89</w:t>
      </w:r>
      <w:r>
        <w:rPr/>
        <w:t>条确立的社团主义模式，但直到今天都没有实施，因为即使是人民行动的法案也被阿普拉</w:t>
      </w:r>
      <w:r>
        <w:rPr/>
        <w:t>-Odria</w:t>
      </w:r>
      <w:r>
        <w:rPr/>
        <w:t>联盟否决了。这个方向，基于官僚资本主义的深化，大资产阶级内部买办派和官僚派的矛盾，最重要的是无产阶级的发展（回归马列毛主义</w:t>
      </w:r>
      <w:r>
        <w:rPr/>
        <w:t>-</w:t>
      </w:r>
      <w:r>
        <w:rPr/>
        <w:t>毛泽东思想和马里亚特吉道路）和人民运动的高潮，主要是农民运动的大浪潮深刻震撼了秘鲁社会，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这种情况下，武装力量接管了国家的领导权，主要是为了官僚资产阶级的利益，有两个任务要完成：一是推进官僚资本主义的扩张，二是重组秘鲁社会。这就是现政权如何开始的，在法西斯主义政治观念的指导下，发展了秘鲁社会的公司化，这是一个通过以下三个阶段进行的过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w:t>
      </w:r>
      <w:r>
        <w:rPr/>
        <w:t>·</w:t>
      </w:r>
      <w:r>
        <w:rPr/>
        <w:t>阿马鲁计划进行大选，直到</w:t>
      </w:r>
      <w:r>
        <w:rPr/>
        <w:t>1980</w:t>
      </w:r>
      <w:r>
        <w:rPr/>
        <w:t>年。</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在社团化的第一阶段，官僚资产阶级设法孤立无产阶级，甚至部分地束缚它，在机会主义，主要是在“联合军”的社会社团修正主义的支持下，将自己表现为进步力量和“革命者”。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并准备。这是发生在该国当代历史第二个时刻的时期，即从二战到现在；在官僚资产阶级的领导下，官僚资本主义深入发展，公司化发展的时期；另一方面，民主革命的条件成熟的时刻，开始用武力来定义它，以建立一个新民主主义国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Heading2"/>
        <w:jc w:val="center"/>
        <w:rPr/>
      </w:pPr>
      <w:r>
        <w:rPr/>
        <w:t>三、政治形势与人民的道路</w:t>
      </w:r>
    </w:p>
    <w:p>
      <w:pPr>
        <w:pStyle w:val="Normal"/>
        <w:bidi w:val="0"/>
        <w:jc w:val="both"/>
        <w:rPr/>
      </w:pPr>
      <w:r>
        <w:rPr>
          <w:rFonts w:ascii="Noto Serif CJK SC" w:hAnsi="Noto Serif CJK SC" w:eastAsia="Noto Serif CJK SC"/>
          <w:i/>
          <w:iCs/>
          <w:sz w:val="21"/>
          <w:szCs w:val="21"/>
        </w:rPr>
        <w:t>　　</w:t>
      </w: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剥削阶级自己的领导地位。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亚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Heading3"/>
        <w:jc w:val="center"/>
        <w:rPr/>
      </w:pPr>
      <w:r>
        <w:rPr/>
        <w:t xml:space="preserve">1 </w:t>
      </w:r>
      <w:r>
        <w:rPr/>
        <w:t>关于阶级的融合；反动阵营的派别和党派</w:t>
      </w:r>
    </w:p>
    <w:p>
      <w:pPr>
        <w:pStyle w:val="Normal"/>
        <w:bidi w:val="0"/>
        <w:jc w:val="both"/>
        <w:rPr/>
      </w:pPr>
      <w:r>
        <w:rPr>
          <w:rFonts w:ascii="Noto Serif CJK SC" w:hAnsi="Noto Serif CJK SC" w:eastAsia="Noto Serif CJK SC"/>
          <w:i/>
          <w:iCs/>
          <w:sz w:val="21"/>
          <w:szCs w:val="21"/>
        </w:rPr>
        <w:t>　　</w:t>
      </w:r>
      <w:r>
        <w:rPr/>
        <w:t>多年来，官僚资产阶级，更具体地说是武装力量，以其名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呼吁武装部队作为权力本身的支持，这是处于权力地位以促进其利益的机构。</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，主要是阿普拉党。那些有社团主义倾向的人，其中包括人民社会主义行动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修正主义。那些具有非自由主义根源的人，更多地与买办资产阶级有联系，通常支持代议制民主，并且在那些想要加强行政部门的人中存在分歧，例如阿普拉党；面对目前的政治时间表，有人要求立即举行大选，例如人民进步党和</w:t>
      </w:r>
      <w:r>
        <w:rPr/>
        <w:t>AP</w:t>
      </w:r>
      <w:r>
        <w:rPr/>
        <w:t>，也有人支持完成制宪会议，例如阿普拉党。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Heading3"/>
        <w:jc w:val="center"/>
        <w:rPr/>
      </w:pPr>
      <w:r>
        <w:rPr/>
        <w:t xml:space="preserve">2 </w:t>
      </w:r>
      <w:r>
        <w:rPr/>
        <w:t>关于</w:t>
      </w:r>
      <w:r>
        <w:rPr/>
        <w:t>选举中的机会主义路线</w:t>
      </w:r>
    </w:p>
    <w:p>
      <w:pPr>
        <w:pStyle w:val="Normal"/>
        <w:bidi w:val="0"/>
        <w:jc w:val="both"/>
        <w:rPr/>
      </w:pPr>
      <w:r>
        <w:rPr>
          <w:rFonts w:ascii="Noto Serif CJK SC" w:hAnsi="Noto Serif CJK SC" w:eastAsia="Noto Serif CJK SC"/>
          <w:i/>
          <w:iCs/>
          <w:sz w:val="21"/>
          <w:szCs w:val="21"/>
        </w:rPr>
        <w:t>　　</w:t>
      </w: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Heading3"/>
        <w:jc w:val="center"/>
        <w:rPr/>
      </w:pPr>
      <w:r>
        <w:rPr/>
        <w:t xml:space="preserve">3 </w:t>
      </w:r>
      <w:r>
        <w:rPr/>
        <w:t>在人民的道路上</w:t>
      </w:r>
    </w:p>
    <w:p>
      <w:pPr>
        <w:pStyle w:val="Normal"/>
        <w:bidi w:val="0"/>
        <w:jc w:val="both"/>
        <w:rPr/>
      </w:pPr>
      <w:r>
        <w:rPr>
          <w:rFonts w:ascii="Noto Serif CJK SC" w:hAnsi="Noto Serif CJK SC" w:eastAsia="Noto Serif CJK SC"/>
          <w:i/>
          <w:iCs/>
          <w:sz w:val="21"/>
          <w:szCs w:val="21"/>
        </w:rPr>
        <w:t>　　</w:t>
      </w: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坚持不参加立宪会议选举，号召抵制，掀起反对选举运动，被谴责为“左翼幼稚病”。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w:t>
      </w:r>
      <w:r>
        <w:rPr>
          <w:b/>
          <w:bCs/>
          <w:color w:val="FF0000"/>
        </w:rPr>
        <w:t>“只有动员占全国人口百分之九十的工农大众，才能战胜帝国主义，才能战胜封建主义。”</w:t>
      </w:r>
      <w:r>
        <w:rPr>
          <w:b w:val="false"/>
          <w:bCs w:val="false"/>
          <w:color w:val="000000"/>
        </w:rPr>
        <w:t>（《青年运动的方向》）</w:t>
      </w:r>
      <w:r>
        <w:rPr/>
        <w:t>让我们应用马里亚特吉的命令：</w:t>
      </w:r>
      <w:r>
        <w:rPr>
          <w:b/>
          <w:bCs/>
        </w:rPr>
        <w:t>“工农组织具有严格的阶级意识是我们努力和宣传的目标。”</w:t>
      </w:r>
    </w:p>
    <w:p>
      <w:pPr>
        <w:pStyle w:val="Normal"/>
        <w:bidi w:val="0"/>
        <w:jc w:val="both"/>
        <w:rPr/>
      </w:pPr>
      <w:r>
        <w:rPr/>
      </w:r>
    </w:p>
    <w:p>
      <w:pPr>
        <w:pStyle w:val="Heading3"/>
        <w:rPr>
          <w:color w:val="FF0000"/>
        </w:rPr>
      </w:pPr>
      <w:r>
        <w:rPr>
          <w:rFonts w:ascii="Noto Serif CJK SC" w:hAnsi="Noto Serif CJK SC" w:eastAsia="Noto Serif CJK SC"/>
          <w:i/>
          <w:iCs/>
          <w:color w:val="FF0000"/>
          <w:sz w:val="21"/>
          <w:szCs w:val="21"/>
        </w:rPr>
        <w:t>　　</w:t>
      </w:r>
      <w:r>
        <w:rPr>
          <w:color w:val="FF0000"/>
        </w:rPr>
        <w:t>反对宪政幻想，争取新民主主义国家！</w:t>
      </w:r>
    </w:p>
    <w:p>
      <w:pPr>
        <w:pStyle w:val="Heading3"/>
        <w:rPr>
          <w:color w:val="FF0000"/>
        </w:rPr>
      </w:pPr>
      <w:r>
        <w:rPr>
          <w:rFonts w:ascii="Noto Serif CJK SC" w:hAnsi="Noto Serif CJK SC" w:eastAsia="Noto Serif CJK SC"/>
          <w:i/>
          <w:iCs/>
          <w:color w:val="FF0000"/>
          <w:sz w:val="21"/>
          <w:szCs w:val="21"/>
        </w:rPr>
        <w:t>　　</w:t>
      </w:r>
      <w:r>
        <w:rPr>
          <w:color w:val="FF0000"/>
        </w:rPr>
        <w:t>让我们重回马里亚特吉并重建他的政党！</w:t>
      </w:r>
    </w:p>
    <w:p>
      <w:pPr>
        <w:pStyle w:val="Heading3"/>
        <w:rPr>
          <w:color w:val="FF0000"/>
        </w:rPr>
      </w:pPr>
      <w:r>
        <w:rPr>
          <w:rFonts w:ascii="Noto Serif CJK SC" w:hAnsi="Noto Serif CJK SC" w:eastAsia="Noto Serif CJK SC"/>
          <w:i/>
          <w:iCs/>
          <w:color w:val="FF0000"/>
          <w:sz w:val="21"/>
          <w:szCs w:val="21"/>
        </w:rPr>
        <w:t>　　</w:t>
      </w:r>
      <w:r>
        <w:rPr>
          <w:color w:val="FF0000"/>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1979</w:t>
      </w:r>
      <w:r>
        <w:rPr/>
        <w:t xml:space="preserve">年 </w:t>
      </w:r>
      <w:r>
        <w:rPr/>
        <w:t xml:space="preserve">-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著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毛泽东主席建立的人民战争军事理论，无产阶级领导的人民战争，是现在和未来，在旧时代战争时代的伟大命令。顽固的帝国主义和反动的世界秩序正在下沉，并将下沉。人民战争向我们提出了两个问题：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著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年，控制着意大利经济命脉的十大垄断集团的名义资本总额翻了</w:t>
      </w:r>
      <w:r>
        <w:rPr/>
        <w:t>15</w:t>
      </w:r>
      <w:r>
        <w:rPr/>
        <w:t>倍。菲亚特公司将其名义资本增加了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著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著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客观条件大体有利，革命形势继续发展；武装斗争更是如此。就我们的革命力量而言，它有了显著的壮大：党员特别是贫农的人数增加了，得到了加强和锻炼。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w:t>
      </w:r>
      <w:r>
        <w:rPr>
          <w:b/>
          <w:bCs/>
          <w:sz w:val="30"/>
          <w:szCs w:val="30"/>
        </w:rPr>
        <w:t>，</w:t>
      </w:r>
      <w:r>
        <w:rPr>
          <w:b/>
          <w:bCs/>
          <w:sz w:val="30"/>
          <w:szCs w:val="30"/>
        </w:rPr>
        <w:t>2001</w:t>
      </w:r>
      <w:r>
        <w:rPr>
          <w:b/>
          <w:bCs/>
          <w:sz w:val="30"/>
          <w:szCs w:val="30"/>
        </w:rPr>
        <w:t>，</w:t>
      </w:r>
      <w:r>
        <w:rPr>
          <w:b/>
          <w:bCs/>
          <w:sz w:val="30"/>
          <w:szCs w:val="30"/>
        </w:rPr>
        <w:t>2002</w:t>
      </w:r>
      <w:r>
        <w:rPr>
          <w:b/>
          <w:bCs/>
          <w:sz w:val="30"/>
          <w:szCs w:val="30"/>
        </w:rPr>
        <w:t>，</w:t>
      </w:r>
      <w:r>
        <w:rPr>
          <w:b/>
          <w:bCs/>
          <w:sz w:val="30"/>
          <w:szCs w:val="30"/>
        </w:rPr>
        <w:t>2007</w:t>
      </w:r>
      <w:r>
        <w:rPr>
          <w:b/>
          <w:bCs/>
          <w:sz w:val="30"/>
          <w:szCs w:val="30"/>
        </w:rPr>
        <w:t>，</w:t>
      </w:r>
      <w:r>
        <w:rPr>
          <w:b/>
          <w:bCs/>
          <w:sz w:val="30"/>
          <w:szCs w:val="30"/>
        </w:rPr>
        <w:t>2008 Free Software Foundation</w:t>
      </w:r>
      <w:r>
        <w:rPr>
          <w:b/>
          <w:bCs/>
          <w:sz w:val="30"/>
          <w:szCs w:val="30"/>
        </w:rPr>
        <w:t>，</w:t>
      </w:r>
      <w:r>
        <w:rPr>
          <w:b/>
          <w:bCs/>
          <w:sz w:val="30"/>
          <w:szCs w:val="30"/>
        </w:rPr>
        <w:t>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w:t>
      </w:r>
      <w:r>
        <w:rPr/>
        <w:t>，</w:t>
      </w:r>
      <w:r>
        <w:rPr/>
        <w:t>but changing it is not allowed.</w:t>
      </w:r>
    </w:p>
    <w:p>
      <w:pPr>
        <w:pStyle w:val="Heading4"/>
        <w:rPr/>
      </w:pPr>
      <w:bookmarkStart w:id="7" w:name="section0"/>
      <w:bookmarkEnd w:id="7"/>
      <w:r>
        <w:rPr/>
        <w:t>0. PREAMBLE</w:t>
      </w:r>
    </w:p>
    <w:p>
      <w:pPr>
        <w:pStyle w:val="TextBody"/>
        <w:rPr/>
      </w:pPr>
      <w:r>
        <w:rPr/>
        <w:t>The purpose of this License is to make a manual</w:t>
      </w:r>
      <w:r>
        <w:rPr/>
        <w:t>，</w:t>
      </w:r>
      <w:r>
        <w:rPr/>
        <w:t>textbook</w:t>
      </w:r>
      <w:r>
        <w:rPr/>
        <w:t>，</w:t>
      </w:r>
      <w:r>
        <w:rPr/>
        <w:t>or other functional and useful document "free" in the sense of freedom: to assure everyone the effective freedom to copy and redistribute it</w:t>
      </w:r>
      <w:r>
        <w:rPr/>
        <w:t>，</w:t>
      </w:r>
      <w:r>
        <w:rPr/>
        <w:t>with or without modifying it</w:t>
      </w:r>
      <w:r>
        <w:rPr/>
        <w:t>，</w:t>
      </w:r>
      <w:r>
        <w:rPr/>
        <w:t>either commercially or noncommercially. Secondarily</w:t>
      </w:r>
      <w:r>
        <w:rPr/>
        <w:t>，</w:t>
      </w:r>
      <w:r>
        <w:rPr/>
        <w:t>this License preserves for the author and publisher a way to get credit for their work</w:t>
      </w:r>
      <w:r>
        <w:rPr/>
        <w:t>，</w:t>
      </w:r>
      <w:r>
        <w:rPr/>
        <w:t>while not being considered responsible for modifications made by others.</w:t>
      </w:r>
    </w:p>
    <w:p>
      <w:pPr>
        <w:pStyle w:val="TextBody"/>
        <w:rPr/>
      </w:pPr>
      <w:r>
        <w:rPr/>
        <w:t>This License is a kind of "copyleft"</w:t>
      </w:r>
      <w:r>
        <w:rPr/>
        <w:t>，</w:t>
      </w:r>
      <w:r>
        <w:rPr/>
        <w:t>which means that derivative works of the document must themselves be free in the same sense. It complements the GNU General Public License</w:t>
      </w:r>
      <w:r>
        <w:rPr/>
        <w:t>，</w:t>
      </w:r>
      <w:r>
        <w:rPr/>
        <w:t>which is a copyleft license designed for free software.</w:t>
      </w:r>
    </w:p>
    <w:p>
      <w:pPr>
        <w:pStyle w:val="TextBody"/>
        <w:rPr/>
      </w:pPr>
      <w:r>
        <w:rPr/>
        <w:t>We have designed this License in order to use it for manuals for free software</w:t>
      </w:r>
      <w:r>
        <w:rPr/>
        <w:t>，</w:t>
      </w:r>
      <w:r>
        <w:rPr/>
        <w:t>because free software needs free documentation: a free program should come with manuals providing the same freedoms that the software does. But this License is not limited to software manuals; it can be used for any textual work</w:t>
      </w:r>
      <w:r>
        <w:rPr/>
        <w:t>，</w:t>
      </w:r>
      <w:r>
        <w:rPr/>
        <w:t>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w:t>
      </w:r>
      <w:r>
        <w:rPr/>
        <w:t>，</w:t>
      </w:r>
      <w:r>
        <w:rPr/>
        <w:t>in any medium</w:t>
      </w:r>
      <w:r>
        <w:rPr/>
        <w:t>，</w:t>
      </w:r>
      <w:r>
        <w:rPr/>
        <w:t>that contains a notice placed by the copyright holder saying it can be distributed under the terms of this License. Such a notice grants a world-wide</w:t>
      </w:r>
      <w:r>
        <w:rPr/>
        <w:t>，</w:t>
      </w:r>
      <w:r>
        <w:rPr/>
        <w:t>royalty-free license</w:t>
      </w:r>
      <w:r>
        <w:rPr/>
        <w:t>，</w:t>
      </w:r>
      <w:r>
        <w:rPr/>
        <w:t>unlimited in duration</w:t>
      </w:r>
      <w:r>
        <w:rPr/>
        <w:t>，</w:t>
      </w:r>
      <w:r>
        <w:rPr/>
        <w:t>to use that work under the conditions stated herein. The "Document"</w:t>
      </w:r>
      <w:r>
        <w:rPr/>
        <w:t>，</w:t>
      </w:r>
      <w:r>
        <w:rPr/>
        <w:t>below</w:t>
      </w:r>
      <w:r>
        <w:rPr/>
        <w:t>，</w:t>
      </w:r>
      <w:r>
        <w:rPr/>
        <w:t>refers to any such manual or work. Any member of the public is a licensee</w:t>
      </w:r>
      <w:r>
        <w:rPr/>
        <w:t>，</w:t>
      </w:r>
      <w:r>
        <w:rPr/>
        <w:t>and is addressed as "you". You accept the license if you copy</w:t>
      </w:r>
      <w:r>
        <w:rPr/>
        <w:t>，</w:t>
      </w:r>
      <w:r>
        <w:rPr/>
        <w:t>modify or distribute the work in a way requiring permission under copyright law.</w:t>
      </w:r>
    </w:p>
    <w:p>
      <w:pPr>
        <w:pStyle w:val="TextBody"/>
        <w:rPr/>
      </w:pPr>
      <w:r>
        <w:rPr/>
        <w:t>A "Modified Version" of the Document means any work containing the Document or a portion of it</w:t>
      </w:r>
      <w:r>
        <w:rPr/>
        <w:t>，</w:t>
      </w:r>
      <w:r>
        <w:rPr/>
        <w:t>either copied verbatim</w:t>
      </w:r>
      <w:r>
        <w:rPr/>
        <w:t>，</w:t>
      </w:r>
      <w:r>
        <w:rPr/>
        <w:t>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w:t>
      </w:r>
      <w:r>
        <w:rPr/>
        <w:t>，</w:t>
      </w:r>
      <w:r>
        <w:rPr/>
        <w:t>if the Document is in part a textbook of mathematics</w:t>
      </w:r>
      <w:r>
        <w:rPr/>
        <w:t>，</w:t>
      </w:r>
      <w:r>
        <w:rPr/>
        <w:t>a Secondary Section may not explain any mathematics.) The relationship could be a matter of historical connection with the subject or with related matters</w:t>
      </w:r>
      <w:r>
        <w:rPr/>
        <w:t>，</w:t>
      </w:r>
      <w:r>
        <w:rPr/>
        <w:t>or of legal</w:t>
      </w:r>
      <w:r>
        <w:rPr/>
        <w:t>，</w:t>
      </w:r>
      <w:r>
        <w:rPr/>
        <w:t>commercial</w:t>
      </w:r>
      <w:r>
        <w:rPr/>
        <w:t>，</w:t>
      </w:r>
      <w:r>
        <w:rPr/>
        <w:t>philosophical</w:t>
      </w:r>
      <w:r>
        <w:rPr/>
        <w:t>，</w:t>
      </w:r>
      <w:r>
        <w:rPr/>
        <w:t>ethical or political position regarding them.</w:t>
      </w:r>
    </w:p>
    <w:p>
      <w:pPr>
        <w:pStyle w:val="TextBody"/>
        <w:rPr/>
      </w:pPr>
      <w:r>
        <w:rPr/>
        <w:t>The "Invariant Sections" are certain Secondary Sections whose titles are designated</w:t>
      </w:r>
      <w:r>
        <w:rPr/>
        <w:t>，</w:t>
      </w:r>
      <w:r>
        <w:rPr/>
        <w:t>as being those of Invariant Sections</w:t>
      </w:r>
      <w:r>
        <w:rPr/>
        <w:t>，</w:t>
      </w:r>
      <w:r>
        <w:rPr/>
        <w:t>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w:t>
      </w:r>
      <w:r>
        <w:rPr/>
        <w:t>，</w:t>
      </w:r>
      <w:r>
        <w:rPr/>
        <w:t>as Front-Cover Texts or Back-Cover Texts</w:t>
      </w:r>
      <w:r>
        <w:rPr/>
        <w:t>，</w:t>
      </w:r>
      <w:r>
        <w:rPr/>
        <w:t>in the notice that says that the Document is released under this License. A Front-Cover Text may be at most 5 words</w:t>
      </w:r>
      <w:r>
        <w:rPr/>
        <w:t>，</w:t>
      </w:r>
      <w:r>
        <w:rPr/>
        <w:t>and a Back-Cover Text may be at most 25 words.</w:t>
      </w:r>
    </w:p>
    <w:p>
      <w:pPr>
        <w:pStyle w:val="TextBody"/>
        <w:rPr/>
      </w:pPr>
      <w:r>
        <w:rPr/>
        <w:t>A "Transparent" copy of the Document means a machine-readable copy</w:t>
      </w:r>
      <w:r>
        <w:rPr/>
        <w:t>，</w:t>
      </w:r>
      <w:r>
        <w:rPr/>
        <w:t>represented in a format whose specification is available to the general public</w:t>
      </w:r>
      <w:r>
        <w:rPr/>
        <w:t>，</w:t>
      </w:r>
      <w:r>
        <w:rPr/>
        <w:t>that is suitable for revising the document straightforwardly with generic text editors or (for images composed of pixels) generic paint programs or (for drawings) some widely available drawing editor</w:t>
      </w:r>
      <w:r>
        <w:rPr/>
        <w:t>，</w:t>
      </w:r>
      <w:r>
        <w:rPr/>
        <w:t>and that is suitable for input to text formatters or for automatic translation to a variety of formats suitable for input to text formatters. A copy made in an otherwise Transparent file format whose markup</w:t>
      </w:r>
      <w:r>
        <w:rPr/>
        <w:t>，</w:t>
      </w:r>
      <w:r>
        <w:rPr/>
        <w:t>or absence of markup</w:t>
      </w:r>
      <w:r>
        <w:rPr/>
        <w:t>，</w:t>
      </w:r>
      <w:r>
        <w:rPr/>
        <w:t>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w:t>
      </w:r>
      <w:r>
        <w:rPr/>
        <w:t>，</w:t>
      </w:r>
      <w:r>
        <w:rPr/>
        <w:t>Texinfo input format</w:t>
      </w:r>
      <w:r>
        <w:rPr/>
        <w:t>，</w:t>
      </w:r>
      <w:r>
        <w:rPr/>
        <w:t>LaTeX input format</w:t>
      </w:r>
      <w:r>
        <w:rPr/>
        <w:t>，</w:t>
      </w:r>
      <w:r>
        <w:rPr/>
        <w:t>SGML or XML using a publicly available DTD</w:t>
      </w:r>
      <w:r>
        <w:rPr/>
        <w:t>，</w:t>
      </w:r>
      <w:r>
        <w:rPr/>
        <w:t>and standard-conforming simple HTML</w:t>
      </w:r>
      <w:r>
        <w:rPr/>
        <w:t>，</w:t>
      </w:r>
      <w:r>
        <w:rPr/>
        <w:t>PostScript or PDF designed for human modification. Examples of transparent image formats include PNG</w:t>
      </w:r>
      <w:r>
        <w:rPr/>
        <w:t>，</w:t>
      </w:r>
      <w:r>
        <w:rPr/>
        <w:t>XCF and JPG. Opaque formats include proprietary formats that can be read and edited only by proprietary word processors</w:t>
      </w:r>
      <w:r>
        <w:rPr/>
        <w:t>，</w:t>
      </w:r>
      <w:r>
        <w:rPr/>
        <w:t>SGML or XML for which the DTD and/or processing tools are not generally available</w:t>
      </w:r>
      <w:r>
        <w:rPr/>
        <w:t>，</w:t>
      </w:r>
      <w:r>
        <w:rPr/>
        <w:t>and the machine-generated HTML</w:t>
      </w:r>
      <w:r>
        <w:rPr/>
        <w:t>，</w:t>
      </w:r>
      <w:r>
        <w:rPr/>
        <w:t>PostScript or PDF produced by some word processors for output purposes only.</w:t>
      </w:r>
    </w:p>
    <w:p>
      <w:pPr>
        <w:pStyle w:val="TextBody"/>
        <w:rPr/>
      </w:pPr>
      <w:r>
        <w:rPr/>
        <w:t>The "Title Page" means</w:t>
      </w:r>
      <w:r>
        <w:rPr/>
        <w:t>，</w:t>
      </w:r>
      <w:r>
        <w:rPr/>
        <w:t>for a printed book</w:t>
      </w:r>
      <w:r>
        <w:rPr/>
        <w:t>，</w:t>
      </w:r>
      <w:r>
        <w:rPr/>
        <w:t>the title page itself</w:t>
      </w:r>
      <w:r>
        <w:rPr/>
        <w:t>，</w:t>
      </w:r>
      <w:r>
        <w:rPr/>
        <w:t>plus such following pages as are needed to hold</w:t>
      </w:r>
      <w:r>
        <w:rPr/>
        <w:t>，</w:t>
      </w:r>
      <w:r>
        <w:rPr/>
        <w:t>legibly</w:t>
      </w:r>
      <w:r>
        <w:rPr/>
        <w:t>，</w:t>
      </w:r>
      <w:r>
        <w:rPr/>
        <w:t>the material this License requires to appear in the title page. For works in formats which do not have any title page as such</w:t>
      </w:r>
      <w:r>
        <w:rPr/>
        <w:t>，</w:t>
      </w:r>
      <w:r>
        <w:rPr/>
        <w:t>"Title Page" means the text near the most prominent appearance of the work's title</w:t>
      </w:r>
      <w:r>
        <w:rPr/>
        <w:t>，</w:t>
      </w:r>
      <w:r>
        <w:rPr/>
        <w:t>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w:t>
      </w:r>
      <w:r>
        <w:rPr/>
        <w:t>，</w:t>
      </w:r>
      <w:r>
        <w:rPr/>
        <w:t>such as "Acknowledgements"</w:t>
      </w:r>
      <w:r>
        <w:rPr/>
        <w:t>，</w:t>
      </w:r>
      <w:r>
        <w:rPr/>
        <w:t>"Dedications"</w:t>
      </w:r>
      <w:r>
        <w:rPr/>
        <w:t>，</w:t>
      </w:r>
      <w:r>
        <w:rPr/>
        <w:t>"Endorsements"</w:t>
      </w:r>
      <w:r>
        <w:rPr/>
        <w:t>，</w:t>
      </w:r>
      <w:r>
        <w:rPr/>
        <w:t>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w:t>
      </w:r>
      <w:r>
        <w:rPr/>
        <w:t>，</w:t>
      </w:r>
      <w:r>
        <w:rPr/>
        <w:t>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w:t>
      </w:r>
      <w:r>
        <w:rPr/>
        <w:t>，</w:t>
      </w:r>
      <w:r>
        <w:rPr/>
        <w:t>either commercially or noncommercially</w:t>
      </w:r>
      <w:r>
        <w:rPr/>
        <w:t>，</w:t>
      </w:r>
      <w:r>
        <w:rPr/>
        <w:t>provided that this License</w:t>
      </w:r>
      <w:r>
        <w:rPr/>
        <w:t>，</w:t>
      </w:r>
      <w:r>
        <w:rPr/>
        <w:t>the copyright notices</w:t>
      </w:r>
      <w:r>
        <w:rPr/>
        <w:t>，</w:t>
      </w:r>
      <w:r>
        <w:rPr/>
        <w:t>and the license notice saying this License applies to the Document are reproduced in all copies</w:t>
      </w:r>
      <w:r>
        <w:rPr/>
        <w:t>，</w:t>
      </w:r>
      <w:r>
        <w:rPr/>
        <w:t>and that you add no other conditions whatsoever to those of this License. You may not use technical measures to obstruct or control the reading or further copying of the copies you make or distribute. However</w:t>
      </w:r>
      <w:r>
        <w:rPr/>
        <w:t>，</w:t>
      </w:r>
      <w:r>
        <w:rPr/>
        <w:t>you may accept compensation in exchange for copies. If you distribute a large enough number of copies you must also follow the conditions in section 3.</w:t>
      </w:r>
    </w:p>
    <w:p>
      <w:pPr>
        <w:pStyle w:val="TextBody"/>
        <w:rPr/>
      </w:pPr>
      <w:r>
        <w:rPr/>
        <w:t>You may also lend copies</w:t>
      </w:r>
      <w:r>
        <w:rPr/>
        <w:t>，</w:t>
      </w:r>
      <w:r>
        <w:rPr/>
        <w:t>under the same conditions stated above</w:t>
      </w:r>
      <w:r>
        <w:rPr/>
        <w:t>，</w:t>
      </w:r>
      <w:r>
        <w:rPr/>
        <w:t>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w:t>
      </w:r>
      <w:r>
        <w:rPr/>
        <w:t>，</w:t>
      </w:r>
      <w:r>
        <w:rPr/>
        <w:t>numbering more than 100</w:t>
      </w:r>
      <w:r>
        <w:rPr/>
        <w:t>，</w:t>
      </w:r>
      <w:r>
        <w:rPr/>
        <w:t>and the Document's license notice requires Cover Texts</w:t>
      </w:r>
      <w:r>
        <w:rPr/>
        <w:t>，</w:t>
      </w:r>
      <w:r>
        <w:rPr/>
        <w:t>you must enclose the copies in covers that carry</w:t>
      </w:r>
      <w:r>
        <w:rPr/>
        <w:t>，</w:t>
      </w:r>
      <w:r>
        <w:rPr/>
        <w:t>clearly and legibly</w:t>
      </w:r>
      <w:r>
        <w:rPr/>
        <w:t>，</w:t>
      </w:r>
      <w:r>
        <w:rPr/>
        <w:t>all these Cover Texts: Front-Cover Texts on the front cover</w:t>
      </w:r>
      <w:r>
        <w:rPr/>
        <w:t>，</w:t>
      </w:r>
      <w:r>
        <w:rPr/>
        <w:t>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w:t>
      </w:r>
      <w:r>
        <w:rPr/>
        <w:t>，</w:t>
      </w:r>
      <w:r>
        <w:rPr/>
        <w:t>as long as they preserve the title of the Document and satisfy these conditions</w:t>
      </w:r>
      <w:r>
        <w:rPr/>
        <w:t>，</w:t>
      </w:r>
      <w:r>
        <w:rPr/>
        <w:t>can be treated as verbatim copying in other respects.</w:t>
      </w:r>
    </w:p>
    <w:p>
      <w:pPr>
        <w:pStyle w:val="TextBody"/>
        <w:rPr/>
      </w:pPr>
      <w:r>
        <w:rPr/>
        <w:t>If the required texts for either cover are too voluminous to fit legibly</w:t>
      </w:r>
      <w:r>
        <w:rPr/>
        <w:t>，</w:t>
      </w:r>
      <w:r>
        <w:rPr/>
        <w:t>you should put the first ones listed (as many as fit reasonably) on the actual cover</w:t>
      </w:r>
      <w:r>
        <w:rPr/>
        <w:t>，</w:t>
      </w:r>
      <w:r>
        <w:rPr/>
        <w:t>and continue the rest onto adjacent pages.</w:t>
      </w:r>
    </w:p>
    <w:p>
      <w:pPr>
        <w:pStyle w:val="TextBody"/>
        <w:rPr/>
      </w:pPr>
      <w:r>
        <w:rPr/>
        <w:t>If you publish or distribute Opaque copies of the Document numbering more than 100</w:t>
      </w:r>
      <w:r>
        <w:rPr/>
        <w:t>，</w:t>
      </w:r>
      <w:r>
        <w:rPr/>
        <w:t>you must either include a machine-readable Transparent copy along with each Opaque copy</w:t>
      </w:r>
      <w:r>
        <w:rPr/>
        <w:t>，</w:t>
      </w:r>
      <w:r>
        <w:rPr/>
        <w:t>or state in or with each Opaque copy a computer-network location from which the general network-using public has access to download using public-standard network protocols a complete Transparent copy of the Document</w:t>
      </w:r>
      <w:r>
        <w:rPr/>
        <w:t>，</w:t>
      </w:r>
      <w:r>
        <w:rPr/>
        <w:t>free of added material. If you use the latter option</w:t>
      </w:r>
      <w:r>
        <w:rPr/>
        <w:t>，</w:t>
      </w:r>
      <w:r>
        <w:rPr/>
        <w:t>you must take reasonably prudent steps</w:t>
      </w:r>
      <w:r>
        <w:rPr/>
        <w:t>，</w:t>
      </w:r>
      <w:r>
        <w:rPr/>
        <w:t>when you begin distribution of Opaque copies in quantity</w:t>
      </w:r>
      <w:r>
        <w:rPr/>
        <w:t>，</w:t>
      </w:r>
      <w:r>
        <w:rPr/>
        <w:t>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w:t>
      </w:r>
      <w:r>
        <w:rPr/>
        <w:t>，</w:t>
      </w:r>
      <w:r>
        <w:rPr/>
        <w:t>but not required</w:t>
      </w:r>
      <w:r>
        <w:rPr/>
        <w:t>，</w:t>
      </w:r>
      <w:r>
        <w:rPr/>
        <w:t>that you contact the authors of the Document well before redistributing any large number of copies</w:t>
      </w:r>
      <w:r>
        <w:rPr/>
        <w:t>，</w:t>
      </w:r>
      <w:r>
        <w:rPr/>
        <w:t>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w:t>
      </w:r>
      <w:r>
        <w:rPr/>
        <w:t>，</w:t>
      </w:r>
      <w:r>
        <w:rPr/>
        <w:t>provided that you release the Modified Version under precisely this License</w:t>
      </w:r>
      <w:r>
        <w:rPr/>
        <w:t>，</w:t>
      </w:r>
      <w:r>
        <w:rPr/>
        <w:t>with the Modified Version filling the role of the Document</w:t>
      </w:r>
      <w:r>
        <w:rPr/>
        <w:t>，</w:t>
      </w:r>
      <w:r>
        <w:rPr/>
        <w:t>thus licensing distribution and modification of the Modified Version to whoever possesses a copy of it. In addition</w:t>
      </w:r>
      <w:r>
        <w:rPr/>
        <w:t>，</w:t>
      </w:r>
      <w:r>
        <w:rPr/>
        <w:t>you must do these things in the Modified Version:</w:t>
      </w:r>
    </w:p>
    <w:p>
      <w:pPr>
        <w:pStyle w:val="TextBody"/>
        <w:numPr>
          <w:ilvl w:val="0"/>
          <w:numId w:val="2"/>
        </w:numPr>
        <w:tabs>
          <w:tab w:val="clear" w:pos="475"/>
          <w:tab w:val="left" w:pos="709" w:leader="none"/>
        </w:tabs>
        <w:spacing w:before="0" w:after="0"/>
        <w:ind w:left="709" w:hanging="283"/>
        <w:rPr/>
      </w:pPr>
      <w:r>
        <w:rPr/>
        <w:t>A. Use in the Title Page (and on the covers</w:t>
      </w:r>
      <w:r>
        <w:rPr/>
        <w:t>，</w:t>
      </w:r>
      <w:r>
        <w:rPr/>
        <w:t>if any) a title distinct from that of the Document</w:t>
      </w:r>
      <w:r>
        <w:rPr/>
        <w:t>，</w:t>
      </w:r>
      <w:r>
        <w:rPr/>
        <w:t>and from those of previous versions (which should</w:t>
      </w:r>
      <w:r>
        <w:rPr/>
        <w:t>，</w:t>
      </w:r>
      <w:r>
        <w:rPr/>
        <w:t>if there were any</w:t>
      </w:r>
      <w:r>
        <w:rPr/>
        <w:t>，</w:t>
      </w:r>
      <w:r>
        <w:rPr/>
        <w:t xml:space="preserve">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B. List on the Title Page</w:t>
      </w:r>
      <w:r>
        <w:rPr/>
        <w:t>，</w:t>
      </w:r>
      <w:r>
        <w:rPr/>
        <w:t>as authors</w:t>
      </w:r>
      <w:r>
        <w:rPr/>
        <w:t>，</w:t>
      </w:r>
      <w:r>
        <w:rPr/>
        <w:t>one or more persons or entities responsible for authorship of the modifications in the Modified Version</w:t>
      </w:r>
      <w:r>
        <w:rPr/>
        <w:t>，</w:t>
      </w:r>
      <w:r>
        <w:rPr/>
        <w:t>together with at least five of the principal authors of the Document (all of its principal authors</w:t>
      </w:r>
      <w:r>
        <w:rPr/>
        <w:t>，</w:t>
      </w:r>
      <w:r>
        <w:rPr/>
        <w:t>if it has fewer than five)</w:t>
      </w:r>
      <w:r>
        <w:rPr/>
        <w:t>，</w:t>
      </w:r>
      <w:r>
        <w:rPr/>
        <w:t xml:space="preserve">unless they release you from this requirement. </w:t>
      </w:r>
    </w:p>
    <w:p>
      <w:pPr>
        <w:pStyle w:val="TextBody"/>
        <w:numPr>
          <w:ilvl w:val="0"/>
          <w:numId w:val="2"/>
        </w:numPr>
        <w:tabs>
          <w:tab w:val="clear" w:pos="475"/>
          <w:tab w:val="left" w:pos="709" w:leader="none"/>
        </w:tabs>
        <w:spacing w:before="0" w:after="0"/>
        <w:ind w:left="709" w:hanging="283"/>
        <w:rPr/>
      </w:pPr>
      <w:r>
        <w:rPr/>
        <w:t>C. State on the Title page the name of the publisher of the Modified Version</w:t>
      </w:r>
      <w:r>
        <w:rPr/>
        <w:t>，</w:t>
      </w:r>
      <w:r>
        <w:rPr/>
        <w:t xml:space="preserve">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F. Include</w:t>
      </w:r>
      <w:r>
        <w:rPr/>
        <w:t>，</w:t>
      </w:r>
      <w:r>
        <w:rPr/>
        <w:t>immediately after the copyright notices</w:t>
      </w:r>
      <w:r>
        <w:rPr/>
        <w:t>，</w:t>
      </w:r>
      <w:r>
        <w:rPr/>
        <w:t>a license notice giving the public permission to use the Modified Version under the terms of this License</w:t>
      </w:r>
      <w:r>
        <w:rPr/>
        <w:t>，</w:t>
      </w:r>
      <w:r>
        <w:rPr/>
        <w:t xml:space="preserve">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I. Preserve the section Entitled "History"</w:t>
      </w:r>
      <w:r>
        <w:rPr/>
        <w:t>，</w:t>
      </w:r>
      <w:r>
        <w:rPr/>
        <w:t>Preserve its Title</w:t>
      </w:r>
      <w:r>
        <w:rPr/>
        <w:t>，</w:t>
      </w:r>
      <w:r>
        <w:rPr/>
        <w:t>and add to it an item stating at least the title</w:t>
      </w:r>
      <w:r>
        <w:rPr/>
        <w:t>，</w:t>
      </w:r>
      <w:r>
        <w:rPr/>
        <w:t>year</w:t>
      </w:r>
      <w:r>
        <w:rPr/>
        <w:t>，</w:t>
      </w:r>
      <w:r>
        <w:rPr/>
        <w:t>new authors</w:t>
      </w:r>
      <w:r>
        <w:rPr/>
        <w:t>，</w:t>
      </w:r>
      <w:r>
        <w:rPr/>
        <w:t>and publisher of the Modified Version as given on the Title Page. If there is no section Entitled "History" in the Document</w:t>
      </w:r>
      <w:r>
        <w:rPr/>
        <w:t>，</w:t>
      </w:r>
      <w:r>
        <w:rPr/>
        <w:t>create one stating the title</w:t>
      </w:r>
      <w:r>
        <w:rPr/>
        <w:t>，</w:t>
      </w:r>
      <w:r>
        <w:rPr/>
        <w:t>year</w:t>
      </w:r>
      <w:r>
        <w:rPr/>
        <w:t>，</w:t>
      </w:r>
      <w:r>
        <w:rPr/>
        <w:t>authors</w:t>
      </w:r>
      <w:r>
        <w:rPr/>
        <w:t>，</w:t>
      </w:r>
      <w:r>
        <w:rPr/>
        <w:t>and publisher of the Document as given on its Title Page</w:t>
      </w:r>
      <w:r>
        <w:rPr/>
        <w:t>，</w:t>
      </w:r>
      <w:r>
        <w:rPr/>
        <w:t xml:space="preserve">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J. Preserve the network location</w:t>
      </w:r>
      <w:r>
        <w:rPr/>
        <w:t>，</w:t>
      </w:r>
      <w:r>
        <w:rPr/>
        <w:t>if any</w:t>
      </w:r>
      <w:r>
        <w:rPr/>
        <w:t>，</w:t>
      </w:r>
      <w:r>
        <w:rPr/>
        <w:t>given in the Document for public access to a Transparent copy of the Document</w:t>
      </w:r>
      <w:r>
        <w:rPr/>
        <w:t>，</w:t>
      </w:r>
      <w:r>
        <w:rPr/>
        <w:t>and likewise the network locations given in the Document for previous versions it was based on. These may be placed in the "History" section. You may omit a network location for a work that was published at least four years before the Document itself</w:t>
      </w:r>
      <w:r>
        <w:rPr/>
        <w:t>，</w:t>
      </w:r>
      <w:r>
        <w:rPr/>
        <w:t xml:space="preserve">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K. For any section Entitled "Acknowledgements" or "Dedications"</w:t>
      </w:r>
      <w:r>
        <w:rPr/>
        <w:t>，</w:t>
      </w:r>
      <w:r>
        <w:rPr/>
        <w:t>Preserve the Title of the section</w:t>
      </w:r>
      <w:r>
        <w:rPr/>
        <w:t>，</w:t>
      </w:r>
      <w:r>
        <w:rPr/>
        <w:t xml:space="preserve">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L. Preserve all the Invariant Sections of the Document</w:t>
      </w:r>
      <w:r>
        <w:rPr/>
        <w:t>，</w:t>
      </w:r>
      <w:r>
        <w:rPr/>
        <w:t xml:space="preserve">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w:t>
      </w:r>
      <w:r>
        <w:rPr/>
        <w:t>，</w:t>
      </w:r>
      <w:r>
        <w:rPr/>
        <w:t>you may at your option designate some or all of these sections as invariant. To do this</w:t>
      </w:r>
      <w:r>
        <w:rPr/>
        <w:t>，</w:t>
      </w:r>
      <w:r>
        <w:rPr/>
        <w:t>add their titles to the list of Invariant Sections in the Modified Version's license notice. These titles must be distinct from any other section titles.</w:t>
      </w:r>
    </w:p>
    <w:p>
      <w:pPr>
        <w:pStyle w:val="TextBody"/>
        <w:rPr/>
      </w:pPr>
      <w:r>
        <w:rPr/>
        <w:t>You may add a section Entitled "Endorsements"</w:t>
      </w:r>
      <w:r>
        <w:rPr/>
        <w:t>，</w:t>
      </w:r>
      <w:r>
        <w:rPr/>
        <w:t>provided it contains nothing but endorsements of your Modified Version by various parties—for example</w:t>
      </w:r>
      <w:r>
        <w:rPr/>
        <w:t>，</w:t>
      </w:r>
      <w:r>
        <w:rPr/>
        <w:t>statements of peer review or that the text has been approved by an organization as the authoritative definition of a standard.</w:t>
      </w:r>
    </w:p>
    <w:p>
      <w:pPr>
        <w:pStyle w:val="TextBody"/>
        <w:rPr/>
      </w:pPr>
      <w:r>
        <w:rPr/>
        <w:t>You may add a passage of up to five words as a Front-Cover Text</w:t>
      </w:r>
      <w:r>
        <w:rPr/>
        <w:t>，</w:t>
      </w:r>
      <w:r>
        <w:rPr/>
        <w:t>and a passage of up to 25 words as a Back-Cover Text</w:t>
      </w:r>
      <w:r>
        <w:rPr/>
        <w:t>，</w:t>
      </w:r>
      <w:r>
        <w:rPr/>
        <w:t>to the end of the list of Cover Texts in the Modified Version. Only one passage of Front-Cover Text and one of Back-Cover Text may be added by (or through arrangements made by) any one entity. If the Document already includes a cover text for the same cover</w:t>
      </w:r>
      <w:r>
        <w:rPr/>
        <w:t>，</w:t>
      </w:r>
      <w:r>
        <w:rPr/>
        <w:t>previously added by you or by arrangement made by the same entity you are acting on behalf of</w:t>
      </w:r>
      <w:r>
        <w:rPr/>
        <w:t>，</w:t>
      </w:r>
      <w:r>
        <w:rPr/>
        <w:t>you may not add another; but you may replace the old one</w:t>
      </w:r>
      <w:r>
        <w:rPr/>
        <w:t>，</w:t>
      </w:r>
      <w:r>
        <w:rPr/>
        <w:t>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w:t>
      </w:r>
      <w:r>
        <w:rPr/>
        <w:t>，</w:t>
      </w:r>
      <w:r>
        <w:rPr/>
        <w:t>under the terms defined in section 4 above for modified versions</w:t>
      </w:r>
      <w:r>
        <w:rPr/>
        <w:t>，</w:t>
      </w:r>
      <w:r>
        <w:rPr/>
        <w:t>provided that you include in the combination all of the Invariant Sections of all of the original documents</w:t>
      </w:r>
      <w:r>
        <w:rPr/>
        <w:t>，</w:t>
      </w:r>
      <w:r>
        <w:rPr/>
        <w:t>unmodified</w:t>
      </w:r>
      <w:r>
        <w:rPr/>
        <w:t>，</w:t>
      </w:r>
      <w:r>
        <w:rPr/>
        <w:t>and list them all as Invariant Sections of your combined work in its license notice</w:t>
      </w:r>
      <w:r>
        <w:rPr/>
        <w:t>，</w:t>
      </w:r>
      <w:r>
        <w:rPr/>
        <w:t>and that you preserve all their Warranty Disclaimers.</w:t>
      </w:r>
    </w:p>
    <w:p>
      <w:pPr>
        <w:pStyle w:val="TextBody"/>
        <w:rPr/>
      </w:pPr>
      <w:r>
        <w:rPr/>
        <w:t>The combined work need only contain one copy of this License</w:t>
      </w:r>
      <w:r>
        <w:rPr/>
        <w:t>，</w:t>
      </w:r>
      <w:r>
        <w:rPr/>
        <w:t>and multiple identical Invariant Sections may be replaced with a single copy. If there are multiple Invariant Sections with the same name but different contents</w:t>
      </w:r>
      <w:r>
        <w:rPr/>
        <w:t>，</w:t>
      </w:r>
      <w:r>
        <w:rPr/>
        <w:t>make the title of each such section unique by adding at the end of it</w:t>
      </w:r>
      <w:r>
        <w:rPr/>
        <w:t>，</w:t>
      </w:r>
      <w:r>
        <w:rPr/>
        <w:t>in parentheses</w:t>
      </w:r>
      <w:r>
        <w:rPr/>
        <w:t>，</w:t>
      </w:r>
      <w:r>
        <w:rPr/>
        <w:t>the name of the original author or publisher of that section if known</w:t>
      </w:r>
      <w:r>
        <w:rPr/>
        <w:t>，</w:t>
      </w:r>
      <w:r>
        <w:rPr/>
        <w:t>or else a unique number. Make the same adjustment to the section titles in the list of Invariant Sections in the license notice of the combined work.</w:t>
      </w:r>
    </w:p>
    <w:p>
      <w:pPr>
        <w:pStyle w:val="TextBody"/>
        <w:rPr/>
      </w:pPr>
      <w:r>
        <w:rPr/>
        <w:t>In the combination</w:t>
      </w:r>
      <w:r>
        <w:rPr/>
        <w:t>，</w:t>
      </w:r>
      <w:r>
        <w:rPr/>
        <w:t>you must combine any sections Entitled "History" in the various original documents</w:t>
      </w:r>
      <w:r>
        <w:rPr/>
        <w:t>，</w:t>
      </w:r>
      <w:r>
        <w:rPr/>
        <w:t>forming one section Entitled "History"; likewise combine any sections Entitled "Acknowledgements"</w:t>
      </w:r>
      <w:r>
        <w:rPr/>
        <w:t>，</w:t>
      </w:r>
      <w:r>
        <w:rPr/>
        <w:t>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w:t>
      </w:r>
      <w:r>
        <w:rPr/>
        <w:t>，</w:t>
      </w:r>
      <w:r>
        <w:rPr/>
        <w:t>and replace the individual copies of this License in the various documents with a single copy that is included in the collection</w:t>
      </w:r>
      <w:r>
        <w:rPr/>
        <w:t>，</w:t>
      </w:r>
      <w:r>
        <w:rPr/>
        <w:t>provided that you follow the rules of this License for verbatim copying of each of the documents in all other respects.</w:t>
      </w:r>
    </w:p>
    <w:p>
      <w:pPr>
        <w:pStyle w:val="TextBody"/>
        <w:rPr/>
      </w:pPr>
      <w:r>
        <w:rPr/>
        <w:t>You may extract a single document from such a collection</w:t>
      </w:r>
      <w:r>
        <w:rPr/>
        <w:t>，</w:t>
      </w:r>
      <w:r>
        <w:rPr/>
        <w:t>and distribute it individually under this License</w:t>
      </w:r>
      <w:r>
        <w:rPr/>
        <w:t>，</w:t>
      </w:r>
      <w:r>
        <w:rPr/>
        <w:t>provided you insert a copy of this License into the extracted document</w:t>
      </w:r>
      <w:r>
        <w:rPr/>
        <w:t>，</w:t>
      </w:r>
      <w:r>
        <w:rPr/>
        <w:t>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w:t>
      </w:r>
      <w:r>
        <w:rPr/>
        <w:t>，</w:t>
      </w:r>
      <w:r>
        <w:rPr/>
        <w:t>in or on a volume of a storage or distribution medium</w:t>
      </w:r>
      <w:r>
        <w:rPr/>
        <w:t>，</w:t>
      </w:r>
      <w:r>
        <w:rPr/>
        <w:t>is called an "aggregate" if the copyright resulting from the compilation is not used to limit the legal rights of the compilation's users beyond what the individual works permit. When the Document is included in an aggregate</w:t>
      </w:r>
      <w:r>
        <w:rPr/>
        <w:t>，</w:t>
      </w:r>
      <w:r>
        <w:rPr/>
        <w:t>this License does not apply to the other works in the aggregate which are not themselves derivative works of the Document.</w:t>
      </w:r>
    </w:p>
    <w:p>
      <w:pPr>
        <w:pStyle w:val="TextBody"/>
        <w:rPr/>
      </w:pPr>
      <w:r>
        <w:rPr/>
        <w:t>If the Cover Text requirement of section 3 is applicable to these copies of the Document</w:t>
      </w:r>
      <w:r>
        <w:rPr/>
        <w:t>，</w:t>
      </w:r>
      <w:r>
        <w:rPr/>
        <w:t>then if the Document is less than one half of the entire aggregate</w:t>
      </w:r>
      <w:r>
        <w:rPr/>
        <w:t>，</w:t>
      </w:r>
      <w:r>
        <w:rPr/>
        <w:t>the Document's Cover Texts may be placed on covers that bracket the Document within the aggregate</w:t>
      </w:r>
      <w:r>
        <w:rPr/>
        <w:t>，</w:t>
      </w:r>
      <w:r>
        <w:rPr/>
        <w:t>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w:t>
      </w:r>
      <w:r>
        <w:rPr/>
        <w:t>，</w:t>
      </w:r>
      <w:r>
        <w:rPr/>
        <w:t>so you may distribute translations of the Document under the terms of section 4. Replacing Invariant Sections with translations requires special permission from their copyright holders</w:t>
      </w:r>
      <w:r>
        <w:rPr/>
        <w:t>，</w:t>
      </w:r>
      <w:r>
        <w:rPr/>
        <w:t>but you may include translations of some or all Invariant Sections in addition to the original versions of these Invariant Sections. You may include a translation of this License</w:t>
      </w:r>
      <w:r>
        <w:rPr/>
        <w:t>，</w:t>
      </w:r>
      <w:r>
        <w:rPr/>
        <w:t>and all the license notices in the Document</w:t>
      </w:r>
      <w:r>
        <w:rPr/>
        <w:t>，</w:t>
      </w:r>
      <w:r>
        <w:rPr/>
        <w:t>and any Warranty Disclaimers</w:t>
      </w:r>
      <w:r>
        <w:rPr/>
        <w:t>，</w:t>
      </w:r>
      <w:r>
        <w:rPr/>
        <w:t>provided that you also include the original English version of this License and the original versions of those notices and disclaimers. In case of a disagreement between the translation and the original version of this License or a notice or disclaimer</w:t>
      </w:r>
      <w:r>
        <w:rPr/>
        <w:t>，</w:t>
      </w:r>
      <w:r>
        <w:rPr/>
        <w:t>the original version will prevail.</w:t>
      </w:r>
    </w:p>
    <w:p>
      <w:pPr>
        <w:pStyle w:val="TextBody"/>
        <w:rPr/>
      </w:pPr>
      <w:r>
        <w:rPr/>
        <w:t>If a section in the Document is Entitled "Acknowledgements"</w:t>
      </w:r>
      <w:r>
        <w:rPr/>
        <w:t>，</w:t>
      </w:r>
      <w:r>
        <w:rPr/>
        <w:t>"Dedications"</w:t>
      </w:r>
      <w:r>
        <w:rPr/>
        <w:t>，</w:t>
      </w:r>
      <w:r>
        <w:rPr/>
        <w:t>or "History"</w:t>
      </w:r>
      <w:r>
        <w:rPr/>
        <w:t>，</w:t>
      </w:r>
      <w:r>
        <w:rPr/>
        <w:t>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w:t>
      </w:r>
      <w:r>
        <w:rPr/>
        <w:t>，</w:t>
      </w:r>
      <w:r>
        <w:rPr/>
        <w:t>modify</w:t>
      </w:r>
      <w:r>
        <w:rPr/>
        <w:t>，</w:t>
      </w:r>
      <w:r>
        <w:rPr/>
        <w:t>sublicense</w:t>
      </w:r>
      <w:r>
        <w:rPr/>
        <w:t>，</w:t>
      </w:r>
      <w:r>
        <w:rPr/>
        <w:t>or distribute the Document except as expressly provided under this License. Any attempt otherwise to copy</w:t>
      </w:r>
      <w:r>
        <w:rPr/>
        <w:t>，</w:t>
      </w:r>
      <w:r>
        <w:rPr/>
        <w:t>modify</w:t>
      </w:r>
      <w:r>
        <w:rPr/>
        <w:t>，</w:t>
      </w:r>
      <w:r>
        <w:rPr/>
        <w:t>sublicense</w:t>
      </w:r>
      <w:r>
        <w:rPr/>
        <w:t>，</w:t>
      </w:r>
      <w:r>
        <w:rPr/>
        <w:t>or distribute it is void</w:t>
      </w:r>
      <w:r>
        <w:rPr/>
        <w:t>，</w:t>
      </w:r>
      <w:r>
        <w:rPr/>
        <w:t>and will automatically terminate your rights under this License.</w:t>
      </w:r>
    </w:p>
    <w:p>
      <w:pPr>
        <w:pStyle w:val="TextBody"/>
        <w:rPr/>
      </w:pPr>
      <w:r>
        <w:rPr/>
        <w:t>However</w:t>
      </w:r>
      <w:r>
        <w:rPr/>
        <w:t>，</w:t>
      </w:r>
      <w:r>
        <w:rPr/>
        <w:t>if you cease all violation of this License</w:t>
      </w:r>
      <w:r>
        <w:rPr/>
        <w:t>，</w:t>
      </w:r>
      <w:r>
        <w:rPr/>
        <w:t>then your license from a particular copyright holder is reinstated (a) provisionally</w:t>
      </w:r>
      <w:r>
        <w:rPr/>
        <w:t>，</w:t>
      </w:r>
      <w:r>
        <w:rPr/>
        <w:t>unless and until the copyright holder explicitly and finally terminates your license</w:t>
      </w:r>
      <w:r>
        <w:rPr/>
        <w:t>，</w:t>
      </w:r>
      <w:r>
        <w:rPr/>
        <w:t>and (b) permanently</w:t>
      </w:r>
      <w:r>
        <w:rPr/>
        <w:t>，</w:t>
      </w:r>
      <w:r>
        <w:rPr/>
        <w:t>if the copyright holder fails to notify you of the violation by some reasonable means prior to 60 days after the cessation.</w:t>
      </w:r>
    </w:p>
    <w:p>
      <w:pPr>
        <w:pStyle w:val="TextBody"/>
        <w:rPr/>
      </w:pPr>
      <w:r>
        <w:rPr/>
        <w:t>Moreover</w:t>
      </w:r>
      <w:r>
        <w:rPr/>
        <w:t>，</w:t>
      </w:r>
      <w:r>
        <w:rPr/>
        <w:t>your license from a particular copyright holder is reinstated permanently if the copyright holder notifies you of the violation by some reasonable means</w:t>
      </w:r>
      <w:r>
        <w:rPr/>
        <w:t>，</w:t>
      </w:r>
      <w:r>
        <w:rPr/>
        <w:t>this is the first time you have received notice of violation of this License (for any work) from that copyright holder</w:t>
      </w:r>
      <w:r>
        <w:rPr/>
        <w:t>，</w:t>
      </w:r>
      <w:r>
        <w:rPr/>
        <w:t>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w:t>
      </w:r>
      <w:r>
        <w:rPr/>
        <w:t>，</w:t>
      </w:r>
      <w:r>
        <w:rPr/>
        <w:t>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The Free Software Foundation may publish new</w:t>
      </w:r>
      <w:r>
        <w:rPr/>
        <w:t>，</w:t>
      </w:r>
      <w:r>
        <w:rPr/>
        <w:t>revised versions of the GNU Free Documentation License from time to time. Such new versions will be similar in spirit to the present version</w:t>
      </w:r>
      <w:r>
        <w:rPr/>
        <w:t>，</w:t>
      </w:r>
      <w:r>
        <w:rPr/>
        <w:t xml:space="preserve">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w:t>
      </w:r>
      <w:r>
        <w:rPr/>
        <w:t>，</w:t>
      </w:r>
      <w:r>
        <w:rPr/>
        <w:t>you have the option of following the terms and conditions either of that specified version or of any later version that has been published (not as a draft) by the Free Software Foundation. If the Document does not specify a version number of this License</w:t>
      </w:r>
      <w:r>
        <w:rPr/>
        <w:t>，</w:t>
      </w:r>
      <w:r>
        <w:rPr/>
        <w:t>you may choose any version ever published (not as a draft) by the Free Software Foundation. If the Document specifies that a proxy can decide which future versions of this License can be used</w:t>
      </w:r>
      <w:r>
        <w:rPr/>
        <w:t>，</w:t>
      </w:r>
      <w:r>
        <w:rPr/>
        <w:t>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w:t>
      </w:r>
      <w:r>
        <w:rPr/>
        <w:t>，</w:t>
      </w:r>
      <w:r>
        <w:rPr/>
        <w:t>a not-for-profit corporation with a principal place of business in San Francisco</w:t>
      </w:r>
      <w:r>
        <w:rPr/>
        <w:t>，</w:t>
      </w:r>
      <w:r>
        <w:rPr/>
        <w:t>California</w:t>
      </w:r>
      <w:r>
        <w:rPr/>
        <w:t>，</w:t>
      </w:r>
      <w:r>
        <w:rPr/>
        <w:t>as well as future copyleft versions of that license published by that same organization.</w:t>
      </w:r>
    </w:p>
    <w:p>
      <w:pPr>
        <w:pStyle w:val="TextBody"/>
        <w:rPr/>
      </w:pPr>
      <w:r>
        <w:rPr/>
        <w:t>"Incorporate" means to publish or republish a Document</w:t>
      </w:r>
      <w:r>
        <w:rPr/>
        <w:t>，</w:t>
      </w:r>
      <w:r>
        <w:rPr/>
        <w:t>in whole or in part</w:t>
      </w:r>
      <w:r>
        <w:rPr/>
        <w:t>，</w:t>
      </w:r>
      <w:r>
        <w:rPr/>
        <w:t>as part of another Document.</w:t>
      </w:r>
    </w:p>
    <w:p>
      <w:pPr>
        <w:pStyle w:val="TextBody"/>
        <w:rPr/>
      </w:pPr>
      <w:r>
        <w:rPr/>
        <w:t>An MMC is "eligible for relicensing" if it is licensed under this License</w:t>
      </w:r>
      <w:r>
        <w:rPr/>
        <w:t>，</w:t>
      </w:r>
      <w:r>
        <w:rPr/>
        <w:t>and if all works that were first published under this License somewhere other than this MMC</w:t>
      </w:r>
      <w:r>
        <w:rPr/>
        <w:t>，</w:t>
      </w:r>
      <w:r>
        <w:rPr/>
        <w:t>and subsequently incorporated in whole or in part into the MMC</w:t>
      </w:r>
      <w:r>
        <w:rPr/>
        <w:t>，</w:t>
      </w:r>
      <w:r>
        <w:rPr/>
        <w:t>(1) had no cover texts or invariant sections</w:t>
      </w:r>
      <w:r>
        <w:rPr/>
        <w:t>，</w:t>
      </w:r>
      <w:r>
        <w:rPr/>
        <w:t>and (2) were thus incorporated prior to November 1</w:t>
      </w:r>
      <w:r>
        <w:rPr/>
        <w:t>，</w:t>
      </w:r>
      <w:r>
        <w:rPr/>
        <w:t>2008.</w:t>
      </w:r>
    </w:p>
    <w:p>
      <w:pPr>
        <w:pStyle w:val="TextBody"/>
        <w:rPr/>
      </w:pPr>
      <w:r>
        <w:rPr/>
        <w:t>The operator of an MMC Site may republish an MMC contained in the site under CC-BY-SA on the same site at any time before August 1</w:t>
      </w:r>
      <w:r>
        <w:rPr/>
        <w:t>，</w:t>
      </w:r>
      <w:r>
        <w:rPr/>
        <w:t>2009</w:t>
      </w:r>
      <w:r>
        <w:rPr/>
        <w:t>，</w:t>
      </w:r>
      <w:r>
        <w:rPr/>
        <w:t>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w:t>
      </w:r>
      <w:r>
        <w:rPr/>
        <w:t>，</w:t>
      </w:r>
      <w:r>
        <w:rPr/>
        <w:t>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w:t>
      </w:r>
      <w:r>
        <w:rPr/>
        <w:t>，</w:t>
      </w:r>
      <w:r>
        <w:rPr/>
        <w:t>distribute and/or modify this document</w:t>
      </w:r>
    </w:p>
    <w:p>
      <w:pPr>
        <w:pStyle w:val="PreformattedText"/>
        <w:rPr/>
      </w:pPr>
      <w:r>
        <w:rPr/>
        <w:t xml:space="preserve">    </w:t>
      </w:r>
      <w:r>
        <w:rPr/>
        <w:t>under the terms of the GNU Free Documentation License</w:t>
      </w:r>
      <w:r>
        <w:rPr/>
        <w:t>，</w:t>
      </w:r>
      <w:r>
        <w:rPr/>
        <w:t>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w:t>
      </w:r>
      <w:r>
        <w:rPr/>
        <w:t>，</w:t>
      </w:r>
      <w:r>
        <w:rPr/>
        <w:t>no Front-Cover Texts</w:t>
      </w:r>
      <w:r>
        <w:rPr/>
        <w:t>，</w:t>
      </w:r>
      <w:r>
        <w:rPr/>
        <w:t>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w:t>
      </w:r>
      <w:r>
        <w:rPr/>
        <w:t>，</w:t>
      </w:r>
      <w:r>
        <w:rPr/>
        <w:t>Front-Cover Texts and Back-Cover Texts</w:t>
      </w:r>
      <w:r>
        <w:rPr/>
        <w:t>，</w:t>
      </w:r>
      <w:r>
        <w:rPr/>
        <w:t>replace the "with … Texts." line with this:</w:t>
      </w:r>
    </w:p>
    <w:p>
      <w:pPr>
        <w:pStyle w:val="PreformattedText"/>
        <w:rPr/>
      </w:pPr>
      <w:r>
        <w:rPr/>
        <w:t xml:space="preserve">    </w:t>
      </w:r>
      <w:r>
        <w:rPr/>
        <w:t>with the Invariant Sections being LIST THEIR TITLES</w:t>
      </w:r>
      <w:r>
        <w:rPr/>
        <w:t>，</w:t>
      </w:r>
      <w:r>
        <w:rPr/>
        <w:t>with the</w:t>
      </w:r>
    </w:p>
    <w:p>
      <w:pPr>
        <w:pStyle w:val="PreformattedText"/>
        <w:spacing w:before="0" w:after="283"/>
        <w:rPr/>
      </w:pPr>
      <w:r>
        <w:rPr/>
        <w:t xml:space="preserve">    </w:t>
      </w:r>
      <w:r>
        <w:rPr/>
        <w:t>Front-Cover Texts being LIST</w:t>
      </w:r>
      <w:r>
        <w:rPr/>
        <w:t>，</w:t>
      </w:r>
      <w:r>
        <w:rPr/>
        <w:t>and with the Back-Cover Texts being LIST.</w:t>
      </w:r>
    </w:p>
    <w:p>
      <w:pPr>
        <w:pStyle w:val="TextBody"/>
        <w:rPr/>
      </w:pPr>
      <w:r>
        <w:rPr/>
        <w:t>If you have Invariant Sections without Cover Texts</w:t>
      </w:r>
      <w:r>
        <w:rPr/>
        <w:t>，</w:t>
      </w:r>
      <w:r>
        <w:rPr/>
        <w:t>or some other combination of the three</w:t>
      </w:r>
      <w:r>
        <w:rPr/>
        <w:t>，</w:t>
      </w:r>
      <w:r>
        <w:rPr/>
        <w:t>merge those two alternatives to suit the situation.</w:t>
      </w:r>
    </w:p>
    <w:p>
      <w:pPr>
        <w:pStyle w:val="TextBody"/>
        <w:spacing w:before="0" w:after="140"/>
        <w:rPr>
          <w:b/>
          <w:bCs/>
          <w:sz w:val="30"/>
          <w:szCs w:val="30"/>
        </w:rPr>
      </w:pPr>
      <w:r>
        <w:rPr/>
        <w:t>If your document contains nontrivial examples of program code</w:t>
      </w:r>
      <w:r>
        <w:rPr/>
        <w:t>，</w:t>
      </w:r>
      <w:r>
        <w:rPr/>
        <w:t>we recommend releasing these examples in parallel under your choice of free software license</w:t>
      </w:r>
      <w:r>
        <w:rPr/>
        <w:t>，</w:t>
      </w:r>
      <w:r>
        <w:rPr/>
        <w:t>such as the GNU General Public License</w:t>
      </w:r>
      <w:r>
        <w:rPr/>
        <w:t>，</w:t>
      </w:r>
      <w:r>
        <w:rPr/>
        <w:t xml:space="preserve">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83</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note">
    <w:name w:val="Footnote Text"/>
    <w:basedOn w:val="Normal"/>
    <w:pPr>
      <w:suppressLineNumbers/>
      <w:ind w:left="340" w:right="0" w:hanging="340"/>
    </w:pPr>
    <w:rPr>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4265</TotalTime>
  <Application>LibreOffice/7.5.1.2$Linux_X86_64 LibreOffice_project/fcbaee479e84c6cd81291587d2ee68cba099e129</Application>
  <AppVersion>15.0000</AppVersion>
  <Pages>218</Pages>
  <Words>282936</Words>
  <Characters>307596</Characters>
  <CharactersWithSpaces>313970</CharactersWithSpaces>
  <Paragraphs>2441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2023-06-12T03:45:31Z</dcterms:modified>
  <cp:revision>1106</cp:revision>
  <dc:subject/>
  <dc:title/>
</cp:coreProperties>
</file>