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 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ascii="Liberation Serif" w:hAnsi="Liberation Serif" w:eastAsia="Liberation Serif"/>
          <w:i/>
          <w:iCs/>
          <w:sz w:val="21"/>
          <w:szCs w:val="21"/>
        </w:rPr>
        <w:t xml:space="preserve"> </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 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 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 代表工业无产阶级说话时只攻击资产阶级， 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 除了组织， 没有别的武器。无产阶级被资产阶级世界中居于统治地位的无政府竞争所分散，被那种为资本的强迫劳动所压抑， 总是被抛到赤贫、 粗野和退化的“底层”， 它所以能够成为而且必然会成为不可战胜的力量， 就是因为它根据马克思主义原则形成的思想一致是用组织的物质统一来巩固的， 这个组织把千百万劳动者团结成一支工人阶级的大军。 在这支大军面前， 无论是已经衰败的俄国专制政权还是正在衰败的国际资本政权， 都是支持不住的。不管有什么曲折和退步， 不管现代社会民主党的吉伦特派讲些什么机会主义的空话， 不管人们怎样得意地赞美落后的小组习气， 不管他们怎样炫耀和喧嚷知识分子的无政府主义， 这支大军一定会把自己的队伍日益紧密地团结起来。” </w:t>
      </w:r>
      <w:r>
        <w:rPr/>
        <w:t>（《进一步， 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 同时保持对整个运动的领导， 当然， 保持领导不是靠权力， 而是靠威信， 毅力， 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 。”</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 ， 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 并且即将到来。向革命发展的形式虽然有了改变， 但革命的旧任务依然存在。由此得出的结论是： 组织形式应当改变，“支部”的形式应当灵活， 发展支部将往往不是靠发展支部本身， 而是靠发展它的合法的“外围组织 ” ， 等等。”</w:t>
      </w:r>
    </w:p>
    <w:p>
      <w:pPr>
        <w:pStyle w:val="Normal"/>
        <w:bidi w:val="0"/>
        <w:jc w:val="both"/>
        <w:rPr/>
      </w:pPr>
      <w:r>
        <w:rPr/>
      </w:r>
    </w:p>
    <w:p>
      <w:pPr>
        <w:pStyle w:val="Normal"/>
        <w:bidi w:val="0"/>
        <w:jc w:val="both"/>
        <w:rPr/>
      </w:pPr>
      <w:r>
        <w:rPr>
          <w:b/>
          <w:bCs/>
        </w:rPr>
        <w:t>　　“但是， 秘密组织形式这样改变， 决不能因此提出这样的公式：使秘密组织 “适应” 合法运动。完全不是这么回事！合法组织是把秘密支部的思想贯彻到群众中去的据点。 就是说， 我们改变施加影响的形式， 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 是秘密 “适应” 合法。 就我们党的工作内容来说， 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 。”</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 。”</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 。 事物都是一分为二的 。 有的人就是要搞阴谋，他要搞，有什么办法，现在还有要搞的嘛 ！ 搞阴谋的人，是客观存在 ， 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 ， 是世界上社会制度彻底变化的伟大时代，是一个翻天覆地的时代 ， 是过去任何一个历史时代都不能比拟的 。 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w:t>
      </w:r>
    </w:p>
    <w:p>
      <w:pPr>
        <w:pStyle w:val="Normal"/>
        <w:bidi w:val="0"/>
        <w:jc w:val="both"/>
        <w:rPr/>
      </w:pPr>
      <w:r>
        <w:rPr>
          <w:b/>
          <w:bCs/>
          <w:color w:val="FF0000"/>
        </w:rPr>
        <w:t>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 ， 我们认为还是这样：帝国主义之间闹 ，互相争夺殖民地 ，这个矛盾大些。 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“在那里冲突（苏伊士运河事件）的，有两类矛盾和三种力量。两类矛盾，一类是帝国主义眼帝国主义之间的矛盾，即美国跟英国、美国跟法国之间的矛盾，一类是帝国主义跟被压迫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 ， 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 ， 也实行“弱肉强食”的政策 ， 力图把它们踩在自己的脚下 。”</w:t>
      </w:r>
      <w:r>
        <w:rPr/>
        <w:t>他最后呼吁：</w:t>
      </w:r>
      <w:r>
        <w:rPr>
          <w:b/>
          <w:bCs/>
          <w:color w:val="FF0000"/>
        </w:rPr>
        <w:t>“社会主义阵营各国人民要联合起来，亚洲、非洲、拉丁美洲各国人民要联合起来，全世界各大洲的人民要联合起来 ，所有爱好和平的国家要联合起来 ， 所有受到美国侵略、控制、干涉和欺负的 国家要联合起来 ， 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并呼吁与两个超级大国进行斗争，他提出了以下重要论点：“美国是一只纸老虎。你不应该相信它。一击即可将其刺穿。苏联修正主义也是纸老虎。” “苏修美帝自作自受，为非作歹，污名化，全世界革命人民不会听之任之。各国人民都起来了。开始了反对美帝、反对苏修的新的历史时期。” “全世界人民，让我们团结起来，反对任何帝国主义、社会帝国主义发动的侵略战争；让我们特别反对以原子弹为武器的侵略战争。如果这样的战争爆发，全世界人民必须用革命战争来消灭它，我们必须马上做好准备！”</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每一个当小国人民敢于起来斗争，敢于拿起武器，把国家的命运掌握在自己手中的时候，就一定能够战胜大国的侵略。这是历史规律。”毛泽东主席总是非常注重战术原则。在这方面，他的著作《政策论》最为重要；他在那里确定了基本方针：“在全国各阶级的关系中，实行发展进步力量、争取中间力量、孤立反共顽固派的基本方针；”对顽固派实行革命的双重政策，为了打击他们，实行：“在对反共顽固派的斗争中，我们的方针是利用矛盾，争取多数，反对少数，打压我们的敌人一个接一个，并在主义的基础上进行斗争，对我们有利，并有克制。”</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我们长期以来形成了一个对敌斗争的观念，即在战略上要蔑视一切敌人，但在战术上我们应该认真对待它们。也就是说，在整体上要轻视敌人，但在具体问题上要认真对待敌人。如果我们不从整体上轻视他</w:t>
      </w:r>
      <w:r>
        <w:rPr/>
        <w:t>/</w:t>
      </w:r>
      <w:r>
        <w:rPr/>
        <w:t>她，我们就会犯机会主义的错误。马克思和恩格斯只是两个人，却在早期就宣布要在全世界推翻资本主义。但是，对于具体问题、具体敌人，不认真对待，就会犯冒险主义错误。战争只能一场一场地打，一次只能消灭敌军的一部分。工厂只能一座一座地建造起来。农民只能一块一块地耕种。</w:t>
      </w:r>
    </w:p>
    <w:p>
      <w:pPr>
        <w:pStyle w:val="Normal"/>
        <w:bidi w:val="0"/>
        <w:jc w:val="both"/>
        <w:rPr/>
      </w:pPr>
      <w:r>
        <w:rPr/>
      </w:r>
    </w:p>
    <w:p>
      <w:pPr>
        <w:pStyle w:val="Normal"/>
        <w:bidi w:val="0"/>
        <w:jc w:val="both"/>
        <w:rPr/>
      </w:pPr>
      <w:r>
        <w:rPr/>
        <w:t>吃饭也是一样。从战略上讲，我们吃一顿饭时轻描淡写；我们一定会处理好它。但是真正吃的时候，必须是一口一口地吃。你不能一口吞下整个宴会。这被称为零敲碎打的解决方案，在军事著作中被称为逐一消灭敌军。”</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 xml:space="preserve">他还通过无产阶级文化大革命找到了发展它的适当形式。在这场大革命的开始和发展过程中，他提出了以下论点：“天下大乱则天下大治，七八年又如此。怪物和恶魔会自己出来到 </w:t>
      </w:r>
      <w:r>
        <w:rPr/>
        <w:t>palaestra</w:t>
      </w:r>
      <w:r>
        <w:rPr/>
        <w:t>。由于他们自己的阶级本性决定的，他们不能不这样做。” “过去我们在农村、在工厂、在文化界进行斗争，进行社会主义教育运动。但是，这一切都不能解决问题，因为我们还没有找到一种形式，一种方法，公开地发动广大群众，在各个方面，从下到上，把我们不好的一面暴露出来。” “事实上，党内那些拥护资产阶级学院派小霸王的当权分子、走资派分子，以及那些保护这些小霸王的潜入党内的资产阶级代表人物，实际上是大小霸王。党内不读书不看报，不联系群众，一无所知，只靠“独断专行，以权镇民”，篡夺名主义的人。派对。”</w:t>
      </w:r>
    </w:p>
    <w:p>
      <w:pPr>
        <w:pStyle w:val="Normal"/>
        <w:bidi w:val="0"/>
        <w:jc w:val="both"/>
        <w:rPr/>
      </w:pPr>
      <w:r>
        <w:rPr/>
      </w:r>
    </w:p>
    <w:p>
      <w:pPr>
        <w:pStyle w:val="Normal"/>
        <w:bidi w:val="0"/>
        <w:jc w:val="both"/>
        <w:rPr/>
      </w:pPr>
      <w:r>
        <w:rPr/>
        <w:t>“</w:t>
      </w:r>
      <w:r>
        <w:rPr/>
        <w:t>渗入党内、政府内、军队内和文化界的资产阶级代表人物，是一伙夺取政权、变无产阶级专政为资产阶级专政的反革命修正主义分子，如果他们不机会。其中一些人，我们已经看透了；但还没有其他人。我们仍然信任其中一些人，并准备让他们成为我们的继任者。比如我们身边还住着赫鲁晓夫这种人。”</w:t>
      </w:r>
    </w:p>
    <w:p>
      <w:pPr>
        <w:pStyle w:val="Normal"/>
        <w:bidi w:val="0"/>
        <w:jc w:val="both"/>
        <w:rPr/>
      </w:pPr>
      <w:r>
        <w:rPr/>
      </w:r>
    </w:p>
    <w:p>
      <w:pPr>
        <w:pStyle w:val="Normal"/>
        <w:bidi w:val="0"/>
        <w:jc w:val="both"/>
        <w:rPr/>
      </w:pPr>
      <w:r>
        <w:rPr/>
        <w:t>“</w:t>
      </w:r>
      <w:r>
        <w:rPr/>
        <w:t>目前运动的主要对象是党内那些有势力的分子、走资派的人。” “如果中央出现修正主义你怎么办？这是很有可能的，这是最大的危险。“无产阶级必须在上层建筑包括文化的各个领域对资产阶级实行全面专政。” “现在的无产阶级文化大革命，对于巩固无产阶级专政，防止资本主义复辟，建设社会主义，是完全必要的，非常及时的。”</w:t>
      </w:r>
    </w:p>
    <w:p>
      <w:pPr>
        <w:pStyle w:val="Normal"/>
        <w:bidi w:val="0"/>
        <w:jc w:val="both"/>
        <w:rPr/>
      </w:pPr>
      <w:r>
        <w:rPr/>
      </w:r>
    </w:p>
    <w:p>
      <w:pPr>
        <w:pStyle w:val="Normal"/>
        <w:bidi w:val="0"/>
        <w:jc w:val="both"/>
        <w:rPr/>
      </w:pPr>
      <w:r>
        <w:rPr/>
        <w:t>“</w:t>
      </w:r>
      <w:r>
        <w:rPr/>
        <w:t>现在的无产阶级文化大革命只是第一次，以后肯定还会有很多次。一场革命，谁胜谁负的问题，要经过一个漫长的历史时期才能解决。如果解决不好，资本主义复辟随时都有可能。” “就是为了造反反动派。” “无产阶级革命者，联合起来，向党内一小撮走资本主义道路的领导人夺权！”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 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 2001, 2002, 2007, 2008 Free Software Foundation, 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 but changing it is not allowed.</w:t>
      </w:r>
    </w:p>
    <w:p>
      <w:pPr>
        <w:pStyle w:val="Heading4"/>
        <w:rPr/>
      </w:pPr>
      <w:bookmarkStart w:id="7" w:name="section0"/>
      <w:bookmarkEnd w:id="7"/>
      <w:r>
        <w:rPr/>
        <w:t>0. PREAMBLE</w:t>
      </w:r>
    </w:p>
    <w:p>
      <w:pPr>
        <w:pStyle w:val="TextBody"/>
        <w:rPr/>
      </w:pPr>
      <w:r>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pStyle w:val="TextBody"/>
        <w:rPr/>
      </w:pPr>
      <w:r>
        <w:rPr/>
        <w:t>This License is a kind of "copyleft", which means that derivative works of the document must themselves be free in the same sense. It complements the GNU General Public License, which is a copyleft license designed for free software.</w:t>
      </w:r>
    </w:p>
    <w:p>
      <w:pPr>
        <w:pStyle w:val="TextBody"/>
        <w:rPr/>
      </w:pPr>
      <w:r>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pStyle w:val="TextBody"/>
        <w:rPr/>
      </w:pPr>
      <w:r>
        <w:rPr/>
        <w:t>A "Modified Version" of the Document means any work containing the Document or a portion of it, either copied verbatim, 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pStyle w:val="TextBody"/>
        <w:rPr/>
      </w:pPr>
      <w:r>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pStyle w:val="TextBody"/>
        <w:rPr/>
      </w:pPr>
      <w:r>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pStyle w:val="TextBody"/>
        <w:rPr/>
      </w:pPr>
      <w:r>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pStyle w:val="TextBody"/>
        <w:rPr/>
      </w:pPr>
      <w:r>
        <w:rPr/>
        <w:t>You may also lend copies, under the same conditions stated above, 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pStyle w:val="TextBody"/>
        <w:rPr/>
      </w:pPr>
      <w:r>
        <w:rPr/>
        <w:t>If the required texts for either cover are too voluminous to fit legibly, you should put the first ones listed (as many as fit reasonably) on the actual cover, and continue the rest onto adjacent pages.</w:t>
      </w:r>
    </w:p>
    <w:p>
      <w:pPr>
        <w:pStyle w:val="TextBody"/>
        <w:rPr/>
      </w:pPr>
      <w:r>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 but not required, that you contact the authors of the Document well before redistributing any large number of copies, 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pStyle w:val="TextBody"/>
        <w:numPr>
          <w:ilvl w:val="0"/>
          <w:numId w:val="2"/>
        </w:numPr>
        <w:tabs>
          <w:tab w:val="clear" w:pos="475"/>
          <w:tab w:val="left" w:pos="709" w:leader="none"/>
        </w:tabs>
        <w:spacing w:before="0" w:after="0"/>
        <w:ind w:left="709" w:hanging="283"/>
        <w:rPr/>
      </w:pPr>
      <w:r>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pPr>
        <w:pStyle w:val="TextBody"/>
        <w:numPr>
          <w:ilvl w:val="0"/>
          <w:numId w:val="2"/>
        </w:numPr>
        <w:tabs>
          <w:tab w:val="clear" w:pos="475"/>
          <w:tab w:val="left" w:pos="709" w:leader="none"/>
        </w:tabs>
        <w:spacing w:before="0" w:after="0"/>
        <w:ind w:left="709" w:hanging="283"/>
        <w:rPr/>
      </w:pPr>
      <w:r>
        <w:rPr/>
        <w:t xml:space="preserve">C. State on the Title page the name of the publisher of the Modified Version, 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 xml:space="preserve">F. Include, immediately after the copyright notices, a license notice giving the public permission to use the Modified Version under the terms of this License, 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 xml:space="preserve">K. For any section Entitled "Acknowledgements" or "Dedications", Preserve the Title of the section, 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 xml:space="preserve">L. Preserve all the Invariant Sections of the Document, 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pPr>
        <w:pStyle w:val="TextBody"/>
        <w:rPr/>
      </w:pPr>
      <w:r>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pStyle w:val="TextBody"/>
        <w:rPr/>
      </w:pPr>
      <w:r>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pStyle w:val="TextBody"/>
        <w:rPr/>
      </w:pPr>
      <w:r>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pStyle w:val="TextBody"/>
        <w:rPr/>
      </w:pPr>
      <w:r>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TextBody"/>
        <w:rPr/>
      </w:pPr>
      <w:r>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pStyle w:val="TextBody"/>
        <w:rPr/>
      </w:pPr>
      <w:r>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TextBody"/>
        <w:rPr/>
      </w:pPr>
      <w:r>
        <w:rPr/>
        <w:t>If a section in the Document is Entitled "Acknowledgements", "Dedications", or "History", 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 modify, sublicense, or distribute the Document except as expressly provided under this License. Any attempt otherwise to copy, modify, sublicense, or distribute it is void, and will automatically terminate your rights under this License.</w:t>
      </w:r>
    </w:p>
    <w:p>
      <w:pPr>
        <w:pStyle w:val="TextBody"/>
        <w:rPr/>
      </w:pPr>
      <w:r>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pPr>
        <w:pStyle w:val="TextBody"/>
        <w:rPr/>
      </w:pPr>
      <w:r>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pPr>
        <w:pStyle w:val="TextBody"/>
        <w:rPr/>
      </w:pPr>
      <w:r>
        <w:rPr/>
        <w:t>"Incorporate" means to publish or republish a Document, in whole or in part, as part of another Document.</w:t>
      </w:r>
    </w:p>
    <w:p>
      <w:pPr>
        <w:pStyle w:val="TextBody"/>
        <w:rPr/>
      </w:pPr>
      <w:r>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pPr>
        <w:pStyle w:val="TextBody"/>
        <w:rPr/>
      </w:pPr>
      <w:r>
        <w:rPr/>
        <w:t>The operator of an MMC Site may republish an MMC contained in the site under CC-BY-SA on the same site at any time before August 1, 2009, 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 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 distribute and/or modify this document</w:t>
      </w:r>
    </w:p>
    <w:p>
      <w:pPr>
        <w:pStyle w:val="PreformattedText"/>
        <w:rPr/>
      </w:pPr>
      <w:r>
        <w:rPr/>
        <w:t xml:space="preserve">    </w:t>
      </w:r>
      <w:r>
        <w:rPr/>
        <w:t>under the terms of the GNU Free Documentation License, 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 no Front-Cover Texts, 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 Front-Cover Texts and Back-Cover Texts, replace the "with … Texts." line with this:</w:t>
      </w:r>
    </w:p>
    <w:p>
      <w:pPr>
        <w:pStyle w:val="PreformattedText"/>
        <w:rPr/>
      </w:pPr>
      <w:r>
        <w:rPr/>
        <w:t xml:space="preserve">    </w:t>
      </w:r>
      <w:r>
        <w:rPr/>
        <w:t>with the Invariant Sections being LIST THEIR TITLES, with the</w:t>
      </w:r>
    </w:p>
    <w:p>
      <w:pPr>
        <w:pStyle w:val="PreformattedText"/>
        <w:spacing w:before="0" w:after="283"/>
        <w:rPr/>
      </w:pPr>
      <w:r>
        <w:rPr/>
        <w:t xml:space="preserve">    </w:t>
      </w:r>
      <w:r>
        <w:rPr/>
        <w:t>Front-Cover Texts being LIST, and with the Back-Cover Texts being LIST.</w:t>
      </w:r>
    </w:p>
    <w:p>
      <w:pPr>
        <w:pStyle w:val="TextBody"/>
        <w:rPr/>
      </w:pPr>
      <w:r>
        <w:rPr/>
        <w:t>If you have Invariant Sections without Cover Texts, or some other combination of the three, merge those two alternatives to suit the situation.</w:t>
      </w:r>
    </w:p>
    <w:p>
      <w:pPr>
        <w:pStyle w:val="TextBody"/>
        <w:spacing w:before="0" w:after="140"/>
        <w:rPr>
          <w:b/>
          <w:bCs/>
          <w:sz w:val="30"/>
          <w:szCs w:val="30"/>
        </w:rPr>
      </w:pPr>
      <w:r>
        <w:rPr/>
        <w:t xml:space="preserve">If your document contains nontrivial examples of program code, we recommend releasing these examples in parallel under your choice of free software license, such as the GNU General Public License, 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205</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3665</TotalTime>
  <Application>LibreOffice/7.5.1.2$Linux_X86_64 LibreOffice_project/fcbaee479e84c6cd81291587d2ee68cba099e129</Application>
  <AppVersion>15.0000</AppVersion>
  <Pages>217</Pages>
  <Words>281801</Words>
  <Characters>306586</Characters>
  <CharactersWithSpaces>312898</CharactersWithSpaces>
  <Paragraphs>2436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2023-05-21T01:56:37Z</dcterms:modified>
  <cp:revision>945</cp:revision>
  <dc:subject/>
  <dc:title/>
</cp:coreProperties>
</file>