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footer100.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footer83.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5"/>
      <w:bookmarkEnd w:id="0"/>
      <w:r>
        <w:rPr/>
        <w:t>目录</w:t>
      </w:r>
    </w:p>
    <w:p>
      <w:pPr>
        <w:pStyle w:val="Normal"/>
        <w:bidi w:val="0"/>
        <w:jc w:val="both"/>
        <w:rPr/>
      </w:pPr>
      <w:r>
        <w:rPr/>
        <w:t>——————————</w:t>
      </w:r>
    </w:p>
    <w:p>
      <w:pPr>
        <w:pStyle w:val="Normal"/>
        <w:bidi w:val="0"/>
        <w:jc w:val="both"/>
        <w:rPr/>
      </w:pPr>
      <w:r>
        <w:rPr/>
        <w:t>　　</w:t>
      </w:r>
      <w:hyperlink w:anchor="_toc156">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88">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3">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2">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2">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PCP </w:t>
      </w:r>
      <w:r>
        <w:rPr/>
        <w:t xml:space="preserve">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1" w:name="_toc156"/>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和供认的马克思主义者，他的思想也没有得到马列主义的支持。</w:t>
      </w:r>
    </w:p>
    <w:p>
      <w:pPr>
        <w:pStyle w:val="Normal"/>
        <w:bidi w:val="0"/>
        <w:jc w:val="both"/>
        <w:rPr/>
      </w:pPr>
      <w:r>
        <w:rPr/>
      </w:r>
    </w:p>
    <w:p>
      <w:pPr>
        <w:pStyle w:val="Normal"/>
        <w:bidi w:val="0"/>
        <w:jc w:val="both"/>
        <w:rPr/>
      </w:pPr>
      <w:r>
        <w:rPr/>
        <w:t>　　马里亚特吉自己说过。他是一个被定罪并供认不讳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w:t>
      </w:r>
      <w:r>
        <w:rPr/>
        <w:t>被定罪并供认</w:t>
      </w:r>
      <w:r>
        <w:rPr/>
        <w:t>的</w:t>
      </w:r>
      <w:r>
        <w:rPr/>
        <w:t>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w:t>
      </w:r>
      <w:r>
        <w:rPr/>
        <w:t>PCP</w:t>
      </w:r>
      <w:r>
        <w:rPr/>
        <w:t>）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2" w:name="_toc288"/>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5">
        <w:bookmarkStart w:id="3" w:name="_toc383"/>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xml:space="preserve">　　作为一个“被定罪并供认不讳的马克思主义者”，马里亚特吉创造性地应用了这些原则。正如上文提到的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5">
        <w:bookmarkStart w:id="5" w:name="_toc712"/>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38">
        <w:bookmarkStart w:id="6" w:name="_toc838"/>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二、马里亚特吉是一个“被定罪并供认的”马列主义者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坏无产阶级的斗争，摧毁无产阶级的党，束缚革命。因此，政治问题很重要，再次重申和澄清马里亚特吉的马列主义立场，让我们回想一下，他宣称自己如此“被定罪并供认不讳”。</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安装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进化的国家、原始国家的经济剥削”非洲、亚洲、美洲、大洋洲和欧洲本身……人类中文明程度较低的部分为文明程度较高的部分工作……但是他们计划科学地重组对殖民地国家的剥削，将它们转变为顺从的提供者原材料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实现社会主义完全没收无产阶级的政权。”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；一种矛盾，倾向于第一种倾向，因此并没有停止存在，而是以新的形式继续发展：一种倾向提议扫除“圣巴塞洛缪之夜法西斯政权的所有反对者”，而另一些倾向则“更多知识分子，但同样是世界末日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文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工业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xml:space="preserve">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的结构中农业经济”马里亚特吉说。我们今天看到它，尽管岁月流逝，因为它仍然存在，并且发展了新形式的半封建根源，无酬劳动形式，家庭义务和延期工资，个人特权，旧大庄园的维持和融合以及 </w:t>
      </w:r>
      <w:r>
        <w:rPr/>
        <w:t xml:space="preserve">gamonalismo </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完成资产阶级政权无能为力的资产阶级民主革命的任务去发展和实现。”这就是我们的立场。我们必须坚持和打击反革命论点，把矛头对准宣扬反对马里亚特吉论点的社会社团主义修正主义，它是我国社会帝国主义的支队，其努力只是为了它与美国超级大国的勾结和冲突为了统治世界。</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和征服”。捍卫他们的利益。”那样，必须没收土地来消灭封建制度，只有武装的工农才能做到这一点，因为没有别的办法可以打破封建制度，消灭大庄园，废除农奴制度。我们不能忘记，秘鲁的法律统治着土地关系，废除了农奴制已有</w:t>
      </w:r>
      <w:r>
        <w:rPr/>
        <w:t>l50</w:t>
      </w:r>
      <w:r>
        <w:rPr/>
        <w:t>多年，但实际上却保留了底层的封建制度。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取消了他们作为一个元素进步。那些使印第安人陷入贫困和沮丧的人，使民族陷入贫困和沮丧的人</w:t>
      </w:r>
      <w:r>
        <w:rPr/>
        <w:t>......</w:t>
      </w:r>
      <w:r>
        <w:rPr/>
        <w:t>没有印第安人，就不可能成为秘鲁人。这个真理首先应该对纯粹的民主自由资产阶级的人有效和民族主义意识形态……”</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立场民族资产阶级；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的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班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为无产阶级的人类军团中是不可避免的”之后，他要求：“重要的是这些群体和倾向知道如何在具体现实面前相互理解所以他们不会像拜占庭人那样在相互开除教会和前忏悔中崩溃。他们不会通过传教士的教条争吵的大表演来疏远群众与革命。他们不使用他们的武器或者把时间浪费在互相伤害上，而是在与旧的社会秩序、它的制度、它的不公正和它的罪行作斗争上。”</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资产阶级左派”，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它像所有此类攻势一样，根据需要使用政治欺骗和镇压；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实现工人阶级的本能做不到：无产阶级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参加音乐会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而有效的历史意义的情报。”</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随着我永远无法理解的政治部门是另一回事：平庸的改良主义、驯化的社会主义或法利赛人的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年，他就写道：“不存在有节制的、均匀的、温和的、平静的、平静的革命”；</w:t>
      </w:r>
      <w:r>
        <w:rPr/>
        <w:t>1923</w:t>
      </w:r>
      <w:r>
        <w:rPr/>
        <w:t>年：“权力是通过暴力征服的……只有通过独裁才能保存权力”；</w:t>
      </w:r>
      <w:r>
        <w:rPr/>
        <w:t>1925</w:t>
      </w:r>
      <w:r>
        <w:rPr/>
        <w:t>年：“反应是保护的本能，是过去的痛苦，而革命是痛苦的孕育，是现在的血腥诞生”；并在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只不过是阶级斗争中的插曲……革命中忘恩负主义的一章。”在这里，我们看到马克思主义者在革命与反革命斗争之前的正确立场，对革命必将胜利的不变的信心；在这里，我们有必须指导我们的论点。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 xml:space="preserve">安第斯山脉 </w:t>
      </w:r>
      <w:r>
        <w:rPr/>
        <w:t xml:space="preserve">- Trans. </w:t>
      </w:r>
      <w:r>
        <w:rPr/>
        <w:t>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灭封建制度。</w:t>
      </w:r>
    </w:p>
    <w:p>
      <w:pPr>
        <w:pStyle w:val="Normal"/>
        <w:bidi w:val="0"/>
        <w:jc w:val="both"/>
        <w:rPr/>
      </w:pPr>
      <w:r>
        <w:rPr/>
      </w:r>
    </w:p>
    <w:p>
      <w:pPr>
        <w:pStyle w:val="Normal"/>
        <w:bidi w:val="0"/>
        <w:jc w:val="both"/>
        <w:rPr/>
      </w:pPr>
      <w:r>
        <w:rPr/>
        <w:t>　　</w:t>
      </w:r>
      <w:r>
        <w:rPr/>
        <w:t>g</w:t>
      </w:r>
      <w:r>
        <w:rPr/>
        <w:t>）无产阶级党。“政治斗争需要建立一个阶级政党”菲律宾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植根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 xml:space="preserve">多年的斗争中， 维持了 </w:t>
      </w:r>
      <w:r>
        <w:rPr/>
        <w:t xml:space="preserve">PCP </w:t>
      </w:r>
      <w:r>
        <w:rPr/>
        <w:t>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演员。工人阶级有一个神话，一个目标——社会革命，一个无产阶级以“积极而强烈的信念”坚持和前进的目标，与资产阶级的怀疑主义和颓废主义形成鲜明对比。群众为确保他们胜利的“最后的斗争”而战，他说：“尤金波蒂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w:t>
      </w:r>
    </w:p>
    <w:p>
      <w:pPr>
        <w:pStyle w:val="Normal"/>
        <w:bidi w:val="0"/>
        <w:jc w:val="both"/>
        <w:rPr/>
      </w:pPr>
      <w:r>
        <w:rPr/>
        <w:t>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菲律宾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w:t>
      </w:r>
      <w:r>
        <w:rPr/>
        <w:t xml:space="preserve">PCP </w:t>
      </w:r>
      <w:r>
        <w:rPr/>
        <w:t>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 xml:space="preserve">(PCP)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w:t>
      </w:r>
      <w:r>
        <w:rPr/>
        <w:t>PCP</w:t>
      </w:r>
      <w:r>
        <w:rPr/>
        <w:t>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w:t>
      </w:r>
      <w:r>
        <w:rPr/>
        <w:t xml:space="preserve">PCP </w:t>
      </w:r>
      <w:r>
        <w:rPr/>
        <w:t>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w:t>
      </w:r>
      <w:r>
        <w:rPr/>
        <w:t>PCP</w:t>
      </w:r>
      <w:r>
        <w:rPr/>
        <w:t>）。党进入了一场大风暴；一切都会被点燃。长期以来，我们一直寻求成为一个极地中心。现在是时候了。我们走的道路是正确的，我们面临的问题都会迎刃而解。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PCP -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PCP -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(PCP)</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 xml:space="preserve">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w:t>
      </w:r>
      <w:r>
        <w:rPr/>
        <w:t xml:space="preserve">PCP </w:t>
      </w:r>
      <w:r>
        <w:rPr/>
        <w:t>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PCP -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 xml:space="preserve">周年，这一天因共产党人、战斗员和 </w:t>
      </w:r>
      <w:r>
        <w:rPr/>
        <w:t xml:space="preserve">PCP </w:t>
      </w:r>
      <w:r>
        <w:rPr/>
        <w:t>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 xml:space="preserve">名囚犯牺牲了自己的生命，以只有人民战争才能产生的不屈不挠的勇气和英雄主义，为阶级和 </w:t>
      </w:r>
      <w:r>
        <w:rPr/>
        <w:t xml:space="preserve">PCP </w:t>
      </w:r>
      <w:r>
        <w:rPr/>
        <w:t>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PCP </w:t>
      </w:r>
      <w:r>
        <w:rPr/>
        <w:t xml:space="preserve">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4. PCP</w:t>
      </w:r>
      <w:r>
        <w:rPr/>
        <w:t>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PCP </w:t>
      </w:r>
      <w:r>
        <w:rPr/>
        <w:t xml:space="preserve">和 </w:t>
      </w:r>
      <w:r>
        <w:rPr/>
        <w:t xml:space="preserve">PCE </w:t>
      </w:r>
      <w:r>
        <w:rPr/>
        <w:t>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w:t>
      </w:r>
      <w:r>
        <w:rPr/>
        <w:t xml:space="preserve">PCP </w:t>
      </w:r>
      <w:r>
        <w:rPr/>
        <w:t xml:space="preserve">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19">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0"/>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21">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2">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23"/>
      <w:footerReference w:type="first" r:id="rId224"/>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yperlink" Target="https://www.gnu.org/copyleft/fdl.html" TargetMode="External"/><Relationship Id="rId220" Type="http://schemas.openxmlformats.org/officeDocument/2006/relationships/image" Target="media/image3.png"/><Relationship Id="rId221" Type="http://schemas.openxmlformats.org/officeDocument/2006/relationships/hyperlink" Target="https://fsf.org/" TargetMode="External"/><Relationship Id="rId222" Type="http://schemas.openxmlformats.org/officeDocument/2006/relationships/hyperlink" Target="https://www.gnu.org/licenses/" TargetMode="External"/><Relationship Id="rId223" Type="http://schemas.openxmlformats.org/officeDocument/2006/relationships/footer" Target="footer100.xml"/><Relationship Id="rId224" Type="http://schemas.openxmlformats.org/officeDocument/2006/relationships/footer" Target="footer10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2493</TotalTime>
  <Application>LibreOffice/7.5.1.2$Linux_X86_64 LibreOffice_project/fcbaee479e84c6cd81291587d2ee68cba099e129</Application>
  <AppVersion>15.0000</AppVersion>
  <Pages>214</Pages>
  <Words>279872</Words>
  <Characters>304562</Characters>
  <CharactersWithSpaces>310409</CharactersWithSpaces>
  <Paragraphs>2429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2023-04-24T01:09:43Z</dcterms:modified>
  <cp:revision>563</cp:revision>
  <dc:subject/>
  <dc:title/>
</cp:coreProperties>
</file>