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footer100.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footer83.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5"/>
      <w:bookmarkEnd w:id="0"/>
      <w:r>
        <w:rPr/>
        <w:t>目录</w:t>
      </w:r>
    </w:p>
    <w:p>
      <w:pPr>
        <w:pStyle w:val="Normal"/>
        <w:bidi w:val="0"/>
        <w:jc w:val="both"/>
        <w:rPr/>
      </w:pPr>
      <w:r>
        <w:rPr/>
        <w:t>——————————</w:t>
      </w:r>
    </w:p>
    <w:p>
      <w:pPr>
        <w:pStyle w:val="Normal"/>
        <w:bidi w:val="0"/>
        <w:jc w:val="both"/>
        <w:rPr/>
      </w:pPr>
      <w:r>
        <w:rPr/>
        <w:t>　　</w:t>
      </w:r>
      <w:hyperlink w:anchor="_toc156">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88">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3">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2">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2">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1" w:name="_toc156"/>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2" w:name="_toc288"/>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5">
        <w:bookmarkStart w:id="3" w:name="_toc383"/>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5">
        <w:bookmarkStart w:id="5" w:name="_toc712"/>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38">
        <w:bookmarkStart w:id="6" w:name="_toc838"/>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“无产阶级专政，顾名思主义，不是党的专政，而是工人阶级的专政”；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工人总联合会秘鲁工人，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领导的民主民族革命。派对。</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持续持续，面临着秘鲁国家及其镇压机构的“武装回应”。我们在本世纪头二十年的伟大行动中见证了他们的战斗精神，特别是在普诺。小资产阶级，例如雇员和学生，也与他们的敌人进行了斗争；这种主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前者体现在思想领域。一方面，统治资产阶级抨击统治地主的思想体系，其表现之一就是本世纪初教育领域的维拉兰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演员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演员，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w:t>
      </w:r>
      <w:r>
        <w:rPr/>
        <w:t>30</w:t>
      </w:r>
      <w:r>
        <w:rPr/>
        <w:t>多年的阶级斗争由我们的工人阶级和我们的人民进行斗争。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二、马里亚特吉一个“被定罪并供认的”马列主义者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年代末有所增加，并且在今天继续公开或秘密地助长。否认他的马克思主义人条件就是剥夺他的工作和行动的任何基础，目的是</w:t>
      </w:r>
    </w:p>
    <w:p>
      <w:pPr>
        <w:pStyle w:val="Normal"/>
        <w:bidi w:val="0"/>
        <w:jc w:val="both"/>
        <w:rPr/>
      </w:pPr>
      <w:r>
        <w:rPr/>
        <w:t>破坏无产阶级的斗争，摧毁无产阶级的党，束缚革命。因此，政治问题很重要，再次重申和澄清马里亚特吉的马列主义者立场，让我们回想一下，他宣称自己如此“被说服并供认不讳”。</w:t>
      </w:r>
    </w:p>
    <w:p>
      <w:pPr>
        <w:pStyle w:val="Normal"/>
        <w:bidi w:val="0"/>
        <w:jc w:val="both"/>
        <w:rPr/>
      </w:pPr>
      <w:r>
        <w:rPr/>
      </w:r>
    </w:p>
    <w:p>
      <w:pPr>
        <w:pStyle w:val="Normal"/>
        <w:bidi w:val="0"/>
        <w:jc w:val="both"/>
        <w:rPr/>
      </w:pPr>
      <w:r>
        <w:rPr/>
        <w:t>　　如何回应那些指责他的人？路只有一条，众所周知：看马里亚特吉在马克思主义者哲学、政治经济学和科学社会主义中的地位；也就是说，要记住他关于马克思主义的三个部分的论点，因为通过看清他在这些基本问题上的立场，就会理解共产党创始人的马克思主义者基础。</w:t>
      </w:r>
    </w:p>
    <w:p>
      <w:pPr>
        <w:pStyle w:val="Normal"/>
        <w:bidi w:val="0"/>
        <w:jc w:val="both"/>
        <w:rPr/>
      </w:pPr>
      <w:r>
        <w:rPr/>
      </w:r>
    </w:p>
    <w:p>
      <w:pPr>
        <w:pStyle w:val="Normal"/>
        <w:bidi w:val="0"/>
        <w:jc w:val="both"/>
        <w:rPr/>
      </w:pPr>
      <w:r>
        <w:rPr/>
        <w:t>　　</w:t>
      </w:r>
      <w:r>
        <w:rPr/>
        <w:t>a)</w:t>
      </w:r>
      <w:r>
        <w:rPr/>
        <w:t>马里亚特吉和马克思主义者的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者哲学是长期发展的产物，是德国古典哲学，主要是黑格尔哲学的顶峰；他准确地指出：“但这种从属关系并不意味着马克思主义对黑格尔或他的哲学的任何奴役，根据众所周知的一句话，马克思将右侧朝上</w:t>
      </w:r>
      <w:r>
        <w:rPr/>
        <w:t>......</w:t>
      </w:r>
      <w:r>
        <w:rPr/>
        <w:t>马克思的唯物主义概念辩证地诞生于黑格尔唯心主义观念的对立面。”但即使多次重申马克思主义者哲学的辩证性质，它也冲击了辩证法的本质，即对立统一和对立斗争，而没有陷入机械的陷阱，明确地确立了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基础，即所有社会的支持，视为一套社会生产关系，上层建筑由机构和组织按照法律和法定秩序整合，上层建筑最终形成思想体系，这是关键。在那里我们看到了与恩格斯</w:t>
      </w:r>
      <w:r>
        <w:rPr/>
        <w:t>'</w:t>
      </w:r>
      <w:r>
        <w:rPr/>
        <w:t>相同的基地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者哲学吗？总而言之，马里亚特吉坚持马克思主义者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者的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者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w:t>
      </w:r>
    </w:p>
    <w:p>
      <w:pPr>
        <w:pStyle w:val="Normal"/>
        <w:bidi w:val="0"/>
        <w:jc w:val="both"/>
        <w:rPr/>
      </w:pPr>
      <w:r>
        <w:rPr/>
        <w:t>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w:t>
      </w:r>
    </w:p>
    <w:p>
      <w:pPr>
        <w:pStyle w:val="Normal"/>
        <w:bidi w:val="0"/>
        <w:jc w:val="both"/>
        <w:rPr/>
      </w:pPr>
      <w:r>
        <w:rPr/>
        <w:t>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w:t>
      </w:r>
    </w:p>
    <w:p>
      <w:pPr>
        <w:pStyle w:val="Normal"/>
        <w:bidi w:val="0"/>
        <w:jc w:val="both"/>
        <w:rPr/>
      </w:pPr>
      <w:r>
        <w:rPr/>
        <w:t>的镇压和政治欺骗的双重策略，在人民自己的队伍中产生动摇并加剧和解右翼主义。在这种情况下，我们必须坚持并应用马里亚特吉的以下建议：</w:t>
      </w:r>
    </w:p>
    <w:p>
      <w:pPr>
        <w:pStyle w:val="Normal"/>
        <w:bidi w:val="0"/>
        <w:jc w:val="both"/>
        <w:rPr/>
      </w:pPr>
      <w:r>
        <w:rPr/>
      </w:r>
    </w:p>
    <w:p>
      <w:pPr>
        <w:pStyle w:val="Normal"/>
        <w:bidi w:val="0"/>
        <w:jc w:val="both"/>
        <w:rPr/>
      </w:pPr>
      <w:r>
        <w:rPr/>
        <w:t>　　“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w:t>
      </w:r>
    </w:p>
    <w:p>
      <w:pPr>
        <w:pStyle w:val="Normal"/>
        <w:bidi w:val="0"/>
        <w:jc w:val="both"/>
        <w:rPr/>
      </w:pPr>
      <w:r>
        <w:rPr/>
        <w:t>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p>
    <w:p>
      <w:pPr>
        <w:pStyle w:val="Normal"/>
        <w:bidi w:val="0"/>
        <w:jc w:val="both"/>
        <w:rPr/>
      </w:pPr>
      <w:r>
        <w:rPr/>
      </w:r>
    </w:p>
    <w:p>
      <w:pPr>
        <w:pStyle w:val="Normal"/>
        <w:bidi w:val="0"/>
        <w:jc w:val="both"/>
        <w:rPr/>
      </w:pPr>
      <w:r>
        <w:rPr/>
        <w:t>　　</w:t>
      </w: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pStyle w:val="Normal"/>
        <w:bidi w:val="0"/>
        <w:jc w:val="both"/>
        <w:rPr/>
      </w:pPr>
      <w:r>
        <w:rPr/>
      </w:r>
    </w:p>
    <w:p>
      <w:pPr>
        <w:pStyle w:val="Normal"/>
        <w:bidi w:val="0"/>
        <w:jc w:val="both"/>
        <w:rPr/>
      </w:pPr>
      <w:r>
        <w:rPr/>
        <w:t>　　“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w:t>
      </w:r>
    </w:p>
    <w:p>
      <w:pPr>
        <w:pStyle w:val="Normal"/>
        <w:bidi w:val="0"/>
        <w:jc w:val="both"/>
        <w:rPr/>
      </w:pPr>
      <w:r>
        <w:rPr/>
        <w:t>以国家为主要经济杠杆，以及秘鲁社会的企业重塑，以克服资产阶级议会制的危机。这些是当前法西斯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者基础的人争辩说，支持它的意识形态基础是非理性的唯心主义和西方哲学思想中占主导地位的概念，主要是欧洲。马里亚特吉关于马克思主义者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者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马克思和恩格斯将发展马克思主义者的哲学过程。马克思得到发展，恩格斯得到传播。费尔巴哈提纲构成了以下基础：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者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19">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0"/>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21">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2">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lineRule="auto" w:line="276"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23"/>
      <w:footerReference w:type="first" r:id="rId224"/>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yperlink" Target="https://www.gnu.org/copyleft/fdl.html" TargetMode="External"/><Relationship Id="rId220" Type="http://schemas.openxmlformats.org/officeDocument/2006/relationships/image" Target="media/image3.png"/><Relationship Id="rId221" Type="http://schemas.openxmlformats.org/officeDocument/2006/relationships/hyperlink" Target="https://fsf.org/" TargetMode="External"/><Relationship Id="rId222" Type="http://schemas.openxmlformats.org/officeDocument/2006/relationships/hyperlink" Target="https://www.gnu.org/licenses/" TargetMode="External"/><Relationship Id="rId223" Type="http://schemas.openxmlformats.org/officeDocument/2006/relationships/footer" Target="footer100.xml"/><Relationship Id="rId224" Type="http://schemas.openxmlformats.org/officeDocument/2006/relationships/footer" Target="footer10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2442</TotalTime>
  <Application>LibreOffice/7.5.1.2$Linux_X86_64 LibreOffice_project/fcbaee479e84c6cd81291587d2ee68cba099e129</Application>
  <AppVersion>15.0000</AppVersion>
  <Pages>214</Pages>
  <Words>279887</Words>
  <Characters>304577</Characters>
  <CharactersWithSpaces>310424</CharactersWithSpaces>
  <Paragraphs>2429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2023-04-22T01:27:03Z</dcterms:modified>
  <cp:revision>539</cp:revision>
  <dc:subject/>
  <dc:title/>
</cp:coreProperties>
</file>