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0.3062 kW</w:t>
      </w:r>
      <w:r>
        <w:rPr>
          <w:rFonts w:ascii="Calibri" w:cs="Calibri" w:eastAsia="Calibri" w:hAnsi="Calibri"/>
          <w:sz w:val="22"/>
          <w:szCs w:val="22"/>
        </w:rPr>
        <w:t xml:space="preserve">, an RMSE of </w:t>
      </w:r>
      <w:r>
        <w:rPr>
          <w:rFonts w:ascii="Calibri" w:cs="Calibri" w:eastAsia="Calibri" w:hAnsi="Calibri"/>
          <w:b/>
          <w:bCs/>
          <w:sz w:val="22"/>
          <w:szCs w:val="22"/>
        </w:rPr>
        <w:t xml:space="preserve">0.4494 kW</w:t>
      </w:r>
      <w:r>
        <w:rPr>
          <w:rFonts w:ascii="Calibri" w:cs="Calibri" w:eastAsia="Calibri" w:hAnsi="Calibri"/>
          <w:sz w:val="22"/>
          <w:szCs w:val="22"/>
        </w:rPr>
        <w:t xml:space="preserve">, and an R² of 0.589, a </w:t>
      </w:r>
      <w:r>
        <w:rPr>
          <w:rFonts w:ascii="Calibri" w:cs="Calibri" w:eastAsia="Calibri" w:hAnsi="Calibri"/>
          <w:b/>
          <w:bCs/>
          <w:sz w:val="22"/>
          <w:szCs w:val="22"/>
        </w:rPr>
        <w:t xml:space="preserve">21.8%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0.45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Crucially, that interpolation runs after the chronological split, independently within each of train, validation, and test: interpolating the full series first would fill gaps adjacent to a split boundary using values from the other side, quietly leaking training data into the test set.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Last step attends over the full window</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at epoch 9 and then deteriorated monotonically through epoch 20 while training loss continued to fall — a clean separation of the two curves and an unambiguous overfitting signature. The final run behaves as that experience predicted: validation loss bottoms out at 0.3161 at epoch 11, the schedule halves the learning rate as improvement stalls, and training halts at epoch 19 rather than spending eight further epochs overfitting. Figure 2 shows the final run's curves.</w:t>
      </w:r>
    </w:p>
    <w:p>
      <w:pPr>
        <w:spacing w:after="0" w:before="160"/>
        <w:jc w:val="center"/>
      </w:pPr>
      <w:r>
        <w:drawing>
          <wp:inline distT="0" distB="0" distL="0" distR="0">
            <wp:extent cx="5394960" cy="30211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021178"/>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final early-stopped run. Validation loss reaches its minimum at epoch 11 (marked); early stopping halts training at epoch 19, once eight epochs pass without improvement.</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+21.8%</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32445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3244506"/>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(21.8%) than in MAE (17.8%).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6276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7697"/>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Within the two weeks plotted, the highest observed hour reaches 3.77 kW against a predicted 2.57 kW. The same shortfall holds across the full test period, where predicted maxima top out at 4.27 kW against observed maxima of 5.63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377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7744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Window</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L = 24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0.3090</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0.3076</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0.4553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0.582</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Capacity</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d=64, 2 layers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134,913</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0.3143</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0.4539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267,009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0.3174</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0.4560</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Positional</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Sinusoidal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387,969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0.3211</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0.3118</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0.4542</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Features</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With calendar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67,521</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0.3097</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0.4617</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0.566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Architecture</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Transformer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53,825</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0.3199</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0.573</w:t>
            </w:r>
          </w:p>
        </w:tc>
      </w:tr>
    </w:tbl>
    <w:p>
      <w:pPr>
        <w:spacing w:after="220" w:before="80"/>
        <w:jc w:val="center"/>
      </w:pPr>
      <w:r>
        <w:rPr>
          <w:rFonts w:ascii="Calibri" w:cs="Calibri" w:eastAsia="Calibri" w:hAnsi="Calibri"/>
          <w:i/>
          <w:iCs/>
          <w:color w:val="5A6B78"/>
          <w:sz w:val="18"/>
          <w:szCs w:val="18"/>
        </w:rPr>
        <w:t xml:space="preserve">Table 4: Ablation results. Each study varies one decision against the final configuration, which appears once per study as the shaded row; its numbers are identical everywhere because runs are fully seeded.</w:t>
      </w:r>
    </w:p>
    <w:p>
      <w:pPr>
        <w:spacing w:after="160" w:line="276"/>
        <w:jc w:val="both"/>
      </w:pPr>
      <w:r>
        <w:rPr>
          <w:rFonts w:ascii="Calibri" w:cs="Calibri" w:eastAsia="Calibri" w:hAnsi="Calibri"/>
          <w:sz w:val="22"/>
          <w:szCs w:val="22"/>
        </w:rPr>
        <w:t xml:space="preserve">Three results carry the table. The calendar features matter most: removing them costs more RMSE than any architectural change (0.4494 to 0.4617), even though the model could in principle recover the same information from the positional structure of the window. Second, more capacity only hurts — doubling depth or width degrades RMSE while multiplying parameters, confirming that at 34,000 training hours the binding constraint is data, not expressiveness. Third, the Transformer beats the parameter-matched LSTM control (RMSE 0.4494 vs. 0.4579, skill 21.8% vs. 20.3%) — a real but modest margin that is consistent with attention helping most at the event transitions the error analysis identified.</w:t>
      </w:r>
    </w:p>
    <w:p>
      <w:pPr>
        <w:spacing w:after="160" w:line="276"/>
        <w:jc w:val="both"/>
      </w:pPr>
      <w:r>
        <w:rPr>
          <w:rFonts w:ascii="Calibri" w:cs="Calibri" w:eastAsia="Calibri" w:hAnsi="Calibri"/>
          <w:sz w:val="22"/>
          <w:szCs w:val="22"/>
        </w:rPr>
        <w:t xml:space="preserve">Two smaller observations: extending the window past one daily cycle adds nothing (L = 48 and L = 168 both underperform L = 24), and fixed sinusoidal encodings beat learnable ones, which overfit — the learnable variant adds 320,000 parameters and peaks five epochs earlier. Notably, every configuration in the table still beats persistence by at least 19.6%, so the headline claim is robust to any of these design choices; the ablations tune the margin, not the conclusion.</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21.8% RMSE reduction over persistence is a substantive margin on a series this noisy. At the same time, an R² of 0.589 means roughly 41%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0.3062 kW and an RMSE of 0.4494 kW, reducing RMSE by 21.8%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c342cf2e0c0a560018099f541367989cf92788.png"/><Relationship Id="rId9" Type="http://schemas.openxmlformats.org/officeDocument/2006/relationships/image" Target="media/f135cc3019d06c0cece6eebc44320a1ddbb90afb.png"/><Relationship Id="rId10" Type="http://schemas.openxmlformats.org/officeDocument/2006/relationships/image" Target="media/91972d736bc116ed031c2b04734547694f9c1532.png"/><Relationship Id="rId11" Type="http://schemas.openxmlformats.org/officeDocument/2006/relationships/image" Target="media/245154976b2e0cc445c4d38043459488019a9758.png"/><Relationship Id="rId12" Type="http://schemas.openxmlformats.org/officeDocument/2006/relationships/image" Target="media/5b79d31b7915cc14a711c9dd015227602e66e4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2026-08-16T22:53:44.387Z</dcterms:created>
  <dcterms:modified xsi:type="dcterms:W3CDTF">2026-08-16T22:53:44.387Z</dcterms:modified>
</cp:coreProperties>
</file>

<file path=docProps/custom.xml><?xml version="1.0" encoding="utf-8"?>
<Properties xmlns="http://schemas.openxmlformats.org/officeDocument/2006/custom-properties" xmlns:vt="http://schemas.openxmlformats.org/officeDocument/2006/docPropsVTypes"/>
</file>