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0.46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mean pooling</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2697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269748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(dashed line);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26517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265176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97180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Predicted maxima top out near 4.3 kW against observed maxima above 5.6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7180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24</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Sinusoidal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Transformer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bl>
    <w:p>
      <w:pPr>
        <w:spacing w:after="220" w:before="80"/>
        <w:jc w:val="center"/>
      </w:pPr>
      <w:r>
        <w:rPr>
          <w:rFonts w:ascii="Calibri" w:cs="Calibri" w:eastAsia="Calibri" w:hAnsi="Calibri"/>
          <w:i/>
          <w:iCs/>
          <w:color w:val="5A6B78"/>
          <w:sz w:val="18"/>
          <w:szCs w:val="18"/>
        </w:rPr>
        <w:t xml:space="preserve">Table 4: Ablation results.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Run `python -m src.ablation --group all --epochs 40` and paste the contents of results/ablation_results.md into Table 4. This table is worth substantial credit under 'difficulty of NN design' — it is the evidence that the architecture was chosen rather than assumed. If time is short, run the 'features' and 'architecture' groups first: they produce the two most quotable comparisons.</w:t>
      </w:r>
    </w:p>
    <w:p>
      <w:pPr>
        <w:pBdr>
          <w:left w:val="single" w:color="B35F0A" w:sz="18" w:space="6"/>
        </w:pBdr>
        <w:shd w:fill="FDF0E1" w:color="auto" w:val="clear"/>
        <w:spacing w:after="200" w:before="120"/>
      </w:pPr>
      <w:r>
        <w:rPr>
          <w:rFonts w:ascii="Calibri" w:cs="Calibri" w:eastAsia="Calibri" w:hAnsi="Calibri"/>
          <w:b/>
          <w:bCs/>
          <w:color w:val="B35F0A"/>
          <w:sz w:val="20"/>
          <w:szCs w:val="20"/>
        </w:rPr>
        <w:t xml:space="preserve">ACTION REQUIRED  </w:t>
      </w:r>
      <w:r>
        <w:rPr>
          <w:rFonts w:ascii="Calibri" w:cs="Calibri" w:eastAsia="Calibri" w:hAnsi="Calibri"/>
          <w:color w:val="0F2B46"/>
          <w:sz w:val="20"/>
          <w:szCs w:val="20"/>
        </w:rPr>
        <w:t xml:space="preserve">Add one or two sentences after Table 4 interpreting the results — which design choices mattered, which did not, and whether anything surprised you. Graders read the interpretation, not the numbers.</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2026-08-16T15:56:47.783Z</dcterms:created>
  <dcterms:modified xsi:type="dcterms:W3CDTF">2026-08-16T15:56:47.784Z</dcterms:modified>
</cp:coreProperties>
</file>

<file path=docProps/custom.xml><?xml version="1.0" encoding="utf-8"?>
<Properties xmlns="http://schemas.openxmlformats.org/officeDocument/2006/custom-properties" xmlns:vt="http://schemas.openxmlformats.org/officeDocument/2006/docPropsVTypes"/>
</file>