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ED" w:rsidRDefault="006F4BED" w:rsidP="006F4BED">
      <w:r>
        <w:rPr>
          <w:noProof/>
          <w:lang w:eastAsia="cs-CZ"/>
        </w:rPr>
        <w:drawing>
          <wp:inline distT="0" distB="0" distL="0" distR="0" wp14:anchorId="52040D2B" wp14:editId="007A12B3">
            <wp:extent cx="5760720" cy="3125427"/>
            <wp:effectExtent l="0" t="0" r="0" b="0"/>
            <wp:docPr id="33" name="Obrázek 33" descr="https://www.fav.zcu.cz/fakulta/ke-stazeni/logo-fav-jvs/FAV_logo_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fav.zcu.cz/fakulta/ke-stazeni/logo-fav-jvs/FAV_logo_jv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BED" w:rsidRDefault="006F4BED" w:rsidP="006F4BED"/>
    <w:p w:rsidR="006F4BED" w:rsidRPr="006F4BED" w:rsidRDefault="006F4BED" w:rsidP="006F4BED"/>
    <w:p w:rsidR="006E6D8D" w:rsidRDefault="00713B42" w:rsidP="005D4515">
      <w:pPr>
        <w:pStyle w:val="Nzev"/>
        <w:ind w:firstLine="0"/>
      </w:pPr>
      <w:r>
        <w:t>Semestrální práce z AŘ</w:t>
      </w:r>
    </w:p>
    <w:p w:rsidR="00713B42" w:rsidRDefault="005D4515" w:rsidP="005D4515">
      <w:pPr>
        <w:ind w:firstLine="0"/>
      </w:pPr>
      <w:r>
        <w:rPr>
          <w:rStyle w:val="Zdraznnjemn"/>
        </w:rPr>
        <w:t>Ondřej Duspiva, Luděk Müller</w:t>
      </w:r>
      <w:r w:rsidR="00713B42">
        <w:br w:type="page"/>
      </w:r>
    </w:p>
    <w:sdt>
      <w:sdtPr>
        <w:id w:val="-15845948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F2F4C" w:rsidRDefault="005F2F4C">
          <w:pPr>
            <w:pStyle w:val="Nadpisobsahu"/>
          </w:pPr>
          <w:r>
            <w:t>Obsah</w:t>
          </w:r>
        </w:p>
        <w:p w:rsidR="006F4BED" w:rsidRDefault="005F2F4C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24338" w:history="1">
            <w:r w:rsidR="006F4BED" w:rsidRPr="00A54FE3">
              <w:rPr>
                <w:rStyle w:val="Hypertextovodkaz"/>
                <w:noProof/>
              </w:rPr>
              <w:t>1.</w:t>
            </w:r>
            <w:r w:rsidR="006F4BED">
              <w:rPr>
                <w:rFonts w:eastAsiaTheme="minorEastAsia"/>
                <w:noProof/>
                <w:lang w:eastAsia="cs-CZ"/>
              </w:rPr>
              <w:tab/>
            </w:r>
            <w:r w:rsidR="006F4BED" w:rsidRPr="00A54FE3">
              <w:rPr>
                <w:rStyle w:val="Hypertextovodkaz"/>
                <w:noProof/>
              </w:rPr>
              <w:t>Model spojených nádob, linearizace a neurčitosti</w:t>
            </w:r>
            <w:r w:rsidR="006F4BED">
              <w:rPr>
                <w:noProof/>
                <w:webHidden/>
              </w:rPr>
              <w:tab/>
            </w:r>
            <w:r w:rsidR="006F4BED">
              <w:rPr>
                <w:noProof/>
                <w:webHidden/>
              </w:rPr>
              <w:fldChar w:fldCharType="begin"/>
            </w:r>
            <w:r w:rsidR="006F4BED">
              <w:rPr>
                <w:noProof/>
                <w:webHidden/>
              </w:rPr>
              <w:instrText xml:space="preserve"> PAGEREF _Toc459624338 \h </w:instrText>
            </w:r>
            <w:r w:rsidR="006F4BED">
              <w:rPr>
                <w:noProof/>
                <w:webHidden/>
              </w:rPr>
            </w:r>
            <w:r w:rsidR="006F4BED"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5</w:t>
            </w:r>
            <w:r w:rsidR="006F4BED"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39" w:history="1">
            <w:r w:rsidRPr="00A54FE3">
              <w:rPr>
                <w:rStyle w:val="Hypertextovodkaz"/>
                <w:noProof/>
              </w:rPr>
              <w:t>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Model spojených nádob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0" w:history="1">
            <w:r w:rsidRPr="00A54FE3">
              <w:rPr>
                <w:rStyle w:val="Hypertextovodkaz"/>
                <w:noProof/>
              </w:rPr>
              <w:t>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Linearizovaný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1" w:history="1">
            <w:r w:rsidRPr="00A54FE3">
              <w:rPr>
                <w:rStyle w:val="Hypertextovodkaz"/>
                <w:noProof/>
              </w:rPr>
              <w:t>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Neurčitost přenosu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2" w:history="1">
            <w:r w:rsidRPr="00A54FE3">
              <w:rPr>
                <w:rStyle w:val="Hypertextovodkaz"/>
                <w:noProof/>
              </w:rPr>
              <w:t>1.4.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Numerická skutečná neurčitost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3" w:history="1">
            <w:r w:rsidRPr="00A54FE3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Regulátor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4" w:history="1">
            <w:r w:rsidRPr="00A54FE3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Návrh PI regulátoru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5" w:history="1">
            <w:r w:rsidRPr="00A54FE3">
              <w:rPr>
                <w:rStyle w:val="Hypertextovodkaz"/>
                <w:noProof/>
              </w:rPr>
              <w:t>2.1.1.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Stabilita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6" w:history="1">
            <w:r w:rsidRPr="00A54FE3">
              <w:rPr>
                <w:rStyle w:val="Hypertextovodkaz"/>
                <w:noProof/>
              </w:rPr>
              <w:t>2.1.2.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Robustnost ve stabilitě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7" w:history="1">
            <w:r w:rsidRPr="00A54FE3">
              <w:rPr>
                <w:rStyle w:val="Hypertextovodkaz"/>
                <w:noProof/>
              </w:rPr>
              <w:t>2.1.3.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Šířka pásma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8" w:history="1">
            <w:r w:rsidRPr="00A54FE3">
              <w:rPr>
                <w:rStyle w:val="Hypertextovodkaz"/>
                <w:noProof/>
              </w:rPr>
              <w:t>2.1.4.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Zesílení energie šumu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49" w:history="1">
            <w:r w:rsidRPr="00A54FE3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Zatížení šumem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50" w:history="1">
            <w:r w:rsidRPr="00A54FE3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Zesílení externích signálů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ED" w:rsidRDefault="006F4BED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59624351" w:history="1">
            <w:r w:rsidRPr="00A54FE3">
              <w:rPr>
                <w:rStyle w:val="Hypertextovodkaz"/>
                <w:noProof/>
              </w:rPr>
              <w:t>2.4.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54FE3">
              <w:rPr>
                <w:rStyle w:val="Hypertextovodkaz"/>
                <w:noProof/>
              </w:rPr>
              <w:t>Zesilování externích signálů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6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4C" w:rsidRDefault="005F2F4C">
          <w:r>
            <w:rPr>
              <w:b/>
              <w:bCs/>
            </w:rPr>
            <w:fldChar w:fldCharType="end"/>
          </w:r>
        </w:p>
      </w:sdtContent>
    </w:sdt>
    <w:p w:rsidR="005F2F4C" w:rsidRDefault="005F2F4C">
      <w:pPr>
        <w:ind w:firstLine="0"/>
        <w:rPr>
          <w:b/>
          <w:sz w:val="56"/>
          <w:szCs w:val="70"/>
        </w:rPr>
      </w:pPr>
      <w:r>
        <w:rPr>
          <w:b/>
          <w:sz w:val="56"/>
          <w:szCs w:val="70"/>
        </w:rPr>
        <w:br w:type="page"/>
      </w:r>
    </w:p>
    <w:p w:rsidR="005F2F4C" w:rsidRDefault="005F2F4C" w:rsidP="005F2F4C">
      <w:pPr>
        <w:ind w:firstLine="0"/>
        <w:rPr>
          <w:b/>
          <w:sz w:val="56"/>
          <w:szCs w:val="70"/>
        </w:rPr>
      </w:pPr>
      <w:r>
        <w:rPr>
          <w:b/>
          <w:sz w:val="56"/>
          <w:szCs w:val="70"/>
        </w:rPr>
        <w:lastRenderedPageBreak/>
        <w:t>Zadání</w:t>
      </w:r>
    </w:p>
    <w:p w:rsidR="005F2F4C" w:rsidRDefault="00B72548" w:rsidP="005F2F4C">
      <w:pPr>
        <w:ind w:firstLine="0"/>
      </w:pPr>
      <w:r>
        <w:rPr>
          <w:noProof/>
          <w:lang w:eastAsia="cs-CZ"/>
        </w:rPr>
        <w:drawing>
          <wp:inline distT="0" distB="0" distL="0" distR="0" wp14:anchorId="2560DE58" wp14:editId="23161A47">
            <wp:extent cx="5760720" cy="8145676"/>
            <wp:effectExtent l="0" t="0" r="0" b="825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4C" w:rsidRDefault="005F2F4C" w:rsidP="00B72548">
      <w:r>
        <w:br w:type="page"/>
      </w:r>
      <w:r w:rsidR="00B72548">
        <w:rPr>
          <w:noProof/>
          <w:lang w:eastAsia="cs-CZ"/>
        </w:rPr>
        <w:lastRenderedPageBreak/>
        <w:drawing>
          <wp:inline distT="0" distB="0" distL="0" distR="0" wp14:anchorId="113B80F0" wp14:editId="32CE3933">
            <wp:extent cx="5760720" cy="8145676"/>
            <wp:effectExtent l="0" t="0" r="0" b="825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4C" w:rsidRDefault="005F2F4C">
      <w:pPr>
        <w:ind w:firstLine="0"/>
        <w:rPr>
          <w:b/>
          <w:sz w:val="56"/>
          <w:szCs w:val="70"/>
        </w:rPr>
      </w:pPr>
      <w:r>
        <w:rPr>
          <w:b/>
          <w:sz w:val="56"/>
          <w:szCs w:val="70"/>
        </w:rPr>
        <w:br w:type="page"/>
      </w:r>
    </w:p>
    <w:p w:rsidR="00713B42" w:rsidRDefault="00713B42" w:rsidP="00692588">
      <w:pPr>
        <w:ind w:firstLine="0"/>
      </w:pPr>
      <w:r w:rsidRPr="00692588">
        <w:rPr>
          <w:b/>
          <w:sz w:val="56"/>
          <w:szCs w:val="70"/>
        </w:rPr>
        <w:lastRenderedPageBreak/>
        <w:t>Řešení</w:t>
      </w:r>
    </w:p>
    <w:p w:rsidR="00713B42" w:rsidRDefault="00713B42" w:rsidP="007331E4">
      <w:pPr>
        <w:pStyle w:val="Nadpis1"/>
      </w:pPr>
      <w:bookmarkStart w:id="1" w:name="_Toc459624338"/>
      <w:r>
        <w:t>Model</w:t>
      </w:r>
      <w:r w:rsidR="007331E4">
        <w:t xml:space="preserve"> </w:t>
      </w:r>
      <w:r w:rsidR="006E76EA">
        <w:t>s</w:t>
      </w:r>
      <w:r w:rsidR="007331E4">
        <w:t xml:space="preserve">pojených nádob, </w:t>
      </w:r>
      <w:proofErr w:type="spellStart"/>
      <w:r w:rsidR="007331E4">
        <w:t>linearizace</w:t>
      </w:r>
      <w:proofErr w:type="spellEnd"/>
      <w:r w:rsidR="007331E4">
        <w:t xml:space="preserve"> a</w:t>
      </w:r>
      <w:r>
        <w:t xml:space="preserve"> neurčitosti</w:t>
      </w:r>
      <w:bookmarkEnd w:id="1"/>
    </w:p>
    <w:p w:rsidR="002F0BED" w:rsidRDefault="00713B42" w:rsidP="00713B42">
      <w:r>
        <w:t xml:space="preserve">V této první části semestrální práce popíšeme reálný model spojených nádob, provedeme </w:t>
      </w:r>
      <w:proofErr w:type="spellStart"/>
      <w:r>
        <w:t>linearizaci</w:t>
      </w:r>
      <w:proofErr w:type="spellEnd"/>
      <w:r>
        <w:t xml:space="preserve"> a určíme neur</w:t>
      </w:r>
      <w:r w:rsidR="002F0BED">
        <w:t>čitost. Tu pak zavedeme do linearizovaného modelu a získáme tak relativně věrohodný výpočetní model reálného chování spojených nádob</w:t>
      </w:r>
    </w:p>
    <w:p w:rsidR="002F0BED" w:rsidRDefault="002F0BED" w:rsidP="00915919">
      <w:pPr>
        <w:pStyle w:val="Nadpis2"/>
      </w:pPr>
      <w:bookmarkStart w:id="2" w:name="_Toc459624339"/>
      <w:r w:rsidRPr="00BD4425">
        <w:t>Model</w:t>
      </w:r>
      <w:r>
        <w:t xml:space="preserve"> spojených </w:t>
      </w:r>
      <w:r w:rsidRPr="00915919">
        <w:t>nádob</w:t>
      </w:r>
      <w:bookmarkEnd w:id="2"/>
    </w:p>
    <w:p w:rsidR="002F0BED" w:rsidRDefault="002F0BED" w:rsidP="002F0BED">
      <w:r>
        <w:t>Nyní odvodíme rovnice pro spojené nádoby. Uvažujme tedy konstantní průtok, který je podle zadaní 1,5·10</w:t>
      </w:r>
      <w:r>
        <w:rPr>
          <w:vertAlign w:val="superscript"/>
        </w:rPr>
        <w:t>-4</w:t>
      </w:r>
      <w:r>
        <w:t>m</w:t>
      </w:r>
      <w:r>
        <w:rPr>
          <w:vertAlign w:val="superscript"/>
        </w:rPr>
        <w:t>3</w:t>
      </w:r>
      <w:r>
        <w:t>s</w:t>
      </w:r>
      <w:r>
        <w:rPr>
          <w:vertAlign w:val="superscript"/>
        </w:rPr>
        <w:t>-1</w:t>
      </w:r>
      <w:r>
        <w:t>. Výška hladiny v ustáleném stavu je H</w:t>
      </w:r>
      <w:r>
        <w:rPr>
          <w:vertAlign w:val="subscript"/>
        </w:rPr>
        <w:t>10</w:t>
      </w:r>
      <w:r>
        <w:t xml:space="preserve"> = 0,5m a H</w:t>
      </w:r>
      <w:r>
        <w:rPr>
          <w:vertAlign w:val="subscript"/>
        </w:rPr>
        <w:t>20</w:t>
      </w:r>
      <w:r>
        <w:t xml:space="preserve"> = 0,3m. Válce mají dna o obsahu S = 25·10</w:t>
      </w:r>
      <w:r>
        <w:rPr>
          <w:vertAlign w:val="superscript"/>
        </w:rPr>
        <w:t>-4</w:t>
      </w:r>
      <w:r>
        <w:t>m</w:t>
      </w:r>
      <w:r>
        <w:rPr>
          <w:vertAlign w:val="superscript"/>
        </w:rPr>
        <w:t>2</w:t>
      </w:r>
      <w:r>
        <w:t xml:space="preserve">. Konstanty pro připouštěcí a výtokový ventil jsou </w:t>
      </w:r>
      <w:proofErr w:type="spellStart"/>
      <w:r>
        <w:t>c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= c</w:t>
      </w:r>
      <w:r>
        <w:rPr>
          <w:vertAlign w:val="subscript"/>
        </w:rPr>
        <w:t xml:space="preserve">2 </w:t>
      </w:r>
      <w:r>
        <w:t xml:space="preserve">= 0,6. </w:t>
      </w:r>
    </w:p>
    <w:p w:rsidR="002F0BED" w:rsidRDefault="002F0BED" w:rsidP="00BD4425">
      <w:r>
        <w:t xml:space="preserve">Cílem je určit nastavení přepouštěcích ventilů </w:t>
      </w:r>
      <w:proofErr w:type="spellStart"/>
      <w:r>
        <w:t>S</w:t>
      </w:r>
      <w:r>
        <w:rPr>
          <w:vertAlign w:val="subscript"/>
        </w:rPr>
        <w:t>p</w:t>
      </w:r>
      <w:proofErr w:type="spellEnd"/>
      <w:r>
        <w:t xml:space="preserve"> a výtokového ventilu S</w:t>
      </w:r>
      <w:r>
        <w:rPr>
          <w:vertAlign w:val="subscript"/>
        </w:rPr>
        <w:t>2</w:t>
      </w:r>
      <w:r>
        <w:t>. Toto nastavení by mělo zařídit ustálení hladiny v pracovním bodě.</w:t>
      </w:r>
    </w:p>
    <w:p w:rsidR="00BD4425" w:rsidRDefault="00BD4425" w:rsidP="00BD4425">
      <w:r>
        <w:t>Časové změny objemu tekutiny ve spojených nádobách:</w:t>
      </w:r>
    </w:p>
    <w:p w:rsidR="00BD4425" w:rsidRPr="00BD4425" w:rsidRDefault="00DE2188" w:rsidP="00BD44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BD4425" w:rsidRPr="00BD4425" w:rsidRDefault="00DE2188" w:rsidP="00BD44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BD4425" w:rsidRDefault="00BD4425" w:rsidP="00BD4425">
      <w:r>
        <w:t>Vyjádření jednotlivých průtoků:</w:t>
      </w:r>
    </w:p>
    <w:p w:rsidR="00BD4425" w:rsidRPr="00BD4425" w:rsidRDefault="00DE2188" w:rsidP="00BD44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BD4425" w:rsidRDefault="00BD4425" w:rsidP="00BD4425">
      <w:pPr>
        <w:rPr>
          <w:rFonts w:eastAsiaTheme="minorEastAsia"/>
        </w:rPr>
      </w:pPr>
      <w:r>
        <w:rPr>
          <w:rFonts w:eastAsiaTheme="minorEastAsia"/>
        </w:rPr>
        <w:t>Rychlost proudění:</w:t>
      </w:r>
    </w:p>
    <w:p w:rsidR="00BD4425" w:rsidRPr="006E4534" w:rsidRDefault="00DE2188" w:rsidP="00BD44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(t))</m:t>
              </m:r>
            </m:e>
          </m:rad>
        </m:oMath>
      </m:oMathPara>
    </w:p>
    <w:p w:rsidR="006E4534" w:rsidRPr="006E4534" w:rsidRDefault="00DE2188" w:rsidP="006E45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rad>
        </m:oMath>
      </m:oMathPara>
    </w:p>
    <w:p w:rsidR="006E4534" w:rsidRDefault="006E4534" w:rsidP="006E4534">
      <w:pPr>
        <w:rPr>
          <w:rFonts w:eastAsiaTheme="minorEastAsia"/>
        </w:rPr>
      </w:pPr>
      <w:r>
        <w:rPr>
          <w:rFonts w:eastAsiaTheme="minorEastAsia"/>
        </w:rPr>
        <w:t>Rovnice pro systém tvořený spojenými nádobami</w:t>
      </w:r>
    </w:p>
    <w:p w:rsidR="006E4534" w:rsidRPr="006E4534" w:rsidRDefault="00DE2188" w:rsidP="006E45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E4534" w:rsidRPr="006E4534" w:rsidRDefault="006E4534" w:rsidP="006E4534">
      <w:pPr>
        <w:rPr>
          <w:rFonts w:eastAsiaTheme="minorEastAsia"/>
        </w:rPr>
      </w:pPr>
    </w:p>
    <w:p w:rsidR="006E4534" w:rsidRPr="006E4534" w:rsidRDefault="00DE2188" w:rsidP="006E45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rad>
        </m:oMath>
      </m:oMathPara>
    </w:p>
    <w:p w:rsidR="006E4534" w:rsidRPr="006E4534" w:rsidRDefault="006E4534" w:rsidP="006E45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6E4534" w:rsidRDefault="00D82F4A" w:rsidP="00BD4425">
      <w:r>
        <w:lastRenderedPageBreak/>
        <w:t>Ustálený stav (pracovní bod)</w:t>
      </w:r>
    </w:p>
    <w:p w:rsidR="00D82F4A" w:rsidRPr="00D82F4A" w:rsidRDefault="00D82F4A" w:rsidP="00BD4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82F4A" w:rsidRPr="00D82F4A" w:rsidRDefault="00D82F4A" w:rsidP="00BD44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rad>
        </m:oMath>
      </m:oMathPara>
    </w:p>
    <w:p w:rsidR="00D82F4A" w:rsidRDefault="00D82F4A" w:rsidP="00BD4425">
      <w:pPr>
        <w:rPr>
          <w:rFonts w:eastAsiaTheme="minorEastAsia"/>
        </w:rPr>
      </w:pPr>
      <w:r>
        <w:rPr>
          <w:rFonts w:eastAsiaTheme="minorEastAsia"/>
        </w:rPr>
        <w:t xml:space="preserve">Vztahy pro 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 xml:space="preserve"> a S</w:t>
      </w:r>
      <w:r>
        <w:rPr>
          <w:rFonts w:eastAsiaTheme="minorEastAsia"/>
          <w:vertAlign w:val="subscript"/>
        </w:rPr>
        <w:t>2</w:t>
      </w:r>
    </w:p>
    <w:p w:rsidR="00D82F4A" w:rsidRPr="00D82F4A" w:rsidRDefault="00DE2188" w:rsidP="00BD44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=1.2620e-04m2</m:t>
          </m:r>
        </m:oMath>
      </m:oMathPara>
    </w:p>
    <w:p w:rsidR="00D82F4A" w:rsidRPr="00D82F4A" w:rsidRDefault="00DE2188" w:rsidP="00D82F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=1.0305e-04m2</m:t>
          </m:r>
        </m:oMath>
      </m:oMathPara>
    </w:p>
    <w:p w:rsidR="00D82F4A" w:rsidRDefault="00D82F4A" w:rsidP="00915919">
      <w:pPr>
        <w:pStyle w:val="Nadpis2"/>
      </w:pPr>
      <w:bookmarkStart w:id="3" w:name="_Toc459624340"/>
      <w:r>
        <w:t>Linearizovaný model</w:t>
      </w:r>
      <w:bookmarkEnd w:id="3"/>
    </w:p>
    <w:p w:rsidR="00D82F4A" w:rsidRDefault="00D82F4A" w:rsidP="00D82F4A">
      <w:r>
        <w:t>Linearizovaný model určíme v</w:t>
      </w:r>
      <w:r w:rsidR="000736BC">
        <w:t xml:space="preserve">e dvou pracovních bodech. Nejprve budeme přepokládat konstantní nastavení ventilů a měnící se výšku hladiny (Varianta A) a </w:t>
      </w:r>
      <w:r>
        <w:t>Q</w:t>
      </w:r>
      <w:r>
        <w:rPr>
          <w:vertAlign w:val="subscript"/>
        </w:rPr>
        <w:t>10</w:t>
      </w:r>
      <w:r>
        <w:t>.</w:t>
      </w:r>
    </w:p>
    <w:p w:rsidR="00713B42" w:rsidRDefault="002F0BED" w:rsidP="00DF36E7">
      <w:pPr>
        <w:pStyle w:val="Nadpis4"/>
      </w:pPr>
      <w:r>
        <w:t xml:space="preserve"> </w:t>
      </w:r>
      <w:r w:rsidR="00DF36E7">
        <w:t xml:space="preserve">Varianta A – Nastavení ventilů konstantní, proměnná výška hladiny </w:t>
      </w:r>
    </w:p>
    <w:p w:rsidR="00DF36E7" w:rsidRDefault="00DF36E7" w:rsidP="00DF36E7">
      <w:r>
        <w:t>V této variantě při konstantním nastavení ventilů budeme vycházet z následujících rovnic.</w:t>
      </w:r>
    </w:p>
    <w:p w:rsidR="00DF36E7" w:rsidRPr="006E4534" w:rsidRDefault="00DE2188" w:rsidP="00DF36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F36E7" w:rsidRPr="006E4534" w:rsidRDefault="00DF36E7" w:rsidP="00DF36E7">
      <w:pPr>
        <w:rPr>
          <w:rFonts w:eastAsiaTheme="minorEastAsia"/>
        </w:rPr>
      </w:pPr>
    </w:p>
    <w:p w:rsidR="00DF36E7" w:rsidRPr="006E4534" w:rsidRDefault="00DE2188" w:rsidP="00DF36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rad>
        </m:oMath>
      </m:oMathPara>
    </w:p>
    <w:p w:rsidR="00DF36E7" w:rsidRPr="006E4534" w:rsidRDefault="00DF36E7" w:rsidP="00DF36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6E6D8D" w:rsidRDefault="00DF36E7" w:rsidP="00DF36E7">
      <w:pPr>
        <w:spacing w:before="240"/>
      </w:pPr>
      <w:r>
        <w:t xml:space="preserve">Stavové proměnné budou v tomto případě </w:t>
      </w:r>
      <w:r>
        <w:rPr>
          <w:lang w:val="en-US"/>
        </w:rPr>
        <w:t>[X</w:t>
      </w:r>
      <w:r>
        <w:rPr>
          <w:vertAlign w:val="subscript"/>
          <w:lang w:val="en-US"/>
        </w:rPr>
        <w:t>1</w:t>
      </w:r>
      <w:r>
        <w:rPr>
          <w:lang w:val="en-US"/>
        </w:rPr>
        <w:t>, X</w:t>
      </w:r>
      <w:r>
        <w:rPr>
          <w:vertAlign w:val="subscript"/>
          <w:lang w:val="en-US"/>
        </w:rPr>
        <w:t>2</w:t>
      </w:r>
      <w:r>
        <w:rPr>
          <w:lang w:val="en-US"/>
        </w:rPr>
        <w:t>] = [H</w:t>
      </w:r>
      <w:r>
        <w:rPr>
          <w:vertAlign w:val="subscript"/>
          <w:lang w:val="en-US"/>
        </w:rPr>
        <w:t>1</w:t>
      </w:r>
      <w:r>
        <w:rPr>
          <w:lang w:val="en-US"/>
        </w:rPr>
        <w:t>, H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]. </w:t>
      </w:r>
      <w:r w:rsidRPr="00DF36E7">
        <w:t>Výstupní proměnná</w:t>
      </w:r>
      <w:r>
        <w:t xml:space="preserve"> u pak v tomto případě bude přítok Q</w:t>
      </w:r>
      <w:r>
        <w:rPr>
          <w:vertAlign w:val="subscript"/>
        </w:rPr>
        <w:t>1</w:t>
      </w:r>
      <w:r>
        <w:t>. Pro odvození konkrétních hodnot použijeme výpočet v </w:t>
      </w:r>
      <w:proofErr w:type="spellStart"/>
      <w:r>
        <w:t>matlabu</w:t>
      </w:r>
      <w:proofErr w:type="spellEnd"/>
      <w:r>
        <w:t>, pomocí nějž vypočteme parciální derivace. Ventily nastavíme na hodnoty odvozené výše a přítok Q</w:t>
      </w:r>
      <w:r>
        <w:rPr>
          <w:vertAlign w:val="subscript"/>
        </w:rPr>
        <w:t xml:space="preserve">1 </w:t>
      </w:r>
      <w:r>
        <w:t>na hodnotu Q</w:t>
      </w:r>
      <w:r>
        <w:rPr>
          <w:vertAlign w:val="subscript"/>
        </w:rPr>
        <w:t>10</w:t>
      </w:r>
      <w:r>
        <w:t>. Ve druhé variantě potom přítok navýšíme o 20% tj. 1,2·Q</w:t>
      </w:r>
      <w:r>
        <w:rPr>
          <w:vertAlign w:val="subscript"/>
        </w:rPr>
        <w:t>10</w:t>
      </w:r>
      <w:r>
        <w:t xml:space="preserve">. </w:t>
      </w:r>
      <w:r w:rsidR="006E6D8D">
        <w:t>Pro výpočet použijeme následující kód v </w:t>
      </w:r>
      <w:proofErr w:type="spellStart"/>
      <w:r w:rsidR="006E6D8D">
        <w:t>matlabu</w:t>
      </w:r>
      <w:proofErr w:type="spellEnd"/>
      <w:r w:rsidR="006E6D8D">
        <w:t>: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0"/>
          <w:szCs w:val="20"/>
        </w:rPr>
        <w:t>Semestralni</w:t>
      </w:r>
      <w:proofErr w:type="spellEnd"/>
      <w:r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28B22"/>
          <w:sz w:val="20"/>
          <w:szCs w:val="20"/>
        </w:rPr>
        <w:t>prace</w:t>
      </w:r>
      <w:proofErr w:type="spellEnd"/>
      <w:r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z AR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Sp0 =1.2620e-04;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S20 = 1.0305e-04;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Qv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1.5e-04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0"/>
          <w:szCs w:val="20"/>
        </w:rPr>
        <w:t>linearizce</w:t>
      </w:r>
      <w:proofErr w:type="spellEnd"/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H1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H2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k1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k2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S2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Q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c2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g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g = 9.81;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 = 25*10e-4;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0.6;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c2 = 0.6;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0"/>
          <w:szCs w:val="20"/>
        </w:rPr>
        <w:t>nelinearni</w:t>
      </w:r>
      <w:proofErr w:type="spellEnd"/>
      <w:r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rovnice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 = [-((1/S)*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(2*g))*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(H1-H2)+1/S*Q;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((1/S)*cp*Sp*sqrt(2*g))*sqrt(H1-H2)-((1/S)*c2*S2*sqrt(2*g))*sqrt(H2)];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 = [H1;H2];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u = Q;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0"/>
          <w:szCs w:val="20"/>
        </w:rPr>
        <w:t>linearizace</w:t>
      </w:r>
      <w:proofErr w:type="spellEnd"/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f,u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 = [1 0;0 1];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Sp0;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S2 = S20;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Qv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fnum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(f);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[H1, H2]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solve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fnum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H1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(H1);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H2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(H2);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(A);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(B);</w:t>
      </w:r>
    </w:p>
    <w:p w:rsidR="006E6D8D" w:rsidRDefault="006E6D8D" w:rsidP="006E6D8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(A,B,C,0);</w:t>
      </w:r>
      <w:proofErr w:type="gramEnd"/>
    </w:p>
    <w:p w:rsidR="006E6D8D" w:rsidRDefault="006E6D8D" w:rsidP="00DF36E7">
      <w:pPr>
        <w:spacing w:before="240"/>
      </w:pPr>
    </w:p>
    <w:p w:rsidR="00DF36E7" w:rsidRDefault="00DF36E7" w:rsidP="00DF36E7">
      <w:pPr>
        <w:spacing w:before="240"/>
      </w:pPr>
      <w:r>
        <w:t>Výsledky pro provedení výpočtu v</w:t>
      </w:r>
      <w:r w:rsidR="004E7E10">
        <w:t> </w:t>
      </w:r>
      <w:proofErr w:type="spellStart"/>
      <w:r>
        <w:t>matlabu</w:t>
      </w:r>
      <w:proofErr w:type="spellEnd"/>
      <w:r w:rsidR="004E7E10">
        <w:t xml:space="preserve"> pro variantu s přítokem Q</w:t>
      </w:r>
      <w:r w:rsidR="004E7E10">
        <w:rPr>
          <w:vertAlign w:val="subscript"/>
        </w:rPr>
        <w:t xml:space="preserve">1 </w:t>
      </w:r>
      <w:r w:rsidR="004E7E10">
        <w:t>= Q</w:t>
      </w:r>
      <w:r w:rsidR="004E7E10">
        <w:rPr>
          <w:vertAlign w:val="subscript"/>
        </w:rPr>
        <w:t>10</w:t>
      </w:r>
      <w:r w:rsidR="004E7E10">
        <w:t>:</w:t>
      </w:r>
    </w:p>
    <w:p w:rsidR="004E7E10" w:rsidRPr="004E7E10" w:rsidRDefault="00DE2188" w:rsidP="00DF36E7">
      <w:pPr>
        <w:spacing w:before="24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4E7E10" w:rsidRPr="004E7E10" w:rsidRDefault="004E7E10" w:rsidP="004E7E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4E7E10" w:rsidRDefault="004E7E10" w:rsidP="004E7E10">
      <w:r>
        <w:rPr>
          <w:rFonts w:eastAsiaTheme="minorEastAsia"/>
        </w:rPr>
        <w:t xml:space="preserve">Pro variantu s přítokem </w:t>
      </w:r>
      <w:r>
        <w:t>Q</w:t>
      </w:r>
      <w:r>
        <w:rPr>
          <w:vertAlign w:val="subscript"/>
        </w:rPr>
        <w:t xml:space="preserve">1 </w:t>
      </w:r>
      <w:r>
        <w:t>= 1,2·Q</w:t>
      </w:r>
      <w:r>
        <w:rPr>
          <w:vertAlign w:val="subscript"/>
        </w:rPr>
        <w:t>10</w:t>
      </w:r>
      <w:r>
        <w:t xml:space="preserve"> potom linearizovaný model vychází:</w:t>
      </w:r>
    </w:p>
    <w:p w:rsidR="004E7E10" w:rsidRPr="004E7E10" w:rsidRDefault="00DE2188" w:rsidP="004E7E10">
      <w:pPr>
        <w:spacing w:before="24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-0.2083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4E7E10" w:rsidRPr="004E7E10" w:rsidRDefault="004E7E10" w:rsidP="004E7E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4E7E10" w:rsidRPr="004E7E10" w:rsidRDefault="004E7E10" w:rsidP="004E7E10">
      <w:pPr>
        <w:rPr>
          <w:rFonts w:eastAsiaTheme="minorEastAsia"/>
        </w:rPr>
      </w:pPr>
    </w:p>
    <w:p w:rsidR="004E7E10" w:rsidRDefault="004E7E10" w:rsidP="004E7E10">
      <w:pPr>
        <w:pStyle w:val="Nadpis4"/>
        <w:rPr>
          <w:rFonts w:eastAsiaTheme="minorEastAsia"/>
        </w:rPr>
      </w:pPr>
      <w:r>
        <w:rPr>
          <w:rFonts w:eastAsiaTheme="minorEastAsia"/>
        </w:rPr>
        <w:t>Varianta B – Konstantní hladina, proměnné nastavení ventilů</w:t>
      </w:r>
    </w:p>
    <w:p w:rsidR="006E6D8D" w:rsidRDefault="006E6D8D" w:rsidP="006E6D8D">
      <w:r>
        <w:t xml:space="preserve">Nyní tedy zafixujeme výšku hladin </w:t>
      </w:r>
      <w:r>
        <w:rPr>
          <w:lang w:val="en-US"/>
        </w:rPr>
        <w:t>[H</w:t>
      </w:r>
      <w:r>
        <w:rPr>
          <w:lang w:val="en-US"/>
        </w:rPr>
        <w:softHyphen/>
      </w:r>
      <w:r>
        <w:rPr>
          <w:vertAlign w:val="subscript"/>
        </w:rPr>
        <w:t>1</w:t>
      </w:r>
      <w:r>
        <w:rPr>
          <w:lang w:val="en-US"/>
        </w:rPr>
        <w:t>(t)</w:t>
      </w:r>
      <w:r>
        <w:t>, H</w:t>
      </w:r>
      <w:r>
        <w:rPr>
          <w:vertAlign w:val="subscript"/>
        </w:rPr>
        <w:t>2</w:t>
      </w:r>
      <w:r>
        <w:rPr>
          <w:lang w:val="en-US"/>
        </w:rPr>
        <w:t>(t)] =[H</w:t>
      </w:r>
      <w:r>
        <w:rPr>
          <w:lang w:val="en-US"/>
        </w:rPr>
        <w:softHyphen/>
      </w:r>
      <w:r>
        <w:rPr>
          <w:vertAlign w:val="subscript"/>
        </w:rPr>
        <w:t>10</w:t>
      </w:r>
      <w:r>
        <w:t>, H</w:t>
      </w:r>
      <w:r>
        <w:rPr>
          <w:vertAlign w:val="subscript"/>
        </w:rPr>
        <w:t>20</w:t>
      </w:r>
      <w:r>
        <w:rPr>
          <w:lang w:val="en-US"/>
        </w:rPr>
        <w:t>]</w:t>
      </w:r>
      <w:r>
        <w:t xml:space="preserve">. Rovnice, ze kterých </w:t>
      </w:r>
      <w:proofErr w:type="gramStart"/>
      <w:r>
        <w:t>budeme</w:t>
      </w:r>
      <w:proofErr w:type="gramEnd"/>
      <w:r>
        <w:t xml:space="preserve"> vycházet se </w:t>
      </w:r>
      <w:proofErr w:type="gramStart"/>
      <w:r>
        <w:t>shodují</w:t>
      </w:r>
      <w:proofErr w:type="gramEnd"/>
      <w:r>
        <w:t xml:space="preserve"> s rovnicemi ve variantě A, nicméně je nezbytné upravit kód v </w:t>
      </w:r>
      <w:proofErr w:type="spellStart"/>
      <w:r>
        <w:t>malabu</w:t>
      </w:r>
      <w:proofErr w:type="spellEnd"/>
      <w:r>
        <w:t xml:space="preserve"> a to následujícím způsobem: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>%semestralniPrace02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>%linearizce2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H1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H2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k1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k2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S2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Q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c2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0"/>
          <w:szCs w:val="20"/>
        </w:rPr>
        <w:t>g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g = 9.81;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 = 25*10e-4;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cp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0.6;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c2 = 0.6;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H10 = 0.5;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H20 = 0.3;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0"/>
          <w:szCs w:val="20"/>
        </w:rPr>
        <w:t>nelinearni</w:t>
      </w:r>
      <w:proofErr w:type="spellEnd"/>
      <w:r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rovnice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 = [-((1/S)*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(2*g)) + 1/S*Q;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((1/S)*cp*Sp*sqrt(2*g))*sqrt(H1-H2)-((1/S)*c2*S2*sqrt(2*g))*sqrt(H2)];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 = [H1;H2];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u = Q;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20"/>
          <w:szCs w:val="20"/>
        </w:rPr>
        <w:t>linearizace</w:t>
      </w:r>
      <w:proofErr w:type="spellEnd"/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f,u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 = [1 0;0 1];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H1 = H10;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H2 = H20;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Qv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fnum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(f);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[S2,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solve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fnum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S2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(S2);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(A);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(B);</w:t>
      </w:r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(A,B,C,0);</w:t>
      </w:r>
      <w:proofErr w:type="gramEnd"/>
    </w:p>
    <w:p w:rsidR="0037643D" w:rsidRDefault="0037643D" w:rsidP="00376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37643D" w:rsidRDefault="0037643D" w:rsidP="0037643D">
      <w:pPr>
        <w:spacing w:before="240"/>
      </w:pPr>
      <w:r>
        <w:t>Výsledky pro provedení výpočtu v </w:t>
      </w:r>
      <w:proofErr w:type="spellStart"/>
      <w:r>
        <w:t>matlabu</w:t>
      </w:r>
      <w:proofErr w:type="spellEnd"/>
      <w:r>
        <w:t xml:space="preserve"> pro variantu s přítokem Q</w:t>
      </w:r>
      <w:r>
        <w:rPr>
          <w:vertAlign w:val="subscript"/>
        </w:rPr>
        <w:t xml:space="preserve">1 </w:t>
      </w:r>
      <w:r>
        <w:t>= Q</w:t>
      </w:r>
      <w:r>
        <w:rPr>
          <w:vertAlign w:val="subscript"/>
        </w:rPr>
        <w:t>10</w:t>
      </w:r>
      <w:r>
        <w:t>:</w:t>
      </w:r>
    </w:p>
    <w:p w:rsidR="0037643D" w:rsidRDefault="00DE2188" w:rsidP="0037643D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=1,2620e-04m2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=1,0305e-04m2</m:t>
          </m:r>
        </m:oMath>
      </m:oMathPara>
    </w:p>
    <w:p w:rsidR="0037643D" w:rsidRPr="004E7E10" w:rsidRDefault="00DE2188" w:rsidP="0037643D">
      <w:pPr>
        <w:spacing w:before="24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37643D" w:rsidRPr="004E7E10" w:rsidRDefault="0037643D" w:rsidP="003764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37643D" w:rsidRDefault="0037643D" w:rsidP="0037643D">
      <w:r>
        <w:rPr>
          <w:rFonts w:eastAsiaTheme="minorEastAsia"/>
        </w:rPr>
        <w:t xml:space="preserve">Pro variantu s přítokem </w:t>
      </w:r>
      <w:r>
        <w:t>Q</w:t>
      </w:r>
      <w:r>
        <w:rPr>
          <w:vertAlign w:val="subscript"/>
        </w:rPr>
        <w:t xml:space="preserve">1 </w:t>
      </w:r>
      <w:r>
        <w:t>= 1,2·Q</w:t>
      </w:r>
      <w:r>
        <w:rPr>
          <w:vertAlign w:val="subscript"/>
        </w:rPr>
        <w:t>10</w:t>
      </w:r>
      <w:r>
        <w:t xml:space="preserve"> potom linearizovaný model vychází:</w:t>
      </w:r>
    </w:p>
    <w:p w:rsidR="0037643D" w:rsidRDefault="00DE2188" w:rsidP="003764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=1,5145e-04m2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=1,2365e-04m2</m:t>
          </m:r>
        </m:oMath>
      </m:oMathPara>
    </w:p>
    <w:p w:rsidR="0037643D" w:rsidRPr="004E7E10" w:rsidRDefault="00DE2188" w:rsidP="0037643D">
      <w:pPr>
        <w:spacing w:before="24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37643D" w:rsidRPr="004E7E10" w:rsidRDefault="0037643D" w:rsidP="003764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6E6D8D" w:rsidRPr="006E6D8D" w:rsidRDefault="006E6D8D" w:rsidP="006E6D8D"/>
    <w:p w:rsidR="004E7E10" w:rsidRPr="004E7E10" w:rsidRDefault="004E7E10" w:rsidP="004E7E10"/>
    <w:p w:rsidR="00505551" w:rsidRDefault="000736BC" w:rsidP="00915919">
      <w:pPr>
        <w:pStyle w:val="Nadpis2"/>
      </w:pPr>
      <w:bookmarkStart w:id="4" w:name="_Toc459624341"/>
      <w:r>
        <w:lastRenderedPageBreak/>
        <w:t xml:space="preserve">Neurčitost </w:t>
      </w:r>
      <w:r w:rsidRPr="007331E4">
        <w:t>přenosu</w:t>
      </w:r>
      <w:bookmarkEnd w:id="4"/>
    </w:p>
    <w:p w:rsidR="000736BC" w:rsidRDefault="000736BC" w:rsidP="00C85803">
      <w:pPr>
        <w:spacing w:before="240"/>
      </w:pPr>
      <w:r>
        <w:t xml:space="preserve">V této části vyjdeme z přenosů systému spočítaných v předchozí kapitole. Oba případy zobrazíme v komplexní rovině, kde také zobrazíme jejich neurčitost. </w:t>
      </w:r>
      <w:r w:rsidR="00895252">
        <w:t>Uvažujme tedy systém Q</w:t>
      </w:r>
      <w:r w:rsidR="00895252">
        <w:rPr>
          <w:vertAlign w:val="subscript"/>
        </w:rPr>
        <w:t>1</w:t>
      </w:r>
      <w:r w:rsidR="00895252">
        <w:t xml:space="preserve">(t) </w:t>
      </w:r>
      <w:r w:rsidR="00895252">
        <w:sym w:font="Wingdings" w:char="F0E0"/>
      </w:r>
      <w:r w:rsidR="00895252">
        <w:t>H</w:t>
      </w:r>
      <w:r w:rsidR="00895252">
        <w:rPr>
          <w:vertAlign w:val="subscript"/>
        </w:rPr>
        <w:t>2</w:t>
      </w:r>
      <w:r w:rsidR="00895252">
        <w:t>(t)</w:t>
      </w:r>
      <w:r w:rsidR="00C85803">
        <w:t xml:space="preserve"> z variant A </w:t>
      </w:r>
      <w:proofErr w:type="spellStart"/>
      <w:r w:rsidR="00C85803">
        <w:t>a</w:t>
      </w:r>
      <w:proofErr w:type="spellEnd"/>
      <w:r w:rsidR="00C85803">
        <w:t xml:space="preserve"> B popsaných výše. Tyto přenosy zobrazíme v komplexní rovině, kde také znázorníme jejich neurčitost. Předpokládejme, že pracovní bod leží libovolně položený mezi pracovním bodem Q</w:t>
      </w:r>
      <w:r w:rsidR="00C85803">
        <w:rPr>
          <w:vertAlign w:val="subscript"/>
        </w:rPr>
        <w:t xml:space="preserve">10 </w:t>
      </w:r>
      <w:r w:rsidR="00C85803">
        <w:t xml:space="preserve">a </w:t>
      </w:r>
      <w:bookmarkStart w:id="5" w:name="OLE_LINK1"/>
      <w:bookmarkStart w:id="6" w:name="OLE_LINK2"/>
      <w:r w:rsidR="00C85803">
        <w:t>Q</w:t>
      </w:r>
      <w:r w:rsidR="00C85803">
        <w:rPr>
          <w:vertAlign w:val="subscript"/>
        </w:rPr>
        <w:t>10</w:t>
      </w:r>
      <w:r w:rsidR="00C85803">
        <w:t xml:space="preserve">·1,2. </w:t>
      </w:r>
      <w:bookmarkEnd w:id="5"/>
      <w:bookmarkEnd w:id="6"/>
    </w:p>
    <w:p w:rsidR="00331C63" w:rsidRDefault="00331C63" w:rsidP="0094322D">
      <w:pPr>
        <w:pStyle w:val="Nadpis4"/>
      </w:pPr>
      <w:r>
        <w:t>Přenos pro variantu A</w:t>
      </w:r>
    </w:p>
    <w:p w:rsidR="007B4D90" w:rsidRDefault="007B4D90" w:rsidP="007547E8">
      <w:r>
        <w:t>Opět, stejně jako v předchozích případech budeme uvažovat variantu s přítokem Q</w:t>
      </w:r>
      <w:r>
        <w:rPr>
          <w:vertAlign w:val="subscript"/>
        </w:rPr>
        <w:t>10</w:t>
      </w:r>
      <w:r>
        <w:t xml:space="preserve"> a také variantu s </w:t>
      </w:r>
      <w:proofErr w:type="gramStart"/>
      <w:r>
        <w:t>20%</w:t>
      </w:r>
      <w:proofErr w:type="gramEnd"/>
      <w:r>
        <w:t xml:space="preserve"> nárůstem. Přenosy tedy budou mít následující podobu:</w:t>
      </w:r>
    </w:p>
    <w:bookmarkStart w:id="7" w:name="OLE_LINK3"/>
    <w:bookmarkStart w:id="8" w:name="OLE_LINK4"/>
    <w:p w:rsidR="007B4D90" w:rsidRPr="007B4D90" w:rsidRDefault="00DE2188" w:rsidP="007B4D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+0.4s+0.015</m:t>
              </m:r>
            </m:den>
          </m:f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+0.333s+0.01042</m:t>
              </m:r>
            </m:den>
          </m:f>
          <w:bookmarkEnd w:id="7"/>
          <w:bookmarkEnd w:id="8"/>
          <m:r>
            <w:rPr>
              <w:rFonts w:ascii="Cambria Math" w:hAnsi="Cambria Math"/>
            </w:rPr>
            <m:t xml:space="preserve"> </m:t>
          </m:r>
        </m:oMath>
      </m:oMathPara>
    </w:p>
    <w:p w:rsidR="007B4D90" w:rsidRDefault="000E5DA5" w:rsidP="007B4D90">
      <w:r>
        <w:t xml:space="preserve">Vykreslení do komplexní roviny provedeme pomocí funkce </w:t>
      </w:r>
      <w:proofErr w:type="spellStart"/>
      <w:r>
        <w:t>nyquist</w:t>
      </w:r>
      <w:proofErr w:type="spellEnd"/>
      <w:r>
        <w:t>(</w:t>
      </w:r>
      <w:proofErr w:type="spellStart"/>
      <w:r>
        <w:t>sys</w:t>
      </w:r>
      <w:proofErr w:type="spellEnd"/>
      <w:r>
        <w:t>). Výsledek je vidět na následujícím grafu:</w:t>
      </w:r>
    </w:p>
    <w:p w:rsidR="000E5DA5" w:rsidRDefault="000E5DA5" w:rsidP="007B4D90">
      <w:r>
        <w:rPr>
          <w:noProof/>
          <w:lang w:eastAsia="cs-CZ"/>
        </w:rPr>
        <w:drawing>
          <wp:inline distT="0" distB="0" distL="0" distR="0" wp14:anchorId="4F2AB279" wp14:editId="340DB083">
            <wp:extent cx="5330825" cy="40024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2D" w:rsidRDefault="0094322D" w:rsidP="0094322D">
      <w:pPr>
        <w:pStyle w:val="Nadpis4"/>
      </w:pPr>
      <w:r>
        <w:t>Přenos pro variantu B</w:t>
      </w:r>
    </w:p>
    <w:p w:rsidR="0094322D" w:rsidRDefault="0094322D" w:rsidP="0094322D">
      <w:r>
        <w:t xml:space="preserve">Nyní to samé co v předchozí variantě provedeme pro variantu B. </w:t>
      </w:r>
      <w:proofErr w:type="gramStart"/>
      <w:r>
        <w:t>Tentokrát ovšem</w:t>
      </w:r>
      <w:proofErr w:type="gramEnd"/>
      <w:r>
        <w:t xml:space="preserve"> budeme vycházet z následujících rovnic:</w:t>
      </w:r>
    </w:p>
    <w:p w:rsidR="0094322D" w:rsidRDefault="00DE2188" w:rsidP="009432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+0.4s+0.015</m:t>
              </m:r>
            </m:den>
          </m:f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+0.48+0.0216</m:t>
              </m:r>
            </m:den>
          </m:f>
        </m:oMath>
      </m:oMathPara>
    </w:p>
    <w:p w:rsidR="0094322D" w:rsidRDefault="0094322D" w:rsidP="0094322D">
      <w:r>
        <w:t>Zobrazení v komplexní rovině pak dopadne následujícím způsobem:</w:t>
      </w:r>
    </w:p>
    <w:p w:rsidR="0094322D" w:rsidRDefault="0094322D" w:rsidP="0094322D">
      <w:r>
        <w:rPr>
          <w:noProof/>
          <w:lang w:eastAsia="cs-CZ"/>
        </w:rPr>
        <w:lastRenderedPageBreak/>
        <w:drawing>
          <wp:inline distT="0" distB="0" distL="0" distR="0" wp14:anchorId="0C39624B" wp14:editId="107C7C6A">
            <wp:extent cx="5330825" cy="40024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AA" w:rsidRDefault="003913AA" w:rsidP="00915919">
      <w:pPr>
        <w:pStyle w:val="Nadpis2"/>
      </w:pPr>
      <w:bookmarkStart w:id="9" w:name="_Toc459624342"/>
      <w:r>
        <w:t>Numerická skutečná neurčitost</w:t>
      </w:r>
      <w:bookmarkEnd w:id="9"/>
    </w:p>
    <w:p w:rsidR="002D04FD" w:rsidRDefault="003913AA" w:rsidP="002D04FD">
      <w:r>
        <w:t xml:space="preserve">V této části semestrální práce určíme skutečnou neurčitost pro obě výše zmíněné varianty. </w:t>
      </w:r>
    </w:p>
    <w:p w:rsidR="002D04FD" w:rsidRDefault="002D04FD" w:rsidP="002D04FD">
      <w:pPr>
        <w:pStyle w:val="Nadpis4"/>
      </w:pPr>
      <w:r>
        <w:t>Varianta A</w:t>
      </w:r>
    </w:p>
    <w:p w:rsidR="002D04FD" w:rsidRDefault="00795C84" w:rsidP="002D04FD">
      <w:r>
        <w:t>Nyní tedy určíme model neurčitosti a to pomocí takzvané aditivní neurčitosti. Ta vystupuje v nominativním modelu:</w:t>
      </w:r>
    </w:p>
    <w:p w:rsidR="003913AA" w:rsidRPr="00795C84" w:rsidRDefault="00DE2188" w:rsidP="00795C8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Δ</m:t>
          </m:r>
        </m:oMath>
      </m:oMathPara>
    </w:p>
    <w:p w:rsidR="00795C84" w:rsidRDefault="00795C84" w:rsidP="00795C84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 xml:space="preserve">a </w:t>
      </w:r>
      <w:r>
        <w:rPr>
          <w:rFonts w:eastAsiaTheme="minorEastAsia"/>
        </w:rPr>
        <w:t>je tedy přenos pro variantu a určený výše. P</w:t>
      </w:r>
      <w:r>
        <w:rPr>
          <w:rFonts w:eastAsiaTheme="minorEastAsia"/>
          <w:vertAlign w:val="subscript"/>
        </w:rPr>
        <w:t>0a</w:t>
      </w:r>
      <w:r>
        <w:rPr>
          <w:rFonts w:eastAsiaTheme="minorEastAsia"/>
        </w:rPr>
        <w:t xml:space="preserve"> je nominativní model, což je přenos při přítoku 10% a Δ je definovaná ||</w:t>
      </w:r>
      <w:r w:rsidRPr="00795C84">
        <w:rPr>
          <w:rFonts w:eastAsiaTheme="minorEastAsia"/>
        </w:rPr>
        <w:t xml:space="preserve"> </w:t>
      </w:r>
      <w:r>
        <w:rPr>
          <w:rFonts w:eastAsiaTheme="minorEastAsia"/>
        </w:rPr>
        <w:t>Δ||∞ ≤ 1. Vyjádřeme teď tedy přenos P</w:t>
      </w:r>
      <w:r>
        <w:rPr>
          <w:rFonts w:eastAsiaTheme="minorEastAsia"/>
          <w:vertAlign w:val="subscript"/>
        </w:rPr>
        <w:t>0a</w:t>
      </w:r>
      <w:r>
        <w:rPr>
          <w:rFonts w:eastAsiaTheme="minorEastAsia"/>
        </w:rPr>
        <w:t>.</w:t>
      </w:r>
    </w:p>
    <w:p w:rsidR="00795C84" w:rsidRPr="002D04FD" w:rsidRDefault="00DE2188" w:rsidP="00795C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54,55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+0.3409s+0.009298</m:t>
              </m:r>
            </m:den>
          </m:f>
        </m:oMath>
      </m:oMathPara>
    </w:p>
    <w:p w:rsidR="002D04FD" w:rsidRDefault="002D04FD" w:rsidP="00795C84">
      <w:r>
        <w:t xml:space="preserve">Nyní tedy zbývá vyjádřit aditivní neurčitost </w:t>
      </w:r>
      <w:proofErr w:type="spellStart"/>
      <w:proofErr w:type="gramStart"/>
      <w:r>
        <w:t>W</w:t>
      </w:r>
      <w:r>
        <w:rPr>
          <w:vertAlign w:val="subscript"/>
        </w:rPr>
        <w:t>a</w:t>
      </w:r>
      <w:proofErr w:type="spellEnd"/>
      <w:r>
        <w:t>(s).</w:t>
      </w:r>
      <w:proofErr w:type="gramEnd"/>
    </w:p>
    <w:p w:rsidR="002D04FD" w:rsidRDefault="00DE2188" w:rsidP="00795C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D04FD" w:rsidRPr="00C063B3" w:rsidRDefault="00DE2188" w:rsidP="00795C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5,455 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+3,553e-15 s+0.05579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0,7159s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+0,1484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+0.007322s+0.0001046</m:t>
              </m:r>
            </m:den>
          </m:f>
        </m:oMath>
      </m:oMathPara>
    </w:p>
    <w:p w:rsidR="00C063B3" w:rsidRDefault="00C063B3" w:rsidP="00C063B3">
      <w:r>
        <w:t xml:space="preserve">Nyní tedy zobrazíme neurčitost pro deset frekvencí a pro co nejvíce </w:t>
      </w:r>
      <w:proofErr w:type="spellStart"/>
      <w:r>
        <w:t>linearizací</w:t>
      </w:r>
      <w:proofErr w:type="spellEnd"/>
      <w:r>
        <w:t xml:space="preserve"> modelu spojených nádob. Tyto </w:t>
      </w:r>
      <w:proofErr w:type="spellStart"/>
      <w:r>
        <w:t>linearizace</w:t>
      </w:r>
      <w:proofErr w:type="spellEnd"/>
      <w:r>
        <w:t xml:space="preserve"> budou v rozmezí </w:t>
      </w:r>
      <w:proofErr w:type="spellStart"/>
      <w:r>
        <w:t>Q</w:t>
      </w:r>
      <w:r>
        <w:rPr>
          <w:vertAlign w:val="subscript"/>
        </w:rPr>
        <w:t>k</w:t>
      </w:r>
      <w:proofErr w:type="spellEnd"/>
      <w:r>
        <w:t xml:space="preserve"> = &lt;Q</w:t>
      </w:r>
      <w:r>
        <w:rPr>
          <w:vertAlign w:val="subscript"/>
        </w:rPr>
        <w:t>10</w:t>
      </w:r>
      <w:r>
        <w:t>; Q</w:t>
      </w:r>
      <w:r>
        <w:rPr>
          <w:vertAlign w:val="subscript"/>
        </w:rPr>
        <w:t>10</w:t>
      </w:r>
      <w:r>
        <w:t>·1,2&gt; Ty pak vykreslíme do komplexní roviny.</w:t>
      </w:r>
    </w:p>
    <w:p w:rsidR="006D27FC" w:rsidRDefault="006D27FC" w:rsidP="00C063B3">
      <w:r>
        <w:rPr>
          <w:noProof/>
          <w:lang w:eastAsia="cs-CZ"/>
        </w:rPr>
        <w:lastRenderedPageBreak/>
        <w:drawing>
          <wp:inline distT="0" distB="0" distL="0" distR="0">
            <wp:extent cx="5330825" cy="400240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3B3" w:rsidRPr="002D04FD" w:rsidRDefault="00C063B3" w:rsidP="00795C84">
      <w:pPr>
        <w:rPr>
          <w:rFonts w:eastAsiaTheme="minorEastAsia"/>
        </w:rPr>
      </w:pPr>
    </w:p>
    <w:p w:rsidR="002D04FD" w:rsidRDefault="002D04FD" w:rsidP="002D04FD">
      <w:pPr>
        <w:pStyle w:val="Nadpis4"/>
      </w:pPr>
      <w:r>
        <w:t>Varianta B</w:t>
      </w:r>
    </w:p>
    <w:p w:rsidR="002D04FD" w:rsidRDefault="002D04FD" w:rsidP="002D04FD">
      <w:r>
        <w:t>Identicky pro druhou variantu:</w:t>
      </w:r>
    </w:p>
    <w:p w:rsidR="002D04FD" w:rsidRPr="002D04FD" w:rsidRDefault="00DE2188" w:rsidP="002D04F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Δ</m:t>
          </m:r>
        </m:oMath>
      </m:oMathPara>
    </w:p>
    <w:p w:rsidR="002D04FD" w:rsidRPr="002D04FD" w:rsidRDefault="00DE2188" w:rsidP="002D04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+0.4125s+0.01361</m:t>
              </m:r>
            </m:den>
          </m:f>
        </m:oMath>
      </m:oMathPara>
    </w:p>
    <w:p w:rsidR="002D04FD" w:rsidRDefault="00DE2188" w:rsidP="002D04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D04FD" w:rsidRPr="002D04FD" w:rsidRDefault="00DE2188" w:rsidP="002D04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-6 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+3,553e-15 s+0.07425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0,7875s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+0,1796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+0.009745s+0.0001531</m:t>
              </m:r>
            </m:den>
          </m:f>
        </m:oMath>
      </m:oMathPara>
    </w:p>
    <w:p w:rsidR="00C063B3" w:rsidRDefault="00C063B3" w:rsidP="00C063B3">
      <w:r>
        <w:t>Nyní opět zobrazíme neurčit</w:t>
      </w:r>
      <w:r w:rsidR="00B72548">
        <w:t>o</w:t>
      </w:r>
      <w:r>
        <w:t>sti stejně jako ve variantě A:</w:t>
      </w:r>
    </w:p>
    <w:p w:rsidR="002D04FD" w:rsidRPr="00795C84" w:rsidRDefault="006D27FC" w:rsidP="002D04FD">
      <w:pPr>
        <w:jc w:val="center"/>
        <w:rPr>
          <w:rFonts w:eastAsiaTheme="minorEastAsia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330825" cy="4002405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3B3" w:rsidRPr="0094322D" w:rsidRDefault="00C063B3" w:rsidP="00C063B3">
      <w:pPr>
        <w:pStyle w:val="Nadpis4"/>
      </w:pPr>
      <w:r>
        <w:t>Porovnání obou variant</w:t>
      </w:r>
    </w:p>
    <w:p w:rsidR="00C063B3" w:rsidRDefault="00C063B3" w:rsidP="00C063B3"/>
    <w:p w:rsidR="00C063B3" w:rsidRDefault="00C063B3" w:rsidP="00C063B3">
      <w:r>
        <w:t xml:space="preserve">Následující graf ještě porovnává </w:t>
      </w:r>
      <w:proofErr w:type="spellStart"/>
      <w:r>
        <w:t>Bodeho</w:t>
      </w:r>
      <w:proofErr w:type="spellEnd"/>
      <w:r>
        <w:t xml:space="preserve"> amplitudové charakteristiky obou neurčitostí. Na tomto grafu můžeme </w:t>
      </w:r>
      <w:proofErr w:type="gramStart"/>
      <w:r>
        <w:t>pozorovat že</w:t>
      </w:r>
      <w:proofErr w:type="gramEnd"/>
      <w:r>
        <w:t xml:space="preserve"> neurčitosti v obou případech jsou téměř totožné, nebo přinejmenším velmi podobné. To ostatně můžeme pozorovat i při porovnání rovnic pro vyjádření neurčitosti. Už na první pohled jsou oba přenosy velmi podobné a ten samý jev můžeme pozorovat na tomto grafu:</w:t>
      </w:r>
    </w:p>
    <w:p w:rsidR="002D04FD" w:rsidRPr="002D04FD" w:rsidRDefault="006D27FC" w:rsidP="002D04FD">
      <w:r>
        <w:rPr>
          <w:noProof/>
          <w:lang w:eastAsia="cs-CZ"/>
        </w:rPr>
        <w:lastRenderedPageBreak/>
        <w:drawing>
          <wp:inline distT="0" distB="0" distL="0" distR="0">
            <wp:extent cx="5330825" cy="4002405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65" w:rsidRDefault="00E93BCA" w:rsidP="00E93BCA">
      <w:pPr>
        <w:pStyle w:val="Nadpis1"/>
      </w:pPr>
      <w:bookmarkStart w:id="10" w:name="_Toc459624343"/>
      <w:r>
        <w:t>Regulátor</w:t>
      </w:r>
      <w:bookmarkEnd w:id="10"/>
    </w:p>
    <w:p w:rsidR="00E93BCA" w:rsidRDefault="00F03006" w:rsidP="00E93BCA">
      <w:r>
        <w:t>V této části budeme navrhovat regulátor, který bude vlastně vodním čerpadlem. To budeme reprezentovat jednoduchým systémem prvního řádu s časovou konstantou T = 0,5s a statickým zesílením K</w:t>
      </w:r>
      <w:r>
        <w:rPr>
          <w:vertAlign w:val="subscript"/>
        </w:rPr>
        <w:t>s</w:t>
      </w:r>
      <w:r>
        <w:t xml:space="preserve"> = Q</w:t>
      </w:r>
      <w:r>
        <w:rPr>
          <w:vertAlign w:val="subscript"/>
        </w:rPr>
        <w:t>10</w:t>
      </w:r>
      <w:r>
        <w:t>. Dále budeme uvažovat také PI regulátor, který bude řídit napětí na kotvě motoru čerpadla. Cílem bude řídit hladinu H</w:t>
      </w:r>
      <w:r>
        <w:rPr>
          <w:vertAlign w:val="subscript"/>
        </w:rPr>
        <w:t>2</w:t>
      </w:r>
      <w:r>
        <w:t>. Předpokládejme rovněž to, že externí signály budou rozumně malé, takže systém není příliš vychýlen ze svého pracovního bodu. Systém budeme tedy považovat za lineární.</w:t>
      </w:r>
    </w:p>
    <w:p w:rsidR="00F03006" w:rsidRDefault="00F03006" w:rsidP="00915919">
      <w:pPr>
        <w:pStyle w:val="Nadpis2"/>
        <w:numPr>
          <w:ilvl w:val="1"/>
          <w:numId w:val="4"/>
        </w:numPr>
      </w:pPr>
      <w:bookmarkStart w:id="11" w:name="_Toc459624344"/>
      <w:r>
        <w:t>Návrh PI regulátoru</w:t>
      </w:r>
      <w:bookmarkEnd w:id="11"/>
    </w:p>
    <w:p w:rsidR="00F03006" w:rsidRDefault="00F03006" w:rsidP="00F03006">
      <w:r>
        <w:t>Tento regulátor s </w:t>
      </w:r>
      <w:proofErr w:type="gramStart"/>
      <w:r>
        <w:t>přenosem C(s) = K(1+1/T</w:t>
      </w:r>
      <w:r>
        <w:rPr>
          <w:vertAlign w:val="subscript"/>
        </w:rPr>
        <w:t>i</w:t>
      </w:r>
      <w:r>
        <w:t>s</w:t>
      </w:r>
      <w:proofErr w:type="gramEnd"/>
      <w:r>
        <w:t xml:space="preserve">) musí splňovat návrhové požadavky ze zadání. Nejprve tedy rozšíříme přenos systému spojených nádob o výše zmíněný systém aproximovaného vodního čerpadla. Výsledný systém P budeme mít tedy následující podobu: </w:t>
      </w:r>
    </w:p>
    <w:p w:rsidR="002130E4" w:rsidRPr="002130E4" w:rsidRDefault="002130E4" w:rsidP="00F030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cerp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1.5e-4</m:t>
              </m:r>
            </m:num>
            <m:den>
              <m:r>
                <w:rPr>
                  <w:rFonts w:ascii="Cambria Math" w:hAnsi="Cambria Math"/>
                </w:rPr>
                <m:t>0.5s+1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54.55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+0.3409s+0.009298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0.008182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+1.17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+0.3456s+0.009298</m:t>
              </m:r>
            </m:den>
          </m:f>
        </m:oMath>
      </m:oMathPara>
    </w:p>
    <w:p w:rsidR="002130E4" w:rsidRDefault="002130E4" w:rsidP="00F03006">
      <w:pPr>
        <w:rPr>
          <w:rFonts w:eastAsiaTheme="minorEastAsia"/>
        </w:rPr>
      </w:pPr>
      <w:r>
        <w:rPr>
          <w:rFonts w:eastAsiaTheme="minorEastAsia"/>
        </w:rPr>
        <w:t>Nyní tedy tento přenos budeme PI regulátorem, který je charakterizován následným přenosem</w:t>
      </w:r>
      <w:r w:rsidR="00450161">
        <w:rPr>
          <w:rFonts w:eastAsiaTheme="minorEastAsia"/>
        </w:rPr>
        <w:t>:</w:t>
      </w:r>
    </w:p>
    <w:p w:rsidR="00450161" w:rsidRPr="0093484F" w:rsidRDefault="00DE2188" w:rsidP="00F030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(s)=K(1+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93484F" w:rsidRDefault="0093484F" w:rsidP="00F03006">
      <w:pPr>
        <w:rPr>
          <w:rFonts w:eastAsiaTheme="minorEastAsia"/>
        </w:rPr>
      </w:pPr>
      <w:r>
        <w:rPr>
          <w:rFonts w:eastAsiaTheme="minorEastAsia"/>
        </w:rPr>
        <w:t>Nyní tedy nastavíme konstanty K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tak aby regulovaný systém tvořený tímto přenosem:</w:t>
      </w:r>
    </w:p>
    <w:p w:rsidR="0093484F" w:rsidRPr="0093484F" w:rsidRDefault="00DE2188" w:rsidP="00F030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 xml:space="preserve">(s)=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cerp</m:t>
                  </m:r>
                </m:sub>
              </m:sSub>
              <m:r>
                <w:rPr>
                  <w:rFonts w:ascii="Cambria Math" w:hAnsi="Cambria Math"/>
                </w:rPr>
                <m:t>·P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130E4" w:rsidRDefault="0093484F" w:rsidP="00F03006">
      <w:r>
        <w:t>Splňoval všechna návrhová kritéria ze zadání, tedy aby:</w:t>
      </w:r>
    </w:p>
    <w:p w:rsidR="0093484F" w:rsidRDefault="0093484F" w:rsidP="0093484F">
      <w:pPr>
        <w:pStyle w:val="Odstavecseseznamem"/>
        <w:numPr>
          <w:ilvl w:val="0"/>
          <w:numId w:val="7"/>
        </w:numPr>
      </w:pPr>
      <w:r>
        <w:t>Byl systém uzavřené smyčky vnitřně stabilní</w:t>
      </w:r>
    </w:p>
    <w:p w:rsidR="0093484F" w:rsidRDefault="0093484F" w:rsidP="0093484F">
      <w:pPr>
        <w:pStyle w:val="Odstavecseseznamem"/>
        <w:numPr>
          <w:ilvl w:val="0"/>
          <w:numId w:val="7"/>
        </w:numPr>
      </w:pPr>
      <w:r>
        <w:t xml:space="preserve">Splňoval robustnost ve stabilitě – tedy aby maximální hodnota amplitudy citlivostní </w:t>
      </w:r>
      <w:proofErr w:type="gramStart"/>
      <w:r>
        <w:t>funkce S(</w:t>
      </w:r>
      <w:proofErr w:type="spellStart"/>
      <w:r>
        <w:t>jω</w:t>
      </w:r>
      <w:proofErr w:type="spellEnd"/>
      <w:r>
        <w:t>) byla</w:t>
      </w:r>
      <w:proofErr w:type="gramEnd"/>
      <w:r>
        <w:t xml:space="preserve"> M</w:t>
      </w:r>
      <w:r>
        <w:rPr>
          <w:vertAlign w:val="subscript"/>
        </w:rPr>
        <w:t>S</w:t>
      </w:r>
      <w:r>
        <w:t xml:space="preserve"> &lt; 2</w:t>
      </w:r>
    </w:p>
    <w:p w:rsidR="0093484F" w:rsidRDefault="0093484F" w:rsidP="0093484F">
      <w:pPr>
        <w:pStyle w:val="Odstavecseseznamem"/>
        <w:numPr>
          <w:ilvl w:val="0"/>
          <w:numId w:val="7"/>
        </w:numPr>
      </w:pPr>
      <w:r>
        <w:t>Útlum komplementární citlivostní funkce po přidání dalších nepřesností, nelinearit a šumů</w:t>
      </w:r>
      <w:r w:rsidR="00E032A2">
        <w:t xml:space="preserve"> na frekvenci </w:t>
      </w:r>
      <w:proofErr w:type="spellStart"/>
      <w:r w:rsidR="00E032A2">
        <w:t>Ω</w:t>
      </w:r>
      <w:r w:rsidR="00E032A2">
        <w:rPr>
          <w:vertAlign w:val="subscript"/>
        </w:rPr>
        <w:t>a</w:t>
      </w:r>
      <w:proofErr w:type="spellEnd"/>
      <w:r w:rsidR="00E032A2">
        <w:t xml:space="preserve"> = 10rad/s musí být alespoň -10dB</w:t>
      </w:r>
    </w:p>
    <w:p w:rsidR="00E032A2" w:rsidRDefault="00E032A2" w:rsidP="0093484F">
      <w:pPr>
        <w:pStyle w:val="Odstavecseseznamem"/>
        <w:numPr>
          <w:ilvl w:val="0"/>
          <w:numId w:val="7"/>
        </w:numPr>
      </w:pPr>
      <w:r>
        <w:t xml:space="preserve">Energie libovolného šumu </w:t>
      </w:r>
      <w:proofErr w:type="gramStart"/>
      <w:r>
        <w:t>měření n(t) nebyla</w:t>
      </w:r>
      <w:proofErr w:type="gramEnd"/>
      <w:r>
        <w:t xml:space="preserve"> zesílena více než 1.5krát</w:t>
      </w:r>
    </w:p>
    <w:p w:rsidR="00E032A2" w:rsidRDefault="003D7579" w:rsidP="00E032A2">
      <w:r>
        <w:t xml:space="preserve">Koeficienty regulátoru budeme hledat prostou metodou pokus-omyl. Přičemž pro jednotlivé varianty vždy zkontrolujeme návrhová kritéria. Těm odpovídají parametry K = </w:t>
      </w:r>
      <w:r w:rsidR="00B56083">
        <w:t>9,5</w:t>
      </w:r>
      <w:r>
        <w:t xml:space="preserve"> a </w:t>
      </w:r>
      <w:r w:rsidRPr="003D7579">
        <w:t>Ti</w:t>
      </w:r>
      <w:r>
        <w:t xml:space="preserve"> = </w:t>
      </w:r>
      <w:r w:rsidR="00B56083">
        <w:t>16</w:t>
      </w:r>
      <w:r>
        <w:t>. Přenos regulátoru tak je:</w:t>
      </w:r>
    </w:p>
    <w:p w:rsidR="003D7579" w:rsidRPr="003D7579" w:rsidRDefault="00DE2188" w:rsidP="00E032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152s+9,5</m:t>
              </m:r>
            </m:num>
            <m:den>
              <m:r>
                <w:rPr>
                  <w:rFonts w:ascii="Cambria Math" w:hAnsi="Cambria Math"/>
                </w:rPr>
                <m:t>16s</m:t>
              </m:r>
            </m:den>
          </m:f>
        </m:oMath>
      </m:oMathPara>
    </w:p>
    <w:p w:rsidR="000E5DA5" w:rsidRDefault="00DE2188" w:rsidP="007B4D90">
      <w:r>
        <w:t>Pro kontrolu návrhových kritérií zavede následující přenosy</w:t>
      </w:r>
      <w:r w:rsidR="00D52202">
        <w:t>. Otevřenou smyčku s nominativním přenosem, přenosem čerpadla a regulátorem</w:t>
      </w:r>
      <w:r>
        <w:t>:</w:t>
      </w:r>
    </w:p>
    <w:p w:rsidR="00DE2188" w:rsidRPr="00D52202" w:rsidRDefault="00DE2188" w:rsidP="007B4D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cerp</m:t>
                  </m:r>
                </m:sub>
              </m:sSub>
              <m:r>
                <w:rPr>
                  <w:rFonts w:ascii="Cambria Math" w:hAnsi="Cambria Math"/>
                </w:rPr>
                <m:t>·P</m:t>
              </m:r>
            </m:e>
            <m:sub>
              <m:r>
                <w:rPr>
                  <w:rFonts w:ascii="Cambria Math" w:hAnsi="Cambria Math"/>
                </w:rPr>
                <m:t>0a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1.244s+0.07773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18.91s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+5.917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1983s</m:t>
              </m:r>
            </m:den>
          </m:f>
        </m:oMath>
      </m:oMathPara>
    </w:p>
    <w:p w:rsidR="00D52202" w:rsidRDefault="00D52202" w:rsidP="007B4D90">
      <w:pPr>
        <w:rPr>
          <w:rFonts w:eastAsiaTheme="minorEastAsia"/>
        </w:rPr>
      </w:pPr>
      <w:r>
        <w:rPr>
          <w:rFonts w:eastAsiaTheme="minorEastAsia"/>
        </w:rPr>
        <w:t>Nominální citlivostní funkce S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(s) danou přenosem:</w:t>
      </w:r>
    </w:p>
    <w:p w:rsidR="00D52202" w:rsidRPr="00D52202" w:rsidRDefault="00D52202" w:rsidP="00D52202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2.364s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+0.7397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+0.02479s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2.364s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+0.7397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+0.1802s+0.00971</m:t>
              </m:r>
            </m:den>
          </m:f>
        </m:oMath>
      </m:oMathPara>
    </w:p>
    <w:p w:rsidR="00D52202" w:rsidRDefault="00D52202" w:rsidP="00D52202">
      <w:r>
        <w:t>Komplementární citlivostní funkce T</w:t>
      </w:r>
      <w:r>
        <w:rPr>
          <w:vertAlign w:val="subscript"/>
        </w:rPr>
        <w:t>0</w:t>
      </w:r>
      <w:r>
        <w:t>(s) s následujícím předpisem:</w:t>
      </w:r>
    </w:p>
    <w:p w:rsidR="00D52202" w:rsidRPr="00176360" w:rsidRDefault="00D52202" w:rsidP="00D5220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0.1555</m:t>
              </m:r>
              <m:r>
                <w:rPr>
                  <w:rFonts w:ascii="Cambria Math" w:hAnsi="Cambria Math"/>
                </w:rPr>
                <m:t>s+0.0</m:t>
              </m:r>
              <m:r>
                <w:rPr>
                  <w:rFonts w:ascii="Cambria Math" w:hAnsi="Cambria Math"/>
                </w:rPr>
                <m:t>09716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2.364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0.7397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1802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0.009716</m:t>
              </m:r>
            </m:den>
          </m:f>
        </m:oMath>
      </m:oMathPara>
    </w:p>
    <w:p w:rsidR="00176360" w:rsidRDefault="00176360" w:rsidP="00D52202">
      <w:pPr>
        <w:rPr>
          <w:rFonts w:eastAsiaTheme="minorEastAsia"/>
        </w:rPr>
      </w:pPr>
      <w:r>
        <w:rPr>
          <w:rFonts w:eastAsiaTheme="minorEastAsia"/>
        </w:rPr>
        <w:t>Citlivostní funkce řízení:</w:t>
      </w:r>
    </w:p>
    <w:p w:rsidR="00176360" w:rsidRPr="00176360" w:rsidRDefault="00176360" w:rsidP="00D522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176360" w:rsidRDefault="00176360" w:rsidP="00D52202">
      <w:pPr>
        <w:rPr>
          <w:rFonts w:eastAsiaTheme="minorEastAsia"/>
        </w:rPr>
      </w:pPr>
      <w:r>
        <w:rPr>
          <w:rFonts w:eastAsiaTheme="minorEastAsia"/>
        </w:rPr>
        <w:t>Vstupní citlivostní funkce:</w:t>
      </w:r>
    </w:p>
    <w:p w:rsidR="00176360" w:rsidRPr="00176360" w:rsidRDefault="00176360" w:rsidP="001763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176360" w:rsidRDefault="00176360" w:rsidP="00D52202">
      <w:pPr>
        <w:rPr>
          <w:rFonts w:eastAsiaTheme="minorEastAsia"/>
        </w:rPr>
      </w:pPr>
    </w:p>
    <w:p w:rsidR="00176360" w:rsidRPr="003E1169" w:rsidRDefault="00176360" w:rsidP="00D52202">
      <w:pPr>
        <w:rPr>
          <w:rFonts w:eastAsiaTheme="minorEastAsia"/>
        </w:rPr>
      </w:pPr>
    </w:p>
    <w:p w:rsidR="003E1169" w:rsidRDefault="003E1169" w:rsidP="00D52202">
      <w:pPr>
        <w:rPr>
          <w:rFonts w:eastAsiaTheme="minorEastAsia"/>
        </w:rPr>
      </w:pPr>
      <w:r>
        <w:rPr>
          <w:rFonts w:eastAsiaTheme="minorEastAsia"/>
        </w:rPr>
        <w:t>Dále zavedeme váhové funkce W</w:t>
      </w:r>
      <w:r>
        <w:rPr>
          <w:rFonts w:eastAsiaTheme="minorEastAsia"/>
          <w:vertAlign w:val="subscript"/>
        </w:rPr>
        <w:t>1,2</w:t>
      </w:r>
      <w:r>
        <w:rPr>
          <w:rFonts w:eastAsiaTheme="minorEastAsia"/>
        </w:rPr>
        <w:t>. Funkci 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z požadavku na kvalitu řízení dána ½. 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odpovídá modelu neurčitosti zmíněnou výše lomenou nominativním přenosem P</w:t>
      </w:r>
      <w:r>
        <w:rPr>
          <w:rFonts w:eastAsiaTheme="minorEastAsia"/>
          <w:vertAlign w:val="subscript"/>
        </w:rPr>
        <w:t>0a</w:t>
      </w:r>
      <w:r>
        <w:rPr>
          <w:rFonts w:eastAsiaTheme="minorEastAsia"/>
        </w:rPr>
        <w:t>(s).</w:t>
      </w:r>
    </w:p>
    <w:p w:rsidR="003E1169" w:rsidRPr="003E1169" w:rsidRDefault="003E1169" w:rsidP="00D5220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+7.91e-17s-0.001364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+0.4s+0.015</m:t>
              </m:r>
            </m:den>
          </m:f>
        </m:oMath>
      </m:oMathPara>
    </w:p>
    <w:p w:rsidR="003E1169" w:rsidRDefault="00176360" w:rsidP="000545C3">
      <w:pPr>
        <w:pStyle w:val="Nadpis3"/>
        <w:numPr>
          <w:ilvl w:val="0"/>
          <w:numId w:val="2"/>
        </w:numPr>
      </w:pPr>
      <w:bookmarkStart w:id="12" w:name="_Toc459624345"/>
      <w:r>
        <w:t>Stabilita systému</w:t>
      </w:r>
      <w:bookmarkEnd w:id="12"/>
    </w:p>
    <w:p w:rsidR="00176360" w:rsidRDefault="00176360" w:rsidP="00176360">
      <w:r>
        <w:t>Stabilitu můžeme ověřit například pomocí GMK. Tu vykreslíme pro citlivostní funkci, citlivostní funkci řízení, vstupní citlivostní funkci a komplementární citlivostní funkci.</w:t>
      </w:r>
    </w:p>
    <w:p w:rsidR="00176360" w:rsidRDefault="00176360" w:rsidP="00176360">
      <w:r>
        <w:t>Citlivostní funkce:</w:t>
      </w:r>
    </w:p>
    <w:p w:rsidR="00176360" w:rsidRDefault="00176360" w:rsidP="00176360">
      <w:r>
        <w:rPr>
          <w:noProof/>
          <w:lang w:eastAsia="cs-CZ"/>
        </w:rPr>
        <w:drawing>
          <wp:inline distT="0" distB="0" distL="0" distR="0" wp14:anchorId="12BDA595" wp14:editId="10860C04">
            <wp:extent cx="2761081" cy="252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8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60" w:rsidRDefault="00176360" w:rsidP="00176360">
      <w:r>
        <w:t>Citlivostní funkce řízení:</w:t>
      </w:r>
    </w:p>
    <w:p w:rsidR="00176360" w:rsidRDefault="00176360" w:rsidP="00176360">
      <w:r>
        <w:rPr>
          <w:noProof/>
          <w:lang w:eastAsia="cs-CZ"/>
        </w:rPr>
        <w:drawing>
          <wp:inline distT="0" distB="0" distL="0" distR="0" wp14:anchorId="0187A27D" wp14:editId="4B714F41">
            <wp:extent cx="2761081" cy="252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8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60" w:rsidRDefault="00176360" w:rsidP="00176360">
      <w:r>
        <w:t>Vstupní citlivostní funkce:</w:t>
      </w:r>
    </w:p>
    <w:p w:rsidR="00176360" w:rsidRDefault="00176360" w:rsidP="00176360">
      <w:r>
        <w:rPr>
          <w:noProof/>
          <w:lang w:eastAsia="cs-CZ"/>
        </w:rPr>
        <w:lastRenderedPageBreak/>
        <w:drawing>
          <wp:inline distT="0" distB="0" distL="0" distR="0" wp14:anchorId="54FA5325" wp14:editId="22549247">
            <wp:extent cx="2761081" cy="252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8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60" w:rsidRDefault="00176360" w:rsidP="00176360">
      <w:r>
        <w:t>Komplementární citlivostní funkce:</w:t>
      </w:r>
    </w:p>
    <w:p w:rsidR="00176360" w:rsidRDefault="00176360" w:rsidP="00176360">
      <w:r>
        <w:rPr>
          <w:noProof/>
          <w:lang w:eastAsia="cs-CZ"/>
        </w:rPr>
        <w:drawing>
          <wp:inline distT="0" distB="0" distL="0" distR="0" wp14:anchorId="217C6D7C" wp14:editId="3D80F0A9">
            <wp:extent cx="2761081" cy="2520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8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C3" w:rsidRDefault="00176360" w:rsidP="00176360">
      <w:r>
        <w:t xml:space="preserve">Je patrné, že všechny kořeny leží v levé komplexní polorovině a </w:t>
      </w:r>
      <w:r w:rsidR="00980CAA">
        <w:t>žádný z nich tedy není ani v pravé komplexní polorovině nebo na imaginární ose</w:t>
      </w:r>
      <w:r>
        <w:t>, tím pádem jsou jednotlivé přenosy stabilní a stabilní je i uzavřený regulační obvod.</w:t>
      </w:r>
    </w:p>
    <w:p w:rsidR="00344EBC" w:rsidRDefault="00344EBC" w:rsidP="00176360">
      <w:r>
        <w:t xml:space="preserve">Můžeme také použít </w:t>
      </w:r>
      <w:proofErr w:type="spellStart"/>
      <w:r>
        <w:t>nyquistovo</w:t>
      </w:r>
      <w:proofErr w:type="spellEnd"/>
      <w:r>
        <w:t xml:space="preserve"> kritérium stability. Zobrazíme tedy přenos otevřené </w:t>
      </w:r>
      <w:proofErr w:type="spellStart"/>
      <w:r>
        <w:t>smičky</w:t>
      </w:r>
      <w:proofErr w:type="spellEnd"/>
      <w:r>
        <w:t xml:space="preserve"> systému </w:t>
      </w:r>
      <w:r w:rsidRPr="00344EBC">
        <w:t>L</w:t>
      </w:r>
      <w:r>
        <w:rPr>
          <w:vertAlign w:val="subscript"/>
        </w:rPr>
        <w:t>0</w:t>
      </w:r>
      <w:r>
        <w:t xml:space="preserve"> a také několika </w:t>
      </w:r>
      <w:proofErr w:type="spellStart"/>
      <w:r>
        <w:t>perturbovaných</w:t>
      </w:r>
      <w:proofErr w:type="spellEnd"/>
      <w:r>
        <w:t xml:space="preserve"> přenosů. </w:t>
      </w:r>
      <w:r w:rsidRPr="00344EBC">
        <w:t>To</w:t>
      </w:r>
      <w:r>
        <w:t xml:space="preserve"> že i tento test vede k potvrzení výše zmíněné stability je patrné z následujícího grafu:</w:t>
      </w:r>
    </w:p>
    <w:p w:rsidR="00344EBC" w:rsidRDefault="00344EBC" w:rsidP="00176360">
      <w:r>
        <w:rPr>
          <w:noProof/>
          <w:lang w:eastAsia="cs-CZ"/>
        </w:rPr>
        <w:lastRenderedPageBreak/>
        <w:drawing>
          <wp:inline distT="0" distB="0" distL="0" distR="0" wp14:anchorId="169D493B" wp14:editId="2B0F1B00">
            <wp:extent cx="5330825" cy="400240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BC" w:rsidRDefault="00344EBC" w:rsidP="00344EBC">
      <w:pPr>
        <w:ind w:firstLine="0"/>
      </w:pPr>
    </w:p>
    <w:p w:rsidR="00176360" w:rsidRDefault="000545C3" w:rsidP="000545C3">
      <w:pPr>
        <w:pStyle w:val="Nadpis3"/>
        <w:numPr>
          <w:ilvl w:val="0"/>
          <w:numId w:val="2"/>
        </w:numPr>
      </w:pPr>
      <w:bookmarkStart w:id="13" w:name="_Toc459624346"/>
      <w:r>
        <w:t>Robustnost ve stabilitě</w:t>
      </w:r>
      <w:bookmarkEnd w:id="13"/>
    </w:p>
    <w:p w:rsidR="00344EBC" w:rsidRDefault="00A2455E" w:rsidP="00344EBC">
      <w:r>
        <w:t xml:space="preserve">Nyní </w:t>
      </w:r>
      <w:proofErr w:type="gramStart"/>
      <w:r>
        <w:t>ověříme zda</w:t>
      </w:r>
      <w:proofErr w:type="gramEnd"/>
      <w:r>
        <w:t xml:space="preserve"> uzavřená smyčka splňuje návrhové kritérium, tedy že amplituda citlivostní funkce nepřesáhne hodnotu M</w:t>
      </w:r>
      <w:r>
        <w:rPr>
          <w:vertAlign w:val="subscript"/>
        </w:rPr>
        <w:t xml:space="preserve">S </w:t>
      </w:r>
      <w:r>
        <w:t>= 2. Abychom toto kritérium ověřili. Spočteme nekonečno normu následujícího výrazu.</w:t>
      </w:r>
    </w:p>
    <w:p w:rsidR="00A2455E" w:rsidRPr="00A2455E" w:rsidRDefault="00A2455E" w:rsidP="00344EB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A2455E" w:rsidRDefault="00A2455E" w:rsidP="00344EBC">
      <w:pPr>
        <w:rPr>
          <w:rFonts w:eastAsiaTheme="minorEastAsia"/>
        </w:rPr>
      </w:pPr>
      <w:r>
        <w:rPr>
          <w:rFonts w:eastAsiaTheme="minorEastAsia"/>
        </w:rPr>
        <w:t>Po dosazení:</w:t>
      </w:r>
    </w:p>
    <w:p w:rsidR="00A2455E" w:rsidRPr="00A2455E" w:rsidRDefault="00A2455E" w:rsidP="00A2455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0.7056</m:t>
          </m:r>
        </m:oMath>
      </m:oMathPara>
    </w:p>
    <w:p w:rsidR="00A2455E" w:rsidRDefault="00A2455E" w:rsidP="00A2455E">
      <w:pPr>
        <w:rPr>
          <w:rFonts w:eastAsiaTheme="minorEastAsia"/>
        </w:rPr>
      </w:pPr>
      <w:r>
        <w:rPr>
          <w:rFonts w:eastAsiaTheme="minorEastAsia"/>
        </w:rPr>
        <w:t xml:space="preserve">Zde je patrné, že regulovaný systém odpovídá požadavkům na robustnost systému. </w:t>
      </w:r>
    </w:p>
    <w:p w:rsidR="00CC5C55" w:rsidRDefault="00CC5C55" w:rsidP="00CC5C55">
      <w:pPr>
        <w:pStyle w:val="Nadpis3"/>
        <w:numPr>
          <w:ilvl w:val="0"/>
          <w:numId w:val="2"/>
        </w:numPr>
        <w:rPr>
          <w:rFonts w:eastAsiaTheme="minorEastAsia"/>
        </w:rPr>
      </w:pPr>
      <w:bookmarkStart w:id="14" w:name="_Toc459624347"/>
      <w:r>
        <w:rPr>
          <w:rFonts w:eastAsiaTheme="minorEastAsia"/>
        </w:rPr>
        <w:t>Šířka pásma</w:t>
      </w:r>
      <w:bookmarkEnd w:id="14"/>
    </w:p>
    <w:p w:rsidR="00CC5C55" w:rsidRDefault="00CC5C55" w:rsidP="00CC5C55">
      <w:r>
        <w:t xml:space="preserve">Útlum komplementární citlivostní funkce pro </w:t>
      </w:r>
      <w:proofErr w:type="spellStart"/>
      <w:r>
        <w:t>Ω</w:t>
      </w:r>
      <w:r>
        <w:rPr>
          <w:vertAlign w:val="subscript"/>
        </w:rPr>
        <w:t>a</w:t>
      </w:r>
      <w:proofErr w:type="spellEnd"/>
      <w:r>
        <w:t>=10rad/s má být minimálně -10dB. Pro zjištění, zda systém splňuje toto návrhové kritérium</w:t>
      </w:r>
      <w:r w:rsidR="002B5C55">
        <w:t>,</w:t>
      </w:r>
      <w:r>
        <w:t xml:space="preserve"> využijeme následující vztah:</w:t>
      </w:r>
    </w:p>
    <w:p w:rsidR="00CC5C55" w:rsidRPr="002B5C55" w:rsidRDefault="00CC5C55" w:rsidP="00CC5C5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20log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cerp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(s)·P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cerp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(s)·P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</m:t>
                      </m:r>
                    </m:den>
                  </m:f>
                </m:e>
              </m:d>
            </m:e>
          </m:d>
        </m:oMath>
      </m:oMathPara>
    </w:p>
    <w:p w:rsidR="002B5C55" w:rsidRDefault="002B5C55" w:rsidP="002B5C55">
      <w:pPr>
        <w:rPr>
          <w:rFonts w:eastAsiaTheme="minorEastAsia"/>
        </w:rPr>
      </w:pPr>
      <w:r>
        <w:rPr>
          <w:rFonts w:eastAsiaTheme="minorEastAsia"/>
        </w:rPr>
        <w:t>Kde za s </w:t>
      </w:r>
      <w:proofErr w:type="gramStart"/>
      <w:r>
        <w:rPr>
          <w:rFonts w:eastAsiaTheme="minorEastAsia"/>
        </w:rPr>
        <w:t>dosadíme</w:t>
      </w:r>
      <w:proofErr w:type="gramEnd"/>
      <w:r>
        <w:rPr>
          <w:rFonts w:eastAsiaTheme="minorEastAsia"/>
        </w:rPr>
        <w:t xml:space="preserve"> danou frekvenci. Po dosazení vyjde:</w:t>
      </w:r>
    </w:p>
    <w:p w:rsidR="002B5C55" w:rsidRPr="002B5C55" w:rsidRDefault="002B5C55" w:rsidP="002B5C5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20log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cerp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(s)·P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cerp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(s)·P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=-83,0289dB</m:t>
          </m:r>
        </m:oMath>
      </m:oMathPara>
    </w:p>
    <w:p w:rsidR="002B5C55" w:rsidRDefault="002B5C55" w:rsidP="002B5C55">
      <w:pPr>
        <w:rPr>
          <w:rFonts w:eastAsiaTheme="minorEastAsia"/>
        </w:rPr>
      </w:pPr>
      <w:r>
        <w:rPr>
          <w:rFonts w:eastAsiaTheme="minorEastAsia"/>
        </w:rPr>
        <w:lastRenderedPageBreak/>
        <w:t>I toto kritérium je tedy splněné.</w:t>
      </w:r>
    </w:p>
    <w:p w:rsidR="002B5C55" w:rsidRDefault="002B5C55" w:rsidP="002B5C55">
      <w:pPr>
        <w:pStyle w:val="Nadpis3"/>
        <w:numPr>
          <w:ilvl w:val="0"/>
          <w:numId w:val="2"/>
        </w:numPr>
      </w:pPr>
      <w:bookmarkStart w:id="15" w:name="_Toc459624348"/>
      <w:r>
        <w:t>Zesílení energie šumu</w:t>
      </w:r>
      <w:bookmarkEnd w:id="15"/>
    </w:p>
    <w:p w:rsidR="002B5C55" w:rsidRDefault="002B5C55" w:rsidP="002B5C55">
      <w:r>
        <w:t>V rámci této části zhodnotíme, zda je splněno i další návrhové kritérium. V tomto případě využijeme nekonečno normu pro následující výraz:</w:t>
      </w:r>
    </w:p>
    <w:p w:rsidR="002B5C55" w:rsidRPr="002B5C55" w:rsidRDefault="002B5C55" w:rsidP="002B5C5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cerp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·P</m:t>
                  </m:r>
                </m:e>
                <m:sub>
                  <m:r>
                    <w:rPr>
                      <w:rFonts w:ascii="Cambria Math" w:hAnsi="Cambria Math"/>
                    </w:rPr>
                    <m:t>0a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cerp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·P</m:t>
                  </m:r>
                </m:e>
                <m:sub>
                  <m:r>
                    <w:rPr>
                      <w:rFonts w:ascii="Cambria Math" w:hAnsi="Cambria Math"/>
                    </w:rPr>
                    <m:t>0a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:rsidR="002B5C55" w:rsidRDefault="002B5C55" w:rsidP="002B5C55">
      <w:pPr>
        <w:rPr>
          <w:rFonts w:eastAsiaTheme="minorEastAsia"/>
        </w:rPr>
      </w:pPr>
      <w:r>
        <w:rPr>
          <w:rFonts w:eastAsiaTheme="minorEastAsia"/>
        </w:rPr>
        <w:t>Nyní tedy vypočítáme hodnotu této normy:</w:t>
      </w:r>
    </w:p>
    <w:p w:rsidR="002B5C55" w:rsidRPr="002B5C55" w:rsidRDefault="002B5C55" w:rsidP="002B5C5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cerp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·P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cerp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·P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1.2454</m:t>
          </m:r>
        </m:oMath>
      </m:oMathPara>
    </w:p>
    <w:p w:rsidR="00C96DC2" w:rsidRDefault="002B5C55" w:rsidP="002B5C55">
      <w:r>
        <w:t>Zesílení je patrně menší než 1.5 a tedy i toto návrhové kritérium je splněno. Dokázali jsme tedy navrh</w:t>
      </w:r>
      <w:r w:rsidR="00B26851">
        <w:t>n</w:t>
      </w:r>
      <w:r>
        <w:t xml:space="preserve">out </w:t>
      </w:r>
      <w:r w:rsidR="00B26851">
        <w:t>regulátor odpovídající všem návrhovým požadavkům.</w:t>
      </w:r>
    </w:p>
    <w:p w:rsidR="00C96DC2" w:rsidRDefault="00C96DC2" w:rsidP="00DE6DDA">
      <w:pPr>
        <w:pStyle w:val="Nadpis2"/>
        <w:numPr>
          <w:ilvl w:val="1"/>
          <w:numId w:val="4"/>
        </w:numPr>
      </w:pPr>
      <w:bookmarkStart w:id="16" w:name="_Toc459624349"/>
      <w:r>
        <w:t>Zatížení šumem</w:t>
      </w:r>
      <w:bookmarkEnd w:id="16"/>
    </w:p>
    <w:p w:rsidR="002B5C55" w:rsidRDefault="007B08CA" w:rsidP="00C96DC2">
      <w:r>
        <w:t xml:space="preserve">Nyní zjistíme, jestli nedochází k zesílení harmonického </w:t>
      </w:r>
      <w:proofErr w:type="gramStart"/>
      <w:r>
        <w:t>šumu n(t) s frekvencí</w:t>
      </w:r>
      <w:proofErr w:type="gramEnd"/>
      <w:r>
        <w:t xml:space="preserve"> 50Hz. Opět použijeme tento vztah.</w:t>
      </w:r>
    </w:p>
    <w:p w:rsidR="007B08CA" w:rsidRPr="002B5C55" w:rsidRDefault="007B08CA" w:rsidP="007B08CA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cerp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·P</m:t>
                  </m:r>
                </m:e>
                <m:sub>
                  <m:r>
                    <w:rPr>
                      <w:rFonts w:ascii="Cambria Math" w:hAnsi="Cambria Math"/>
                    </w:rPr>
                    <m:t>0a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cerp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·P</m:t>
                  </m:r>
                </m:e>
                <m:sub>
                  <m:r>
                    <w:rPr>
                      <w:rFonts w:ascii="Cambria Math" w:hAnsi="Cambria Math"/>
                    </w:rPr>
                    <m:t>0a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:rsidR="00DA628F" w:rsidRDefault="007B08CA" w:rsidP="00C96DC2">
      <w:r>
        <w:t xml:space="preserve">V tomto případě ovšem dosadíme frekvenci </w:t>
      </w:r>
      <w:proofErr w:type="spellStart"/>
      <w:r>
        <w:t>simbolizující</w:t>
      </w:r>
      <w:proofErr w:type="spellEnd"/>
      <w:r>
        <w:t xml:space="preserve"> aditivní </w:t>
      </w:r>
      <w:r w:rsidR="00DA628F">
        <w:t>harmonický šum s frekvencí 50Hz. Po dosazení a dopočtení normy dostáváme:</w:t>
      </w:r>
    </w:p>
    <w:p w:rsidR="00DA628F" w:rsidRPr="00DA628F" w:rsidRDefault="00DA628F" w:rsidP="00C96DC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cerp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·P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cerp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·P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=1.8999e-9</m:t>
          </m:r>
        </m:oMath>
      </m:oMathPara>
    </w:p>
    <w:p w:rsidR="00DA628F" w:rsidRDefault="00DA628F" w:rsidP="00C96DC2">
      <w:r>
        <w:t>Tato hodnota jasně ukazuje, že uzavřená smyčka šum s frekvencí 50Hz naopak tlumí. Kde S =j2π0,1</w:t>
      </w:r>
    </w:p>
    <w:p w:rsidR="00DA628F" w:rsidRDefault="00DA628F" w:rsidP="00C96DC2">
      <w:r>
        <w:t>Nyní to samé provedeme pro frekvenci 0,1Hz ovlivňující výstup systému. Protože tato porucha působí pouze na výstup daného systému, změní se i normovaná rovnice. A to takto:</w:t>
      </w:r>
    </w:p>
    <w:p w:rsidR="00DA628F" w:rsidRPr="00CE7012" w:rsidRDefault="00CE7012" w:rsidP="00C96DC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cerp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·P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1.0809</m:t>
          </m:r>
        </m:oMath>
      </m:oMathPara>
    </w:p>
    <w:p w:rsidR="00CE7012" w:rsidRDefault="00CE7012" w:rsidP="00C96DC2">
      <w:r>
        <w:rPr>
          <w:rFonts w:eastAsiaTheme="minorEastAsia"/>
        </w:rPr>
        <w:t>Zde za S dosadíme s = j2π0,1. Zde se nám nepodařilo docílit potlačení aditivního šumu na výstupu. K zesílení sice dochází, ale je opravdu mírné. Ani při jiném nastavení konstant regulátoru se nepovedlo dosáhnout lepších výsledků.</w:t>
      </w:r>
    </w:p>
    <w:p w:rsidR="007B08CA" w:rsidRDefault="00DA628F" w:rsidP="00915919">
      <w:pPr>
        <w:pStyle w:val="Nadpis2"/>
        <w:numPr>
          <w:ilvl w:val="1"/>
          <w:numId w:val="4"/>
        </w:numPr>
      </w:pPr>
      <w:r>
        <w:lastRenderedPageBreak/>
        <w:t xml:space="preserve"> </w:t>
      </w:r>
      <w:bookmarkStart w:id="17" w:name="_Toc459624350"/>
      <w:r w:rsidR="000D7346">
        <w:t>Zesílení externích signálů</w:t>
      </w:r>
      <w:bookmarkEnd w:id="17"/>
    </w:p>
    <w:p w:rsidR="000D7346" w:rsidRDefault="00EC18E7" w:rsidP="000D7346">
      <w:r>
        <w:t xml:space="preserve">Předpokládejme, že systém je v rovnovážném </w:t>
      </w:r>
      <w:proofErr w:type="gramStart"/>
      <w:r>
        <w:t>stavu e(t) = 0.</w:t>
      </w:r>
      <w:proofErr w:type="gramEnd"/>
      <w:r>
        <w:t xml:space="preserve"> Dále uvažujme chybu d</w:t>
      </w:r>
      <w:r>
        <w:rPr>
          <w:vertAlign w:val="subscript"/>
        </w:rPr>
        <w:t>i</w:t>
      </w:r>
      <w:r>
        <w:t xml:space="preserve"> s omezenou energií danou dvě normou ||d</w:t>
      </w:r>
      <w:r>
        <w:rPr>
          <w:vertAlign w:val="subscript"/>
        </w:rPr>
        <w:t>i</w:t>
      </w:r>
      <w:r>
        <w:t>||</w:t>
      </w:r>
      <w:r>
        <w:rPr>
          <w:vertAlign w:val="subscript"/>
        </w:rPr>
        <w:t>2</w:t>
      </w:r>
      <w:r>
        <w:t xml:space="preserve"> &lt; 1. Odpovězme tedy </w:t>
      </w:r>
      <w:proofErr w:type="gramStart"/>
      <w:r>
        <w:t>otázku k jakému</w:t>
      </w:r>
      <w:proofErr w:type="gramEnd"/>
      <w:r>
        <w:t xml:space="preserve"> maximálnímu kolísání hladiny dojde. Zobrazme tedy </w:t>
      </w:r>
      <w:proofErr w:type="spellStart"/>
      <w:r>
        <w:t>bodeho</w:t>
      </w:r>
      <w:proofErr w:type="spellEnd"/>
      <w:r>
        <w:t xml:space="preserve"> charakteristiku vstupní citlivostní funkce:</w:t>
      </w:r>
    </w:p>
    <w:p w:rsidR="00EC18E7" w:rsidRDefault="00EC18E7" w:rsidP="000D7346">
      <w:r>
        <w:rPr>
          <w:noProof/>
          <w:lang w:eastAsia="cs-CZ"/>
        </w:rPr>
        <w:drawing>
          <wp:inline distT="0" distB="0" distL="0" distR="0" wp14:anchorId="7D8B9C2C" wp14:editId="6FF347A1">
            <wp:extent cx="5330825" cy="400240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E7" w:rsidRDefault="00EC18E7" w:rsidP="000D7346">
      <w:r>
        <w:t>Vyznačený bod je frekvence s nejnižším zesla</w:t>
      </w:r>
      <w:r w:rsidR="007B6CCB">
        <w:t>bením. Právě při této frekvenci dojde k nejvyššímu výkyvu hladiny. Rad·s</w:t>
      </w:r>
      <w:r w:rsidR="007B6CCB">
        <w:rPr>
          <w:vertAlign w:val="superscript"/>
        </w:rPr>
        <w:t xml:space="preserve">-1 </w:t>
      </w:r>
      <w:r w:rsidR="007B6CCB">
        <w:t>můžeme převést f = 0.193rad·s</w:t>
      </w:r>
      <w:r w:rsidR="007B6CCB">
        <w:rPr>
          <w:vertAlign w:val="superscript"/>
        </w:rPr>
        <w:t>-1</w:t>
      </w:r>
      <w:r w:rsidR="007B6CCB">
        <w:t xml:space="preserve"> = 0.0318Hz. Vlastní kolísání hladiny H</w:t>
      </w:r>
      <w:r w:rsidR="007B6CCB">
        <w:rPr>
          <w:vertAlign w:val="subscript"/>
        </w:rPr>
        <w:t>2</w:t>
      </w:r>
      <w:r w:rsidR="007B6CCB">
        <w:t xml:space="preserve"> pak určíme jako dvě normu citlivostní funkce výstupu:</w:t>
      </w:r>
    </w:p>
    <w:p w:rsidR="007B6CCB" w:rsidRPr="00C654C1" w:rsidRDefault="007B6CCB" w:rsidP="000D73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=0.0372</m:t>
          </m:r>
        </m:oMath>
      </m:oMathPara>
    </w:p>
    <w:p w:rsidR="00C654C1" w:rsidRDefault="00C654C1" w:rsidP="00915919">
      <w:pPr>
        <w:pStyle w:val="Nadpis2"/>
        <w:numPr>
          <w:ilvl w:val="1"/>
          <w:numId w:val="4"/>
        </w:numPr>
      </w:pPr>
      <w:bookmarkStart w:id="18" w:name="_Toc459624351"/>
      <w:r>
        <w:t>Zesilování externích signálů</w:t>
      </w:r>
      <w:bookmarkEnd w:id="18"/>
    </w:p>
    <w:p w:rsidR="002C13F3" w:rsidRDefault="002C13F3" w:rsidP="002C13F3">
      <w:r>
        <w:t xml:space="preserve">Nalezneme </w:t>
      </w:r>
      <w:proofErr w:type="gramStart"/>
      <w:r>
        <w:t>signály n(t) a d(t), kde</w:t>
      </w:r>
      <w:proofErr w:type="gramEnd"/>
      <w:r>
        <w:t xml:space="preserve"> ||n(t)||∞</w:t>
      </w:r>
      <w:r>
        <w:rPr>
          <w:vertAlign w:val="subscript"/>
        </w:rPr>
        <w:t xml:space="preserve"> </w:t>
      </w:r>
      <w:r>
        <w:t xml:space="preserve">&lt; 1, ||d(t)||∞ &lt;1 a to takové, které jsou zpětnovazební smyčkou zesíleny maximálně ve smyslu maximální hodnoty signálu a energie signálu. </w:t>
      </w:r>
      <w:r w:rsidR="003B3000">
        <w:t>Frekvenci těchto signálů určíme z </w:t>
      </w:r>
      <w:proofErr w:type="spellStart"/>
      <w:r w:rsidR="003B3000">
        <w:t>Bodeho</w:t>
      </w:r>
      <w:proofErr w:type="spellEnd"/>
      <w:r w:rsidR="003B3000">
        <w:t xml:space="preserve"> charakteristiky</w:t>
      </w:r>
      <w:r w:rsidR="00767C3A">
        <w:t xml:space="preserve"> komplementární citlivostní funkce a citlivostní funkce systému</w:t>
      </w:r>
      <w:r w:rsidR="003B3000">
        <w:t>.</w:t>
      </w:r>
    </w:p>
    <w:p w:rsidR="003B3000" w:rsidRDefault="00767C3A" w:rsidP="002C13F3">
      <w:r>
        <w:rPr>
          <w:noProof/>
          <w:lang w:eastAsia="cs-CZ"/>
        </w:rPr>
        <w:lastRenderedPageBreak/>
        <w:drawing>
          <wp:inline distT="0" distB="0" distL="0" distR="0">
            <wp:extent cx="5330825" cy="400240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3A" w:rsidRDefault="00767C3A" w:rsidP="002C13F3">
      <w:r>
        <w:rPr>
          <w:noProof/>
          <w:lang w:eastAsia="cs-CZ"/>
        </w:rPr>
        <w:drawing>
          <wp:inline distT="0" distB="0" distL="0" distR="0">
            <wp:extent cx="5330825" cy="400240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3A" w:rsidRDefault="00767C3A" w:rsidP="00767C3A">
      <w:r>
        <w:t xml:space="preserve">Získané mezní frekvence externího </w:t>
      </w:r>
      <w:proofErr w:type="gramStart"/>
      <w:r>
        <w:t xml:space="preserve">signálu </w:t>
      </w:r>
      <w:proofErr w:type="spellStart"/>
      <w:r>
        <w:t>ω</w:t>
      </w:r>
      <w:r>
        <w:rPr>
          <w:vertAlign w:val="subscript"/>
        </w:rPr>
        <w:t>n</w:t>
      </w:r>
      <w:proofErr w:type="spellEnd"/>
      <w:r>
        <w:t>(t) = 0.193rad</w:t>
      </w:r>
      <w:proofErr w:type="gramEnd"/>
      <w:r>
        <w:t>·s</w:t>
      </w:r>
      <w:r>
        <w:rPr>
          <w:vertAlign w:val="superscript"/>
        </w:rPr>
        <w:t xml:space="preserve">-1 </w:t>
      </w:r>
      <w:r>
        <w:t xml:space="preserve">a </w:t>
      </w:r>
      <w:proofErr w:type="spellStart"/>
      <w:r>
        <w:t>ω</w:t>
      </w:r>
      <w:r>
        <w:rPr>
          <w:vertAlign w:val="subscript"/>
        </w:rPr>
        <w:t>d</w:t>
      </w:r>
      <w:proofErr w:type="spellEnd"/>
      <w:r>
        <w:t>(t) = 0.</w:t>
      </w:r>
      <w:r w:rsidR="00BF48F6">
        <w:t>322</w:t>
      </w:r>
      <w:r>
        <w:t>rad·s</w:t>
      </w:r>
      <w:r>
        <w:rPr>
          <w:vertAlign w:val="superscript"/>
        </w:rPr>
        <w:t>-1</w:t>
      </w:r>
      <w:r>
        <w:t>.</w:t>
      </w:r>
      <w:r w:rsidR="0026322F">
        <w:t xml:space="preserve"> Pro zobrazení odezvy uzavřeného systému využijeme následující model v </w:t>
      </w:r>
      <w:proofErr w:type="spellStart"/>
      <w:r w:rsidR="0026322F">
        <w:t>Simulinku</w:t>
      </w:r>
      <w:proofErr w:type="spellEnd"/>
    </w:p>
    <w:p w:rsidR="0026322F" w:rsidRPr="00767C3A" w:rsidRDefault="0026322F" w:rsidP="00767C3A">
      <w:r>
        <w:rPr>
          <w:noProof/>
          <w:lang w:eastAsia="cs-CZ"/>
        </w:rPr>
        <w:lastRenderedPageBreak/>
        <w:drawing>
          <wp:inline distT="0" distB="0" distL="0" distR="0">
            <wp:extent cx="5727700" cy="4675505"/>
            <wp:effectExtent l="0" t="0" r="635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F3" w:rsidRDefault="002C13F3" w:rsidP="002C13F3">
      <w:pPr>
        <w:pStyle w:val="Nadpis4"/>
      </w:pPr>
      <w:r>
        <w:t>Maximální hodnota signálu</w:t>
      </w:r>
    </w:p>
    <w:p w:rsidR="002C13F3" w:rsidRDefault="002C13F3" w:rsidP="002C13F3">
      <w:r>
        <w:t xml:space="preserve">Ve smyslu maximální hodnoty signálu, bude nejvíce zesilovat </w:t>
      </w:r>
      <w:r w:rsidR="00F80D02">
        <w:t>obdélníkový sign</w:t>
      </w:r>
      <w:r w:rsidR="003D1528">
        <w:t>ál</w:t>
      </w:r>
      <w:r w:rsidR="003B3000">
        <w:t xml:space="preserve">. </w:t>
      </w:r>
      <w:r w:rsidR="00767C3A">
        <w:t xml:space="preserve">Ten můžeme reprezentovat </w:t>
      </w:r>
      <w:r w:rsidR="003B3000">
        <w:t>sign</w:t>
      </w:r>
      <w:r w:rsidR="00767C3A">
        <w:t>em</w:t>
      </w:r>
      <w:r w:rsidR="003B3000">
        <w:t xml:space="preserve"> impulsní funkce, tedy funkce </w:t>
      </w:r>
      <w:proofErr w:type="spellStart"/>
      <w:proofErr w:type="gramStart"/>
      <w:r w:rsidR="003B3000">
        <w:t>sgn</w:t>
      </w:r>
      <w:proofErr w:type="spellEnd"/>
      <w:r w:rsidR="003B3000">
        <w:t>(h(τ))</w:t>
      </w:r>
      <w:r w:rsidR="00767C3A">
        <w:t>. Můžeme</w:t>
      </w:r>
      <w:proofErr w:type="gramEnd"/>
      <w:r w:rsidR="00767C3A">
        <w:t xml:space="preserve"> nyní nasimulovat odezvu signálu pomocí </w:t>
      </w:r>
      <w:proofErr w:type="spellStart"/>
      <w:r w:rsidR="00767C3A">
        <w:t>simulinku</w:t>
      </w:r>
      <w:proofErr w:type="spellEnd"/>
      <w:r w:rsidR="00767C3A">
        <w:t xml:space="preserve">. Budeme tedy používat generátor obdélníkového signálu s frekvencí určenou v úvodu </w:t>
      </w:r>
      <w:r w:rsidR="00BF48F6">
        <w:t>této části. Pro poruchy měření použijeme signál s </w:t>
      </w:r>
      <w:proofErr w:type="gramStart"/>
      <w:r w:rsidR="00BF48F6">
        <w:t xml:space="preserve">frekvencí </w:t>
      </w:r>
      <w:proofErr w:type="spellStart"/>
      <w:r w:rsidR="00BF48F6">
        <w:t>ω</w:t>
      </w:r>
      <w:r w:rsidR="00BF48F6">
        <w:rPr>
          <w:vertAlign w:val="subscript"/>
        </w:rPr>
        <w:t>n</w:t>
      </w:r>
      <w:proofErr w:type="spellEnd"/>
      <w:r w:rsidR="00BF48F6">
        <w:t>(t) = 0.193rad</w:t>
      </w:r>
      <w:proofErr w:type="gramEnd"/>
      <w:r w:rsidR="00BF48F6">
        <w:t>·s</w:t>
      </w:r>
      <w:r w:rsidR="00BF48F6">
        <w:rPr>
          <w:vertAlign w:val="superscript"/>
        </w:rPr>
        <w:t xml:space="preserve">-1 </w:t>
      </w:r>
      <w:r w:rsidR="00BF48F6">
        <w:t xml:space="preserve">a pro poruchy výstupu </w:t>
      </w:r>
      <w:proofErr w:type="spellStart"/>
      <w:r w:rsidR="00BF48F6">
        <w:t>ω</w:t>
      </w:r>
      <w:r w:rsidR="00BF48F6">
        <w:rPr>
          <w:vertAlign w:val="subscript"/>
        </w:rPr>
        <w:t>d</w:t>
      </w:r>
      <w:proofErr w:type="spellEnd"/>
      <w:r w:rsidR="00BF48F6">
        <w:t>(t) = 0.322rad·s</w:t>
      </w:r>
      <w:r w:rsidR="00BF48F6">
        <w:rPr>
          <w:vertAlign w:val="superscript"/>
        </w:rPr>
        <w:t>-1</w:t>
      </w:r>
      <w:r w:rsidR="00BF48F6">
        <w:t>.</w:t>
      </w:r>
    </w:p>
    <w:p w:rsidR="00BF48F6" w:rsidRDefault="00BF48F6" w:rsidP="002C13F3">
      <w:r>
        <w:rPr>
          <w:noProof/>
          <w:lang w:eastAsia="cs-CZ"/>
        </w:rPr>
        <w:lastRenderedPageBreak/>
        <w:drawing>
          <wp:inline distT="0" distB="0" distL="0" distR="0">
            <wp:extent cx="5330825" cy="400240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F6" w:rsidRDefault="005C420D" w:rsidP="002C13F3">
      <w:r>
        <w:rPr>
          <w:noProof/>
          <w:lang w:eastAsia="cs-CZ"/>
        </w:rPr>
        <w:drawing>
          <wp:inline distT="0" distB="0" distL="0" distR="0">
            <wp:extent cx="5330825" cy="4002405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F6" w:rsidRDefault="0026322F" w:rsidP="002C13F3">
      <w:r>
        <w:t xml:space="preserve">Z těchto grafů můžeme pozorovat, že zesílení chyby výstupu je výrazně větší, než </w:t>
      </w:r>
      <w:r w:rsidR="005C420D">
        <w:t>u chyby měření. Zesílení je více než dvojnásobné, zatímco na prvním grafu můžeme pozorovat zesílení zhruba o 50%.</w:t>
      </w:r>
    </w:p>
    <w:p w:rsidR="005C420D" w:rsidRDefault="005C420D" w:rsidP="005C420D">
      <w:pPr>
        <w:pStyle w:val="Nadpis4"/>
      </w:pPr>
      <w:r>
        <w:lastRenderedPageBreak/>
        <w:t>Maximální hodnota ve smyslu energie</w:t>
      </w:r>
    </w:p>
    <w:p w:rsidR="005C420D" w:rsidRDefault="005C420D" w:rsidP="005C420D">
      <w:r>
        <w:t xml:space="preserve">Maximálního zesílení je dosaženo s použitím harmonického sinusového signálu. Amplituda bude jako v předchozím případě jednotková a </w:t>
      </w:r>
      <w:proofErr w:type="spellStart"/>
      <w:r>
        <w:t>freknvence</w:t>
      </w:r>
      <w:proofErr w:type="spellEnd"/>
      <w:r>
        <w:t xml:space="preserve"> budou odpovídat zjištěným hodnotám. </w:t>
      </w:r>
    </w:p>
    <w:p w:rsidR="00692588" w:rsidRDefault="005C420D" w:rsidP="005C420D">
      <w:r>
        <w:rPr>
          <w:noProof/>
          <w:lang w:eastAsia="cs-CZ"/>
        </w:rPr>
        <w:drawing>
          <wp:inline distT="0" distB="0" distL="0" distR="0">
            <wp:extent cx="5330825" cy="4002405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20D">
        <w:t xml:space="preserve"> </w:t>
      </w:r>
      <w:r>
        <w:rPr>
          <w:noProof/>
          <w:lang w:eastAsia="cs-CZ"/>
        </w:rPr>
        <w:drawing>
          <wp:inline distT="0" distB="0" distL="0" distR="0">
            <wp:extent cx="5330825" cy="4002405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0D" w:rsidRDefault="00692588" w:rsidP="005C420D">
      <w:r>
        <w:lastRenderedPageBreak/>
        <w:t>Ještě dopočteme normy pro maximální zesílení harmonické sinusové chyby. ||-T||∞</w:t>
      </w:r>
      <w:r w:rsidR="005C420D">
        <w:t xml:space="preserve"> </w:t>
      </w:r>
      <w:r>
        <w:t xml:space="preserve">= 1,307, </w:t>
      </w:r>
      <w:r>
        <w:t>||-</w:t>
      </w:r>
      <w:r>
        <w:t>S</w:t>
      </w:r>
      <w:r>
        <w:t>||∞ = 1,</w:t>
      </w:r>
      <w:r>
        <w:t>639. I z výše zobrazených grafů i z tohoto numerického vyjádření norem citlivostních funkcí, je patrné, že i v tomto případě je zesílení výrazně větší u chyby výstupu, než u chyby měření.</w:t>
      </w:r>
    </w:p>
    <w:p w:rsidR="00692588" w:rsidRDefault="00692588" w:rsidP="00692588">
      <w:pPr>
        <w:ind w:firstLine="0"/>
        <w:rPr>
          <w:b/>
          <w:sz w:val="56"/>
          <w:szCs w:val="70"/>
        </w:rPr>
      </w:pPr>
      <w:r>
        <w:rPr>
          <w:b/>
          <w:sz w:val="56"/>
          <w:szCs w:val="70"/>
        </w:rPr>
        <w:t>Závěr</w:t>
      </w:r>
    </w:p>
    <w:p w:rsidR="00692588" w:rsidRDefault="00692588" w:rsidP="00692588">
      <w:r>
        <w:t xml:space="preserve">V první části jsme se věnovali popisu modelu spojených nádob. Reprezentovali jsme tento model série linearizovaných systémů s neurčitostí. Určili jsme také nominální přenosy a váhové funkce. Neurčitost přenosů jsme ukázaly pomocí </w:t>
      </w:r>
      <w:proofErr w:type="spellStart"/>
      <w:r>
        <w:t>Nyquistových</w:t>
      </w:r>
      <w:proofErr w:type="spellEnd"/>
      <w:r>
        <w:t xml:space="preserve"> grafů. Neurčitosti v obou zvolených případech jsou téměř shodné.</w:t>
      </w:r>
    </w:p>
    <w:p w:rsidR="00692588" w:rsidRDefault="00692588" w:rsidP="003D7BC0">
      <w:r>
        <w:t>Ve druhé části jsme se pak věnovali návrhu regulátoru.</w:t>
      </w:r>
      <w:r w:rsidR="003D7BC0">
        <w:t xml:space="preserve"> Přenos jsme rozšířili o model čerpadla a také se nám</w:t>
      </w:r>
      <w:r>
        <w:t xml:space="preserve"> </w:t>
      </w:r>
      <w:r w:rsidR="003D7BC0">
        <w:t>podařilo</w:t>
      </w:r>
      <w:r>
        <w:t xml:space="preserve"> navrhnout PI regulátor, který odpovídá všem </w:t>
      </w:r>
      <w:r w:rsidR="003D7BC0">
        <w:t xml:space="preserve">návrhovým kritériím ze zadání. </w:t>
      </w:r>
      <w:r>
        <w:t xml:space="preserve"> </w:t>
      </w:r>
      <w:r w:rsidR="003D7BC0">
        <w:t>Dále jsme zkoumali působení aditivního šumu.</w:t>
      </w:r>
    </w:p>
    <w:sectPr w:rsidR="00692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3310"/>
    <w:multiLevelType w:val="hybridMultilevel"/>
    <w:tmpl w:val="467EA9DA"/>
    <w:lvl w:ilvl="0" w:tplc="7D06DDC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552FC"/>
    <w:multiLevelType w:val="hybridMultilevel"/>
    <w:tmpl w:val="F6C6A8BE"/>
    <w:lvl w:ilvl="0" w:tplc="04050017">
      <w:start w:val="1"/>
      <w:numFmt w:val="lowerLetter"/>
      <w:lvlText w:val="%1)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4652D5"/>
    <w:multiLevelType w:val="hybridMultilevel"/>
    <w:tmpl w:val="9EC69574"/>
    <w:lvl w:ilvl="0" w:tplc="688A0BC2">
      <w:start w:val="1"/>
      <w:numFmt w:val="decimal"/>
      <w:pStyle w:val="Nadpis2"/>
      <w:lvlText w:val="1.%1."/>
      <w:lvlJc w:val="left"/>
      <w:pPr>
        <w:ind w:left="163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54" w:hanging="360"/>
      </w:pPr>
    </w:lvl>
    <w:lvl w:ilvl="2" w:tplc="0405001B" w:tentative="1">
      <w:start w:val="1"/>
      <w:numFmt w:val="lowerRoman"/>
      <w:lvlText w:val="%3."/>
      <w:lvlJc w:val="right"/>
      <w:pPr>
        <w:ind w:left="3074" w:hanging="180"/>
      </w:pPr>
    </w:lvl>
    <w:lvl w:ilvl="3" w:tplc="0405000F" w:tentative="1">
      <w:start w:val="1"/>
      <w:numFmt w:val="decimal"/>
      <w:lvlText w:val="%4."/>
      <w:lvlJc w:val="left"/>
      <w:pPr>
        <w:ind w:left="3794" w:hanging="360"/>
      </w:pPr>
    </w:lvl>
    <w:lvl w:ilvl="4" w:tplc="04050019" w:tentative="1">
      <w:start w:val="1"/>
      <w:numFmt w:val="lowerLetter"/>
      <w:lvlText w:val="%5."/>
      <w:lvlJc w:val="left"/>
      <w:pPr>
        <w:ind w:left="4514" w:hanging="360"/>
      </w:pPr>
    </w:lvl>
    <w:lvl w:ilvl="5" w:tplc="0405001B" w:tentative="1">
      <w:start w:val="1"/>
      <w:numFmt w:val="lowerRoman"/>
      <w:lvlText w:val="%6."/>
      <w:lvlJc w:val="right"/>
      <w:pPr>
        <w:ind w:left="5234" w:hanging="180"/>
      </w:pPr>
    </w:lvl>
    <w:lvl w:ilvl="6" w:tplc="0405000F" w:tentative="1">
      <w:start w:val="1"/>
      <w:numFmt w:val="decimal"/>
      <w:lvlText w:val="%7."/>
      <w:lvlJc w:val="left"/>
      <w:pPr>
        <w:ind w:left="5954" w:hanging="360"/>
      </w:pPr>
    </w:lvl>
    <w:lvl w:ilvl="7" w:tplc="04050019" w:tentative="1">
      <w:start w:val="1"/>
      <w:numFmt w:val="lowerLetter"/>
      <w:lvlText w:val="%8."/>
      <w:lvlJc w:val="left"/>
      <w:pPr>
        <w:ind w:left="6674" w:hanging="360"/>
      </w:pPr>
    </w:lvl>
    <w:lvl w:ilvl="8" w:tplc="0405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">
    <w:nsid w:val="2E313925"/>
    <w:multiLevelType w:val="multilevel"/>
    <w:tmpl w:val="A3103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D657241"/>
    <w:multiLevelType w:val="hybridMultilevel"/>
    <w:tmpl w:val="D03E7B2C"/>
    <w:lvl w:ilvl="0" w:tplc="04050017">
      <w:start w:val="1"/>
      <w:numFmt w:val="lowerLetter"/>
      <w:lvlText w:val="%1)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D8A1AEE"/>
    <w:multiLevelType w:val="hybridMultilevel"/>
    <w:tmpl w:val="C49C173E"/>
    <w:lvl w:ilvl="0" w:tplc="E2E28B80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E3F0D"/>
    <w:multiLevelType w:val="multilevel"/>
    <w:tmpl w:val="141E3732"/>
    <w:lvl w:ilvl="0">
      <w:start w:val="1"/>
      <w:numFmt w:val="decimal"/>
      <w:pStyle w:val="Nadpis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1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3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42"/>
    <w:rsid w:val="00043EE1"/>
    <w:rsid w:val="00052C11"/>
    <w:rsid w:val="000545C3"/>
    <w:rsid w:val="000736BC"/>
    <w:rsid w:val="000B2879"/>
    <w:rsid w:val="000D7346"/>
    <w:rsid w:val="000E5DA5"/>
    <w:rsid w:val="001535B5"/>
    <w:rsid w:val="00176360"/>
    <w:rsid w:val="002130E4"/>
    <w:rsid w:val="002520C5"/>
    <w:rsid w:val="0026322F"/>
    <w:rsid w:val="0027169D"/>
    <w:rsid w:val="002745C7"/>
    <w:rsid w:val="00297BF9"/>
    <w:rsid w:val="002B5C55"/>
    <w:rsid w:val="002C13F3"/>
    <w:rsid w:val="002D04FD"/>
    <w:rsid w:val="002D1685"/>
    <w:rsid w:val="002D1A19"/>
    <w:rsid w:val="002F0BED"/>
    <w:rsid w:val="00331C63"/>
    <w:rsid w:val="00344EBC"/>
    <w:rsid w:val="00375925"/>
    <w:rsid w:val="0037643D"/>
    <w:rsid w:val="003913AA"/>
    <w:rsid w:val="003B3000"/>
    <w:rsid w:val="003D1528"/>
    <w:rsid w:val="003D7579"/>
    <w:rsid w:val="003D7BC0"/>
    <w:rsid w:val="003E1169"/>
    <w:rsid w:val="00450161"/>
    <w:rsid w:val="004E7E10"/>
    <w:rsid w:val="00505551"/>
    <w:rsid w:val="005C420D"/>
    <w:rsid w:val="005D4515"/>
    <w:rsid w:val="005D4A18"/>
    <w:rsid w:val="005F2F4C"/>
    <w:rsid w:val="00671513"/>
    <w:rsid w:val="00692588"/>
    <w:rsid w:val="006C3AD7"/>
    <w:rsid w:val="006D27FC"/>
    <w:rsid w:val="006E4534"/>
    <w:rsid w:val="006E6D8D"/>
    <w:rsid w:val="006E76EA"/>
    <w:rsid w:val="006F4BED"/>
    <w:rsid w:val="00713B42"/>
    <w:rsid w:val="007331E4"/>
    <w:rsid w:val="00733E24"/>
    <w:rsid w:val="007547E8"/>
    <w:rsid w:val="00767C3A"/>
    <w:rsid w:val="00793B50"/>
    <w:rsid w:val="00795C84"/>
    <w:rsid w:val="007B08CA"/>
    <w:rsid w:val="007B4D90"/>
    <w:rsid w:val="007B6765"/>
    <w:rsid w:val="007B6CCB"/>
    <w:rsid w:val="00895252"/>
    <w:rsid w:val="00915919"/>
    <w:rsid w:val="00923C0D"/>
    <w:rsid w:val="0093484F"/>
    <w:rsid w:val="0094322D"/>
    <w:rsid w:val="00980CAA"/>
    <w:rsid w:val="009F2864"/>
    <w:rsid w:val="00A2455E"/>
    <w:rsid w:val="00B11E4D"/>
    <w:rsid w:val="00B26851"/>
    <w:rsid w:val="00B56083"/>
    <w:rsid w:val="00B70362"/>
    <w:rsid w:val="00B72548"/>
    <w:rsid w:val="00B96BE0"/>
    <w:rsid w:val="00BD4425"/>
    <w:rsid w:val="00BF48F6"/>
    <w:rsid w:val="00C063B3"/>
    <w:rsid w:val="00C654C1"/>
    <w:rsid w:val="00C706AD"/>
    <w:rsid w:val="00C85803"/>
    <w:rsid w:val="00C96DC2"/>
    <w:rsid w:val="00CC5C55"/>
    <w:rsid w:val="00CC74FC"/>
    <w:rsid w:val="00CE7012"/>
    <w:rsid w:val="00D52202"/>
    <w:rsid w:val="00D82F4A"/>
    <w:rsid w:val="00D90133"/>
    <w:rsid w:val="00DA628F"/>
    <w:rsid w:val="00DE2188"/>
    <w:rsid w:val="00DE6DDA"/>
    <w:rsid w:val="00DF36E7"/>
    <w:rsid w:val="00E032A2"/>
    <w:rsid w:val="00E93BCA"/>
    <w:rsid w:val="00EC18E7"/>
    <w:rsid w:val="00F03006"/>
    <w:rsid w:val="00F8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92588"/>
    <w:pPr>
      <w:ind w:firstLine="709"/>
    </w:pPr>
  </w:style>
  <w:style w:type="paragraph" w:styleId="Nadpis1">
    <w:name w:val="heading 1"/>
    <w:basedOn w:val="Normln"/>
    <w:next w:val="Normln"/>
    <w:link w:val="Nadpis1Char"/>
    <w:uiPriority w:val="9"/>
    <w:qFormat/>
    <w:rsid w:val="00915919"/>
    <w:pPr>
      <w:keepNext/>
      <w:keepLines/>
      <w:numPr>
        <w:numId w:val="4"/>
      </w:numPr>
      <w:spacing w:before="480" w:after="0"/>
      <w:ind w:left="1066" w:hanging="357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15919"/>
    <w:pPr>
      <w:keepNext/>
      <w:keepLines/>
      <w:numPr>
        <w:numId w:val="3"/>
      </w:numPr>
      <w:spacing w:before="360" w:after="240"/>
      <w:ind w:left="1066" w:hanging="357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5919"/>
    <w:pPr>
      <w:keepNext/>
      <w:keepLines/>
      <w:spacing w:before="200" w:after="120"/>
      <w:ind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59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13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713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159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159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1591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dstavecseseznamem">
    <w:name w:val="List Paragraph"/>
    <w:basedOn w:val="Normln"/>
    <w:uiPriority w:val="34"/>
    <w:qFormat/>
    <w:rsid w:val="002F0BED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BD4425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D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4425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Standardnpsmoodstavce"/>
    <w:link w:val="Nadpis4"/>
    <w:uiPriority w:val="9"/>
    <w:rsid w:val="00915919"/>
    <w:rPr>
      <w:rFonts w:asciiTheme="majorHAnsi" w:eastAsiaTheme="majorEastAsia" w:hAnsiTheme="majorHAnsi" w:cstheme="majorBidi"/>
      <w:b/>
      <w:bCs/>
      <w:i/>
      <w:iCs/>
    </w:rPr>
  </w:style>
  <w:style w:type="paragraph" w:styleId="Podtitul">
    <w:name w:val="Subtitle"/>
    <w:basedOn w:val="Normln"/>
    <w:next w:val="Normln"/>
    <w:link w:val="PodtitulChar"/>
    <w:uiPriority w:val="11"/>
    <w:qFormat/>
    <w:rsid w:val="004E7E1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E7E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mezer">
    <w:name w:val="No Spacing"/>
    <w:uiPriority w:val="1"/>
    <w:qFormat/>
    <w:rsid w:val="00692588"/>
    <w:pPr>
      <w:spacing w:after="0" w:line="240" w:lineRule="auto"/>
      <w:ind w:firstLine="709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F2F4C"/>
    <w:pPr>
      <w:numPr>
        <w:numId w:val="0"/>
      </w:numPr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F2F4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F2F4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5F2F4C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5F2F4C"/>
    <w:rPr>
      <w:color w:val="0000FF" w:themeColor="hyperlink"/>
      <w:u w:val="single"/>
    </w:rPr>
  </w:style>
  <w:style w:type="character" w:styleId="Zdraznnjemn">
    <w:name w:val="Subtle Emphasis"/>
    <w:basedOn w:val="Standardnpsmoodstavce"/>
    <w:uiPriority w:val="19"/>
    <w:qFormat/>
    <w:rsid w:val="005D451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92588"/>
    <w:pPr>
      <w:ind w:firstLine="709"/>
    </w:pPr>
  </w:style>
  <w:style w:type="paragraph" w:styleId="Nadpis1">
    <w:name w:val="heading 1"/>
    <w:basedOn w:val="Normln"/>
    <w:next w:val="Normln"/>
    <w:link w:val="Nadpis1Char"/>
    <w:uiPriority w:val="9"/>
    <w:qFormat/>
    <w:rsid w:val="00915919"/>
    <w:pPr>
      <w:keepNext/>
      <w:keepLines/>
      <w:numPr>
        <w:numId w:val="4"/>
      </w:numPr>
      <w:spacing w:before="480" w:after="0"/>
      <w:ind w:left="1066" w:hanging="357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15919"/>
    <w:pPr>
      <w:keepNext/>
      <w:keepLines/>
      <w:numPr>
        <w:numId w:val="3"/>
      </w:numPr>
      <w:spacing w:before="360" w:after="240"/>
      <w:ind w:left="1066" w:hanging="357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5919"/>
    <w:pPr>
      <w:keepNext/>
      <w:keepLines/>
      <w:spacing w:before="200" w:after="120"/>
      <w:ind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59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13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713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159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159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1591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dstavecseseznamem">
    <w:name w:val="List Paragraph"/>
    <w:basedOn w:val="Normln"/>
    <w:uiPriority w:val="34"/>
    <w:qFormat/>
    <w:rsid w:val="002F0BED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BD4425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D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4425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Standardnpsmoodstavce"/>
    <w:link w:val="Nadpis4"/>
    <w:uiPriority w:val="9"/>
    <w:rsid w:val="00915919"/>
    <w:rPr>
      <w:rFonts w:asciiTheme="majorHAnsi" w:eastAsiaTheme="majorEastAsia" w:hAnsiTheme="majorHAnsi" w:cstheme="majorBidi"/>
      <w:b/>
      <w:bCs/>
      <w:i/>
      <w:iCs/>
    </w:rPr>
  </w:style>
  <w:style w:type="paragraph" w:styleId="Podtitul">
    <w:name w:val="Subtitle"/>
    <w:basedOn w:val="Normln"/>
    <w:next w:val="Normln"/>
    <w:link w:val="PodtitulChar"/>
    <w:uiPriority w:val="11"/>
    <w:qFormat/>
    <w:rsid w:val="004E7E1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E7E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mezer">
    <w:name w:val="No Spacing"/>
    <w:uiPriority w:val="1"/>
    <w:qFormat/>
    <w:rsid w:val="00692588"/>
    <w:pPr>
      <w:spacing w:after="0" w:line="240" w:lineRule="auto"/>
      <w:ind w:firstLine="709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F2F4C"/>
    <w:pPr>
      <w:numPr>
        <w:numId w:val="0"/>
      </w:numPr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F2F4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F2F4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5F2F4C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5F2F4C"/>
    <w:rPr>
      <w:color w:val="0000FF" w:themeColor="hyperlink"/>
      <w:u w:val="single"/>
    </w:rPr>
  </w:style>
  <w:style w:type="character" w:styleId="Zdraznnjemn">
    <w:name w:val="Subtle Emphasis"/>
    <w:basedOn w:val="Standardnpsmoodstavce"/>
    <w:uiPriority w:val="19"/>
    <w:qFormat/>
    <w:rsid w:val="005D451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C9"/>
    <w:rsid w:val="00D8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87E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87E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C335E-DCAB-4F70-877E-FB4A55E8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2601</Words>
  <Characters>15348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</dc:creator>
  <cp:lastModifiedBy>Ondřej</cp:lastModifiedBy>
  <cp:revision>4</cp:revision>
  <cp:lastPrinted>2016-08-22T08:18:00Z</cp:lastPrinted>
  <dcterms:created xsi:type="dcterms:W3CDTF">2016-08-22T08:18:00Z</dcterms:created>
  <dcterms:modified xsi:type="dcterms:W3CDTF">2016-08-22T14:20:00Z</dcterms:modified>
</cp:coreProperties>
</file>