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bl1qp2n1ejyo" w:id="0"/>
    <w:bookmarkEnd w:id="0"/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Charakteristika obce </w:t>
      </w:r>
    </w:p>
    <w:p w:rsidR="00000000" w:rsidDel="00000000" w:rsidP="00000000" w:rsidRDefault="00000000" w:rsidRPr="00000000" w14:paraId="00000002">
      <w:pPr>
        <w:ind w:firstLine="708"/>
        <w:jc w:val="both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Housko, drobná osada a dnes místní část obce Vysočany, leží na Drahanské vrchovině v lesnatém zázemí Moravského krasu. Vznikla na místě, kde už koncem 14. století stávala víska náležející k holštejnskému zboží, v pramenech uváděná jako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Husí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Husie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či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Husko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Dlouho si uchovávala ráz rozptýleného osídlení s převahou zemědělství a lesních prací; dnes má převážně klidový, rekreační charakter se smíšenou trvalou i sezónní zástavbou. Zázemí tvoří okolní lesy a louky s napojením na pěší a cyklotrasy Moravského krasu, základní obslužnost zajišťují Vysočany, s nimiž Housko správně i funkčně tvoří jeden celek.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708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Průběh vystěhování</w:t>
      </w:r>
    </w:p>
    <w:bookmarkStart w:colFirst="0" w:colLast="0" w:name="bookmark=id.nyl7qtwdqdb2" w:id="1"/>
    <w:bookmarkEnd w:id="1"/>
    <w:p w:rsidR="00000000" w:rsidDel="00000000" w:rsidP="00000000" w:rsidRDefault="00000000" w:rsidRPr="00000000" w14:paraId="00000005">
      <w:pPr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rtl w:val="0"/>
        </w:rPr>
        <w:t xml:space="preserve">Obec se po válce sloučila s Molenburkem a přejmenovala na Vysočany. Evakuace obce probíhala ještě v roce 1944 a obec byla předána až koncem října 1944. Za III. etapu je zde evidováno 328 vystěhovaných. Jako v Molenburku bylo i zde sídlo komandatury. Obec byla díky poloze na okraji cvičiště určená k zajištění jeho hospodářského chodu, nebyla tedy tolik zničená jako jiné.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Přehled vystěhovaných rodin a domů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15.000000000002" w:type="dxa"/>
        <w:jc w:val="left"/>
        <w:tblInd w:w="-6.0" w:type="dxa"/>
        <w:tblLayout w:type="fixed"/>
        <w:tblLook w:val="0000"/>
      </w:tblPr>
      <w:tblGrid>
        <w:gridCol w:w="2800"/>
        <w:gridCol w:w="1497"/>
        <w:gridCol w:w="1630"/>
        <w:gridCol w:w="1182"/>
        <w:gridCol w:w="1030"/>
        <w:gridCol w:w="1076"/>
        <w:tblGridChange w:id="0">
          <w:tblGrid>
            <w:gridCol w:w="2800"/>
            <w:gridCol w:w="1497"/>
            <w:gridCol w:w="1630"/>
            <w:gridCol w:w="1182"/>
            <w:gridCol w:w="1030"/>
            <w:gridCol w:w="10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obec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etapa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okres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domů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rodin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1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osob</w:t>
            </w:r>
          </w:p>
        </w:tc>
      </w:tr>
    </w:tbl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70.0" w:type="dxa"/>
        <w:jc w:val="left"/>
        <w:tblLayout w:type="fixed"/>
        <w:tblLook w:val="0000"/>
      </w:tblPr>
      <w:tblGrid>
        <w:gridCol w:w="2715"/>
        <w:gridCol w:w="1410"/>
        <w:gridCol w:w="1545"/>
        <w:gridCol w:w="1095"/>
        <w:gridCol w:w="945"/>
        <w:gridCol w:w="960"/>
        <w:tblGridChange w:id="0">
          <w:tblGrid>
            <w:gridCol w:w="2715"/>
            <w:gridCol w:w="1410"/>
            <w:gridCol w:w="1545"/>
            <w:gridCol w:w="1095"/>
            <w:gridCol w:w="945"/>
            <w:gridCol w:w="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Housko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IIIb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Boskovice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56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81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328</w:t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Počet obyvatel v letech 1869–2011</w:t>
      </w:r>
      <w:r w:rsidDel="00000000" w:rsidR="00000000" w:rsidRPr="00000000">
        <w:rPr>
          <w:rFonts w:ascii="Times New Roman" w:cs="Times New Roman" w:eastAsia="Times New Roman" w:hAnsi="Times New Roman"/>
          <w:b w:val="1"/>
          <w:vertAlign w:val="superscript"/>
        </w:rPr>
        <w:footnoteReference w:customMarkFollows="0" w:id="0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tbl>
      <w:tblPr>
        <w:tblStyle w:val="Table3"/>
        <w:tblW w:w="3360.0" w:type="dxa"/>
        <w:jc w:val="left"/>
        <w:tblLayout w:type="fixed"/>
        <w:tblLook w:val="0400"/>
      </w:tblPr>
      <w:tblGrid>
        <w:gridCol w:w="1120"/>
        <w:gridCol w:w="908"/>
        <w:gridCol w:w="1332"/>
        <w:tblGridChange w:id="0">
          <w:tblGrid>
            <w:gridCol w:w="1120"/>
            <w:gridCol w:w="908"/>
            <w:gridCol w:w="133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ROK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POČET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domů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Arial" w:cs="Arial" w:eastAsia="Arial" w:hAnsi="Arial"/>
                <w:b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obyvatel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336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341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321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270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317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288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239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264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226</w:t>
            </w:r>
          </w:p>
        </w:tc>
      </w:tr>
    </w:tbl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b w:val="1"/>
        </w:rPr>
      </w:pPr>
      <w:bookmarkStart w:colFirst="0" w:colLast="0" w:name="_heading=h.fwlh99nloik9" w:id="2"/>
      <w:bookmarkEnd w:id="2"/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Arial"/>
  <w:font w:name="Liberation Serif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4B">
      <w:pPr>
        <w:spacing w:line="259" w:lineRule="auto"/>
        <w:ind w:left="14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sz w:val="20"/>
          <w:szCs w:val="20"/>
          <w:rtl w:val="0"/>
        </w:rPr>
        <w:t xml:space="preserve">Historický lexikon obcí České republiky - 1869 – 2011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 Online. Český statistický úřad. 2015. Dostupné z: </w:t>
      </w:r>
      <w:hyperlink r:id="rId1">
        <w:r w:rsidDel="00000000" w:rsidR="00000000" w:rsidRPr="00000000">
          <w:rPr>
            <w:rFonts w:ascii="Arial" w:cs="Arial" w:eastAsia="Arial" w:hAnsi="Arial"/>
            <w:color w:val="0563c1"/>
            <w:sz w:val="20"/>
            <w:szCs w:val="20"/>
            <w:u w:val="single"/>
            <w:rtl w:val="0"/>
          </w:rPr>
          <w:t xml:space="preserve">https://csu.gov.cz/produkty/historicky-lexikon-obci-1869-az-2015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 [cit. 2025-07-21].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c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adpis">
    <w:name w:val="Nadpis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Rejstk">
    <w:name w:val="Rejstřík"/>
    <w:basedOn w:val="Normal"/>
    <w:qFormat w:val="1"/>
    <w:pPr>
      <w:suppressLineNumbers w:val="1"/>
    </w:pPr>
    <w:rPr>
      <w:rFonts w:cs="Arial"/>
    </w:rPr>
  </w:style>
  <w:style w:type="paragraph" w:styleId="Nadpisuser">
    <w:name w:val="Nadpis (user)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Rejstkuser">
    <w:name w:val="Rejstřík (user)"/>
    <w:basedOn w:val="Normal"/>
    <w:qFormat w:val="1"/>
    <w:pPr>
      <w:suppressLineNumbers w:val="1"/>
    </w:pPr>
    <w:rPr>
      <w:rFonts w:cs="Arial"/>
    </w:rPr>
  </w:style>
  <w:style w:type="paragraph" w:styleId="Obsahtabulkyuser">
    <w:name w:val="Obsah tabulky (user)"/>
    <w:basedOn w:val="Normal"/>
    <w:qFormat w:val="1"/>
    <w:pPr>
      <w:widowControl w:val="0"/>
      <w:suppressLineNumbers w:val="1"/>
    </w:pPr>
    <w:rPr/>
  </w:style>
  <w:style w:type="paragraph" w:styleId="Nadpistabulkyuser">
    <w:name w:val="Nadpis tabulky (user)"/>
    <w:basedOn w:val="Obsahtabulkyuser"/>
    <w:qFormat w:val="1"/>
    <w:pPr>
      <w:suppressLineNumbers w:val="1"/>
      <w:jc w:val="center"/>
    </w:pPr>
    <w:rPr>
      <w:b w:val="1"/>
      <w:bCs w:val="1"/>
    </w:rPr>
  </w:style>
  <w:style w:type="paragraph" w:styleId="Obsahtabulky">
    <w:name w:val="Obsah tabulky"/>
    <w:basedOn w:val="Normal"/>
    <w:qFormat w:val="1"/>
    <w:pPr>
      <w:widowControl w:val="0"/>
      <w:suppressLineNumbers w:val="1"/>
    </w:pPr>
    <w:rPr/>
  </w:style>
  <w:style w:type="paragraph" w:styleId="Nadpistabulky">
    <w:name w:val="Nadpis tabulky"/>
    <w:basedOn w:val="Obsahtabulky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28.0" w:type="dxa"/>
        <w:left w:w="115.0" w:type="dxa"/>
        <w:bottom w:w="28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28.0" w:type="dxa"/>
        <w:left w:w="115.0" w:type="dxa"/>
        <w:bottom w:w="28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notes.xml.rels><?xml version="1.0" encoding="UTF-8" standalone="yes"?><Relationships xmlns="http://schemas.openxmlformats.org/package/2006/relationships"><Relationship Id="rId1" Type="http://schemas.openxmlformats.org/officeDocument/2006/relationships/hyperlink" Target="https://csu.gov.cz/produkty/historicky-lexikon-obci-1869-az-2015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ha61lojpsZdGWM93PvAOCk7L3g==">CgMxLjAyD2lkLmJsMXFwMm4xZWp5bzIPaWQubnlsN3F0d2RxZGIyMg5oLmZ3bGg5OW5sb2lrOTgAciExLVBJUFdTcllNbVlseVlHeGpYSFJhLUtIYlJiSnVTY3Y=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2025-10-28T15:11:47Z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